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rPr>
          <w:sz w:val="20"/>
          <w:szCs w:val="20"/>
          <w:color w:val="auto"/>
        </w:rPr>
      </w:pPr>
      <w:r>
        <w:rPr>
          <w:rFonts w:ascii="Arial" w:cs="Arial" w:eastAsia="Arial" w:hAnsi="Arial"/>
          <w:sz w:val="22"/>
          <w:szCs w:val="22"/>
          <w:color w:val="auto"/>
        </w:rPr>
        <w:t>(Mark One)</w:t>
      </w:r>
    </w:p>
    <w:p>
      <w:pPr>
        <w:ind w:left="220" w:hanging="212"/>
        <w:spacing w:after="0" w:line="210" w:lineRule="auto"/>
        <w:tabs>
          <w:tab w:leader="none" w:pos="220" w:val="left"/>
        </w:tabs>
        <w:numPr>
          <w:ilvl w:val="0"/>
          <w:numId w:val="1"/>
        </w:numPr>
        <w:rPr>
          <w:rFonts w:ascii="Arial" w:cs="Arial" w:eastAsia="Arial" w:hAnsi="Arial"/>
          <w:sz w:val="43"/>
          <w:szCs w:val="43"/>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7" w:lineRule="exact"/>
        <w:rPr>
          <w:sz w:val="24"/>
          <w:szCs w:val="24"/>
          <w:color w:val="auto"/>
        </w:rPr>
      </w:pPr>
    </w:p>
    <w:p>
      <w:pPr>
        <w:ind w:left="260"/>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June 30, 2011</w:t>
      </w:r>
    </w:p>
    <w:p>
      <w:pPr>
        <w:ind w:left="1300"/>
        <w:spacing w:after="0" w:line="230" w:lineRule="auto"/>
        <w:rPr>
          <w:sz w:val="20"/>
          <w:szCs w:val="20"/>
          <w:color w:val="auto"/>
        </w:rPr>
      </w:pPr>
      <w:r>
        <w:rPr>
          <w:rFonts w:ascii="Arial" w:cs="Arial" w:eastAsia="Arial" w:hAnsi="Arial"/>
          <w:sz w:val="22"/>
          <w:szCs w:val="22"/>
          <w:color w:val="auto"/>
        </w:rPr>
        <w:t>or</w:t>
      </w:r>
    </w:p>
    <w:p>
      <w:pPr>
        <w:ind w:left="220" w:hanging="212"/>
        <w:spacing w:after="0" w:line="190" w:lineRule="auto"/>
        <w:tabs>
          <w:tab w:leader="none" w:pos="220" w:val="left"/>
        </w:tabs>
        <w:numPr>
          <w:ilvl w:val="0"/>
          <w:numId w:val="2"/>
        </w:numPr>
        <w:rPr>
          <w:rFonts w:ascii="Arial" w:cs="Arial" w:eastAsia="Arial" w:hAnsi="Arial"/>
          <w:sz w:val="22"/>
          <w:szCs w:val="22"/>
          <w:color w:val="auto"/>
          <w:vertAlign w:val="subscript"/>
        </w:rPr>
      </w:pPr>
      <w:r>
        <w:rPr>
          <w:rFonts w:ascii="Arial" w:cs="Arial" w:eastAsia="Arial" w:hAnsi="Arial"/>
          <w:sz w:val="12"/>
          <w:szCs w:val="12"/>
          <w:b w:val="1"/>
          <w:bCs w:val="1"/>
          <w:color w:val="auto"/>
        </w:rPr>
        <w:t>TRANSITION REPORT PURSUANT TO SECTION 13 OR 15(d) OF THE SECURITIES EXCHANGE ACT OF 1934</w:t>
      </w:r>
    </w:p>
    <w:p>
      <w:pPr>
        <w:spacing w:after="0" w:line="16" w:lineRule="exact"/>
        <w:rPr>
          <w:sz w:val="24"/>
          <w:szCs w:val="24"/>
          <w:color w:val="auto"/>
        </w:rPr>
      </w:pPr>
    </w:p>
    <w:p>
      <w:pPr>
        <w:ind w:left="260"/>
        <w:spacing w:after="0"/>
        <w:rPr>
          <w:sz w:val="20"/>
          <w:szCs w:val="20"/>
          <w:color w:val="auto"/>
        </w:rPr>
      </w:pPr>
      <w:r>
        <w:rPr>
          <w:rFonts w:ascii="Arial" w:cs="Arial" w:eastAsia="Arial" w:hAnsi="Arial"/>
          <w:sz w:val="22"/>
          <w:szCs w:val="22"/>
          <w:color w:val="auto"/>
        </w:rPr>
        <w:t>For the transition period _______ to _______</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001-33660</w:t>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CLEARONE COMMUNICATIONS, INC.</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498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462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(State or other jurisdiction of incorporation or organization)</w:t>
            </w:r>
          </w:p>
        </w:tc>
        <w:tc>
          <w:tcPr>
            <w:tcW w:w="920" w:type="dxa"/>
            <w:vAlign w:val="bottom"/>
          </w:tcPr>
          <w:p>
            <w:pPr>
              <w:spacing w:after="0"/>
              <w:rPr>
                <w:sz w:val="19"/>
                <w:szCs w:val="19"/>
                <w:color w:val="auto"/>
              </w:rPr>
            </w:pPr>
          </w:p>
        </w:tc>
        <w:tc>
          <w:tcPr>
            <w:tcW w:w="37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(I.R.S. employer identification number)</w:t>
            </w:r>
          </w:p>
        </w:tc>
      </w:tr>
      <w:tr>
        <w:trPr>
          <w:trHeight w:val="418"/>
        </w:trPr>
        <w:tc>
          <w:tcPr>
            <w:tcW w:w="498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462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84116</w:t>
            </w:r>
          </w:p>
        </w:tc>
      </w:tr>
      <w:tr>
        <w:trPr>
          <w:trHeight w:val="224"/>
        </w:trPr>
        <w:tc>
          <w:tcPr>
            <w:tcW w:w="4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Pr>
          <w:p>
            <w:pPr>
              <w:spacing w:after="0"/>
              <w:rPr>
                <w:sz w:val="19"/>
                <w:szCs w:val="19"/>
                <w:color w:val="auto"/>
              </w:rPr>
            </w:pPr>
          </w:p>
        </w:tc>
        <w:tc>
          <w:tcPr>
            <w:tcW w:w="370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-130810</wp:posOffset>
            </wp:positionV>
            <wp:extent cx="6106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24" w:lineRule="exact"/>
        <w:rPr>
          <w:sz w:val="24"/>
          <w:szCs w:val="24"/>
          <w:color w:val="auto"/>
        </w:rPr>
      </w:pPr>
    </w:p>
    <w:p>
      <w:pPr>
        <w:ind w:right="500"/>
        <w:spacing w:after="0" w:line="258" w:lineRule="auto"/>
        <w:rPr>
          <w:sz w:val="20"/>
          <w:szCs w:val="20"/>
          <w:color w:val="auto"/>
        </w:rPr>
      </w:pPr>
      <w:r>
        <w:rPr>
          <w:rFonts w:ascii="Arial" w:cs="Arial" w:eastAsia="Arial" w:hAnsi="Arial"/>
          <w:sz w:val="21"/>
          <w:szCs w:val="21"/>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spacing w:after="0" w:line="29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61"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See the definition of “large accelerated filer, “accelerated filer” and “smaller reporting company” in Rule 12b-2 of the Exchange Act. (Check one):</w:t>
      </w:r>
    </w:p>
    <w:p>
      <w:pPr>
        <w:sectPr>
          <w:pgSz w:w="11900" w:h="16838" w:orient="portrait"/>
          <w:cols w:equalWidth="0" w:num="1">
            <w:col w:w="11320"/>
          </w:cols>
          <w:pgMar w:left="240" w:top="706" w:right="339" w:bottom="1440" w:gutter="0" w:footer="0" w:header="0"/>
        </w:sectPr>
      </w:pPr>
    </w:p>
    <w:p>
      <w:pPr>
        <w:spacing w:after="0" w:line="207" w:lineRule="exact"/>
        <w:rPr>
          <w:sz w:val="24"/>
          <w:szCs w:val="24"/>
          <w:color w:val="auto"/>
        </w:rPr>
      </w:pPr>
    </w:p>
    <w:p>
      <w:pPr>
        <w:ind w:left="60"/>
        <w:spacing w:after="0"/>
        <w:rPr>
          <w:sz w:val="20"/>
          <w:szCs w:val="20"/>
          <w:color w:val="auto"/>
        </w:rPr>
      </w:pPr>
      <w:r>
        <w:rPr>
          <w:rFonts w:ascii="Arial" w:cs="Arial" w:eastAsia="Arial" w:hAnsi="Arial"/>
          <w:sz w:val="16"/>
          <w:szCs w:val="16"/>
          <w:color w:val="auto"/>
        </w:rPr>
        <w:t>Larger Accelerated Filer 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5560" w:space="720"/>
            <w:col w:w="5040"/>
          </w:cols>
          <w:pgMar w:left="240" w:top="706" w:right="33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5560" w:space="720"/>
            <w:col w:w="5040"/>
          </w:cols>
          <w:pgMar w:left="240" w:top="706" w:right="339" w:bottom="1440" w:gutter="0" w:footer="0" w:header="0"/>
          <w:type w:val="continuous"/>
        </w:sectPr>
      </w:pPr>
    </w:p>
    <w:p>
      <w:pPr>
        <w:spacing w:after="0" w:line="122" w:lineRule="exact"/>
        <w:rPr>
          <w:sz w:val="24"/>
          <w:szCs w:val="24"/>
          <w:color w:val="auto"/>
        </w:rPr>
      </w:pPr>
    </w:p>
    <w:p>
      <w:pPr>
        <w:jc w:val="center"/>
        <w:ind w:right="200"/>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Exchange Act). Yes [ ] No [x]</w:t>
      </w:r>
    </w:p>
    <w:p>
      <w:pPr>
        <w:spacing w:after="0" w:line="26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APPLICABLE ONLY TO CORPORATE ISSUERS:</w:t>
      </w:r>
    </w:p>
    <w:p>
      <w:pPr>
        <w:spacing w:after="0" w:line="23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9,058,258 shares issued and outstanding as of August 12, 2011.</w:t>
      </w:r>
    </w:p>
    <w:p>
      <w:pPr>
        <w:sectPr>
          <w:pgSz w:w="11900" w:h="16838" w:orient="portrait"/>
          <w:cols w:equalWidth="0" w:num="1">
            <w:col w:w="11320"/>
          </w:cols>
          <w:pgMar w:left="240" w:top="706"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EXPLANATORY NOTE</w:t>
      </w:r>
    </w:p>
    <w:p>
      <w:pPr>
        <w:spacing w:after="0" w:line="254"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sole purpose of this Amendment No. 1 to the registrant’s Quarterly Report on Form 10-Q for the quarter ended June 30, 2011 (the “Form 10-Q”) is to furnish the interactive data files as required by Rule 405 of Regulation S-T. Exhibit 101 to this Amendment No. 1 provides the following materials from the Form 10-Q, formatted in XBRL (eXtensible Business Reporting Language): (i) consolidated balance sheets, (ii) consolidated statements of operations, (iii) consolidated statements of cash flows, and (iv) the notes to the consolidated financial statements.</w:t>
      </w:r>
    </w:p>
    <w:p>
      <w:pPr>
        <w:spacing w:after="0" w:line="215"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Users of this data are advised that pursuant to Rule 406T of Regulation S-T these interactive data files are deemed not filed or part of a registration statement or prospectus for purposes of Sections 11 or 12 of the Securities Act of 1933, as amended, are deemed not filed for the purposes of Section 18 of the Securities and Exchange Act of 1934, as amended, and otherwise are not subject to liability under those sections.</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No other changes have been made to the Form 10-Q other than those described above. This Amendment No. 1 does not reflect subsequent events occurring after the original filing date of the Form 10-Q or modify or update in any way disclosures made in the Form 10-Q.</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60" w:type="dxa"/>
            <w:vAlign w:val="bottom"/>
          </w:tcPr>
          <w:p>
            <w:pPr>
              <w:ind w:left="2140"/>
              <w:spacing w:after="0"/>
              <w:rPr>
                <w:sz w:val="20"/>
                <w:szCs w:val="20"/>
                <w:color w:val="auto"/>
              </w:rPr>
            </w:pPr>
            <w:r>
              <w:rPr>
                <w:rFonts w:ascii="Arial" w:cs="Arial" w:eastAsia="Arial" w:hAnsi="Arial"/>
                <w:sz w:val="22"/>
                <w:szCs w:val="22"/>
                <w:b w:val="1"/>
                <w:bCs w:val="1"/>
                <w:color w:val="auto"/>
              </w:rPr>
              <w:t>EXHIBITS</w:t>
            </w:r>
          </w:p>
        </w:tc>
      </w:tr>
      <w:tr>
        <w:trPr>
          <w:trHeight w:val="40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Title of Document</w:t>
            </w:r>
          </w:p>
        </w:tc>
        <w:tc>
          <w:tcPr>
            <w:tcW w:w="3960" w:type="dxa"/>
            <w:vAlign w:val="bottom"/>
          </w:tcPr>
          <w:p>
            <w:pPr>
              <w:spacing w:after="0"/>
              <w:rPr>
                <w:sz w:val="24"/>
                <w:szCs w:val="24"/>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 Previously filed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Principal Financial Officer – Previously filed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 Previously filed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Principal Financial Officer – Previously filed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XBRL Instance Document – Submitted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XBRL Taxonomy Extension Schema – Submitted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w w:val="94"/>
              </w:rPr>
              <w:t>XBRL Taxonomy Extension Calculation Linkbase – Submitted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w w:val="95"/>
              </w:rPr>
              <w:t>XBRL Taxonomy Extension Definitions Linkbase – Submitted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 Submitted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7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w w:val="92"/>
              </w:rPr>
              <w:t>XBRL Taxonomy Extension Presentation Linkbase – Submitted herewith</w:t>
            </w: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and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ClearOne Communications, Inc.,</w:t>
            </w:r>
          </w:p>
        </w:tc>
      </w:tr>
      <w:tr>
        <w:trPr>
          <w:trHeight w:val="230"/>
        </w:trPr>
        <w:tc>
          <w:tcPr>
            <w:tcW w:w="3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(Registrant)</w:t>
            </w:r>
          </w:p>
        </w:tc>
      </w:tr>
      <w:tr>
        <w:trPr>
          <w:trHeight w:val="648"/>
        </w:trPr>
        <w:tc>
          <w:tcPr>
            <w:tcW w:w="3020" w:type="dxa"/>
            <w:vAlign w:val="bottom"/>
          </w:tcPr>
          <w:p>
            <w:pPr>
              <w:spacing w:after="0"/>
              <w:rPr>
                <w:sz w:val="20"/>
                <w:szCs w:val="20"/>
                <w:color w:val="auto"/>
              </w:rPr>
            </w:pPr>
            <w:r>
              <w:rPr>
                <w:rFonts w:ascii="Arial" w:cs="Arial" w:eastAsia="Arial" w:hAnsi="Arial"/>
                <w:sz w:val="18"/>
                <w:szCs w:val="18"/>
                <w:color w:val="auto"/>
              </w:rPr>
              <w:t>September 13, 2011</w:t>
            </w:r>
          </w:p>
        </w:tc>
        <w:tc>
          <w:tcPr>
            <w:tcW w:w="2200" w:type="dxa"/>
            <w:vAlign w:val="bottom"/>
          </w:tcPr>
          <w:p>
            <w:pPr>
              <w:ind w:left="1580"/>
              <w:spacing w:after="0"/>
              <w:rPr>
                <w:sz w:val="20"/>
                <w:szCs w:val="20"/>
                <w:color w:val="auto"/>
              </w:rPr>
            </w:pPr>
            <w:r>
              <w:rPr>
                <w:rFonts w:ascii="Arial" w:cs="Arial" w:eastAsia="Arial" w:hAnsi="Arial"/>
                <w:sz w:val="18"/>
                <w:szCs w:val="18"/>
                <w:color w:val="auto"/>
              </w:rPr>
              <w:t>By:</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/s/ Zeynep Hakimoglu</w:t>
            </w:r>
          </w:p>
        </w:tc>
      </w:tr>
      <w:tr>
        <w:trPr>
          <w:trHeight w:val="195"/>
        </w:trPr>
        <w:tc>
          <w:tcPr>
            <w:tcW w:w="3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Zeynep Hakimoglu</w:t>
            </w:r>
          </w:p>
        </w:tc>
        <w:tc>
          <w:tcPr>
            <w:tcW w:w="110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3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3020" w:type="dxa"/>
            <w:vAlign w:val="bottom"/>
          </w:tcPr>
          <w:p>
            <w:pPr>
              <w:spacing w:after="0"/>
              <w:rPr>
                <w:sz w:val="20"/>
                <w:szCs w:val="20"/>
                <w:color w:val="auto"/>
              </w:rPr>
            </w:pPr>
            <w:r>
              <w:rPr>
                <w:rFonts w:ascii="Arial" w:cs="Arial" w:eastAsia="Arial" w:hAnsi="Arial"/>
                <w:sz w:val="18"/>
                <w:szCs w:val="18"/>
                <w:color w:val="auto"/>
              </w:rPr>
              <w:t>September 13, 2011</w:t>
            </w:r>
          </w:p>
        </w:tc>
        <w:tc>
          <w:tcPr>
            <w:tcW w:w="2200" w:type="dxa"/>
            <w:vAlign w:val="bottom"/>
          </w:tcPr>
          <w:p>
            <w:pPr>
              <w:ind w:left="1580"/>
              <w:spacing w:after="0"/>
              <w:rPr>
                <w:sz w:val="20"/>
                <w:szCs w:val="20"/>
                <w:color w:val="auto"/>
              </w:rPr>
            </w:pPr>
            <w:r>
              <w:rPr>
                <w:rFonts w:ascii="Arial" w:cs="Arial" w:eastAsia="Arial" w:hAnsi="Arial"/>
                <w:sz w:val="18"/>
                <w:szCs w:val="18"/>
                <w:color w:val="auto"/>
              </w:rPr>
              <w:t>By:</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/s/ Narsi Narayanan</w:t>
            </w:r>
          </w:p>
        </w:tc>
      </w:tr>
      <w:tr>
        <w:trPr>
          <w:trHeight w:val="195"/>
        </w:trPr>
        <w:tc>
          <w:tcPr>
            <w:tcW w:w="3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Narsi Narayanan</w:t>
            </w:r>
          </w:p>
        </w:tc>
        <w:tc>
          <w:tcPr>
            <w:tcW w:w="110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Vice President of Finance</w:t>
            </w:r>
          </w:p>
        </w:tc>
      </w:tr>
      <w:tr>
        <w:trPr>
          <w:trHeight w:val="230"/>
        </w:trPr>
        <w:tc>
          <w:tcPr>
            <w:tcW w:w="3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320" w:type="dxa"/>
            <w:vAlign w:val="bottom"/>
            <w:gridSpan w:val="2"/>
          </w:tcPr>
          <w:p>
            <w:pPr>
              <w:ind w:left="40"/>
              <w:spacing w:after="0"/>
              <w:rPr>
                <w:sz w:val="20"/>
                <w:szCs w:val="20"/>
                <w:color w:val="auto"/>
              </w:rPr>
            </w:pPr>
            <w:r>
              <w:rPr>
                <w:rFonts w:ascii="Arial" w:cs="Arial" w:eastAsia="Arial" w:hAnsi="Arial"/>
                <w:sz w:val="18"/>
                <w:szCs w:val="18"/>
                <w:i w:val="1"/>
                <w:iCs w:val="1"/>
                <w:color w:val="auto"/>
                <w:w w:val="94"/>
              </w:rPr>
              <w:t>(Principal Financial and Accounting Officer)</w:t>
            </w:r>
          </w:p>
        </w:tc>
      </w:tr>
    </w:tbl>
    <w:p>
      <w:pPr>
        <w:spacing w:after="0" w:line="1" w:lineRule="exact"/>
        <w:rPr>
          <w:sz w:val="20"/>
          <w:szCs w:val="20"/>
          <w:color w:val="auto"/>
        </w:rPr>
      </w:pP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2019-12-10T09:28:16Z</dcterms:created>
  <dcterms:modified xsi:type="dcterms:W3CDTF">2019-12-10T09:28:16Z</dcterms:modified>
</cp:coreProperties>
</file>