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HUNTSMAN SCOTT</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13.2</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06/01/2015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06/01/2025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was June 1, 2015. The remaining options will vest in equal monthly increments over the subsequent 24-month period.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Scott M. Huntsman</w:t>
            </w:r>
          </w:p>
        </w:tc>
        <w:tc>
          <w:tcPr>
            <w:tcW w:w="780" w:type="dxa"/>
            <w:vAlign w:val="bottom"/>
          </w:tcPr>
          <w:p>
            <w:pPr>
              <w:spacing w:after="0"/>
              <w:rPr>
                <w:sz w:val="20"/>
                <w:szCs w:val="20"/>
                <w:color w:val="auto"/>
              </w:rPr>
            </w:pPr>
            <w:r>
              <w:rPr>
                <w:rFonts w:ascii="Arial" w:cs="Arial" w:eastAsia="Arial" w:hAnsi="Arial"/>
                <w:sz w:val="17"/>
                <w:szCs w:val="17"/>
                <w:color w:val="0000FF"/>
                <w:w w:val="89"/>
              </w:rPr>
              <w:t>06/03/2015</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2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2019-12-23T21:38:41Z</dcterms:created>
  <dcterms:modified xsi:type="dcterms:W3CDTF">2019-12-23T21:38:41Z</dcterms:modified>
</cp:coreProperties>
</file>