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0"/>
          <w:szCs w:val="20"/>
          <w:b w:val="1"/>
          <w:bCs w:val="1"/>
          <w:color w:val="auto"/>
        </w:rPr>
        <w:t>UNITED STATES</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20"/>
          <w:szCs w:val="20"/>
          <w:b w:val="1"/>
          <w:bCs w:val="1"/>
          <w:color w:val="auto"/>
        </w:rPr>
        <w:t>SECURITIES AND EXCHANGE COMMISSION</w:t>
      </w:r>
    </w:p>
    <w:p>
      <w:pPr>
        <w:jc w:val="center"/>
        <w:ind w:right="-59"/>
        <w:spacing w:after="0"/>
        <w:rPr>
          <w:sz w:val="20"/>
          <w:szCs w:val="20"/>
          <w:color w:val="auto"/>
        </w:rPr>
      </w:pPr>
      <w:r>
        <w:rPr>
          <w:rFonts w:ascii="Arial" w:cs="Arial" w:eastAsia="Arial" w:hAnsi="Arial"/>
          <w:sz w:val="20"/>
          <w:szCs w:val="20"/>
          <w:b w:val="1"/>
          <w:bCs w:val="1"/>
          <w:color w:val="auto"/>
        </w:rPr>
        <w:t>WASHINGTON, D.C. 20549</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31"/>
          <w:szCs w:val="31"/>
          <w:b w:val="1"/>
          <w:bCs w:val="1"/>
          <w:color w:val="auto"/>
        </w:rPr>
        <w:t>FORM 10-K/A</w:t>
      </w:r>
    </w:p>
    <w:p>
      <w:pPr>
        <w:spacing w:after="0" w:line="6"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(Amendment No. 1)</w:t>
      </w:r>
    </w:p>
    <w:p>
      <w:pPr>
        <w:spacing w:after="0" w:line="7"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333" w:lineRule="exact"/>
        <w:rPr>
          <w:sz w:val="24"/>
          <w:szCs w:val="24"/>
          <w:color w:val="auto"/>
        </w:rPr>
      </w:pPr>
    </w:p>
    <w:p>
      <w:pPr>
        <w:ind w:left="460" w:right="3020" w:hanging="425"/>
        <w:spacing w:after="0" w:line="298" w:lineRule="auto"/>
        <w:tabs>
          <w:tab w:leader="none" w:pos="460" w:val="left"/>
        </w:tabs>
        <w:numPr>
          <w:ilvl w:val="0"/>
          <w:numId w:val="1"/>
        </w:numPr>
        <w:rPr>
          <w:rFonts w:ascii="Arial" w:cs="Arial" w:eastAsia="Arial" w:hAnsi="Arial"/>
          <w:sz w:val="16"/>
          <w:szCs w:val="16"/>
          <w:color w:val="auto"/>
        </w:rPr>
      </w:pPr>
      <w:r>
        <w:rPr>
          <w:rFonts w:ascii="Arial" w:cs="Arial" w:eastAsia="Arial" w:hAnsi="Arial"/>
          <w:sz w:val="16"/>
          <w:szCs w:val="16"/>
          <w:b w:val="1"/>
          <w:bCs w:val="1"/>
          <w:color w:val="auto"/>
        </w:rPr>
        <w:t xml:space="preserve">ANNUAL REPORT PURSUANT TO SECTION 13 OR 15(d) OF THE SECURITIES EXCHANGE ACT OF 1934 </w:t>
      </w:r>
      <w:r>
        <w:rPr>
          <w:rFonts w:ascii="Arial" w:cs="Arial" w:eastAsia="Arial" w:hAnsi="Arial"/>
          <w:sz w:val="16"/>
          <w:szCs w:val="16"/>
          <w:color w:val="auto"/>
        </w:rPr>
        <w:t>For the fiscal year ended December 31, 2012</w:t>
      </w:r>
    </w:p>
    <w:p>
      <w:pPr>
        <w:spacing w:after="0" w:line="16" w:lineRule="exact"/>
        <w:rPr>
          <w:sz w:val="24"/>
          <w:szCs w:val="24"/>
          <w:color w:val="auto"/>
        </w:rPr>
      </w:pPr>
    </w:p>
    <w:p>
      <w:pPr>
        <w:ind w:left="460" w:right="2680" w:hanging="425"/>
        <w:spacing w:after="0" w:line="298" w:lineRule="auto"/>
        <w:tabs>
          <w:tab w:leader="none" w:pos="136" w:val="left"/>
        </w:tabs>
        <w:numPr>
          <w:ilvl w:val="0"/>
          <w:numId w:val="2"/>
        </w:numPr>
        <w:rPr>
          <w:rFonts w:ascii="Arial" w:cs="Arial" w:eastAsia="Arial" w:hAnsi="Arial"/>
          <w:sz w:val="16"/>
          <w:szCs w:val="16"/>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TRANSITION REPORT PURSUANT TO SECTION 13 OR 15(d) OF THE SECURITIES EXCHANGE ACT OF 1934</w:t>
      </w:r>
      <w:r>
        <w:rPr>
          <w:rFonts w:ascii="Arial" w:cs="Arial" w:eastAsia="Arial" w:hAnsi="Arial"/>
          <w:sz w:val="16"/>
          <w:szCs w:val="16"/>
          <w:color w:val="auto"/>
        </w:rPr>
        <w:t xml:space="preserve"> For the transition period from _________ to ___________</w:t>
      </w:r>
    </w:p>
    <w:p>
      <w:pPr>
        <w:spacing w:after="0" w:line="209" w:lineRule="exact"/>
        <w:rPr>
          <w:sz w:val="24"/>
          <w:szCs w:val="24"/>
          <w:color w:val="auto"/>
        </w:rPr>
      </w:pPr>
    </w:p>
    <w:p>
      <w:pPr>
        <w:spacing w:after="0"/>
        <w:rPr>
          <w:sz w:val="20"/>
          <w:szCs w:val="20"/>
          <w:color w:val="auto"/>
        </w:rPr>
      </w:pPr>
      <w:r>
        <w:rPr>
          <w:rFonts w:ascii="Arial" w:cs="Arial" w:eastAsia="Arial" w:hAnsi="Arial"/>
          <w:sz w:val="16"/>
          <w:szCs w:val="16"/>
          <w:color w:val="auto"/>
        </w:rPr>
        <w:t xml:space="preserve">Commission file number </w:t>
      </w:r>
      <w:r>
        <w:rPr>
          <w:rFonts w:ascii="Arial" w:cs="Arial" w:eastAsia="Arial" w:hAnsi="Arial"/>
          <w:sz w:val="16"/>
          <w:szCs w:val="16"/>
          <w:u w:val="single" w:color="auto"/>
          <w:color w:val="auto"/>
        </w:rPr>
        <w:t>001-33660</w:t>
      </w:r>
    </w:p>
    <w:p>
      <w:pPr>
        <w:spacing w:after="0" w:line="20"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CLEARONE, INC.</w:t>
      </w:r>
    </w:p>
    <w:p>
      <w:pPr>
        <w:spacing w:after="0" w:line="6"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331"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58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5"/>
              </w:rPr>
              <w:t>Utah</w:t>
            </w:r>
          </w:p>
        </w:tc>
        <w:tc>
          <w:tcPr>
            <w:tcW w:w="4960" w:type="dxa"/>
            <w:vAlign w:val="bottom"/>
          </w:tcPr>
          <w:p>
            <w:pPr>
              <w:jc w:val="right"/>
              <w:ind w:right="1999"/>
              <w:spacing w:after="0"/>
              <w:rPr>
                <w:sz w:val="20"/>
                <w:szCs w:val="20"/>
                <w:color w:val="auto"/>
              </w:rPr>
            </w:pPr>
            <w:r>
              <w:rPr>
                <w:rFonts w:ascii="Arial" w:cs="Arial" w:eastAsia="Arial" w:hAnsi="Arial"/>
                <w:sz w:val="16"/>
                <w:szCs w:val="16"/>
                <w:b w:val="1"/>
                <w:bCs w:val="1"/>
                <w:color w:val="auto"/>
              </w:rPr>
              <w:t>87-0398877</w:t>
            </w:r>
          </w:p>
        </w:tc>
      </w:tr>
      <w:tr>
        <w:trPr>
          <w:trHeight w:val="47"/>
        </w:trPr>
        <w:tc>
          <w:tcPr>
            <w:tcW w:w="57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4960" w:type="dxa"/>
            <w:vAlign w:val="bottom"/>
            <w:tcBorders>
              <w:bottom w:val="single" w:sz="8" w:color="auto"/>
            </w:tcBorders>
          </w:tcPr>
          <w:p>
            <w:pPr>
              <w:spacing w:after="0"/>
              <w:rPr>
                <w:sz w:val="4"/>
                <w:szCs w:val="4"/>
                <w:color w:val="auto"/>
              </w:rPr>
            </w:pPr>
          </w:p>
        </w:tc>
      </w:tr>
      <w:tr>
        <w:trPr>
          <w:trHeight w:val="217"/>
        </w:trPr>
        <w:tc>
          <w:tcPr>
            <w:tcW w:w="5860" w:type="dxa"/>
            <w:vAlign w:val="bottom"/>
            <w:gridSpan w:val="2"/>
          </w:tcPr>
          <w:p>
            <w:pPr>
              <w:ind w:left="40"/>
              <w:spacing w:after="0"/>
              <w:rPr>
                <w:sz w:val="20"/>
                <w:szCs w:val="20"/>
                <w:color w:val="auto"/>
              </w:rPr>
            </w:pPr>
            <w:r>
              <w:rPr>
                <w:rFonts w:ascii="Arial" w:cs="Arial" w:eastAsia="Arial" w:hAnsi="Arial"/>
                <w:sz w:val="16"/>
                <w:szCs w:val="16"/>
                <w:color w:val="auto"/>
              </w:rPr>
              <w:t>(State or other jurisdiction of incorporation or organization)</w:t>
            </w:r>
          </w:p>
        </w:tc>
        <w:tc>
          <w:tcPr>
            <w:tcW w:w="4960" w:type="dxa"/>
            <w:vAlign w:val="bottom"/>
          </w:tcPr>
          <w:p>
            <w:pPr>
              <w:jc w:val="right"/>
              <w:ind w:right="2279"/>
              <w:spacing w:after="0"/>
              <w:rPr>
                <w:sz w:val="20"/>
                <w:szCs w:val="20"/>
                <w:color w:val="auto"/>
              </w:rPr>
            </w:pPr>
            <w:r>
              <w:rPr>
                <w:rFonts w:ascii="Arial" w:cs="Arial" w:eastAsia="Arial" w:hAnsi="Arial"/>
                <w:sz w:val="16"/>
                <w:szCs w:val="16"/>
                <w:color w:val="auto"/>
                <w:w w:val="94"/>
              </w:rPr>
              <w:t>(I.R.S. employer identification number)</w:t>
            </w:r>
          </w:p>
        </w:tc>
      </w:tr>
      <w:tr>
        <w:trPr>
          <w:trHeight w:val="581"/>
        </w:trPr>
        <w:tc>
          <w:tcPr>
            <w:tcW w:w="58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5225 Wiley Post Way, Suite 500, Salt Lake City, Utah</w:t>
            </w:r>
          </w:p>
        </w:tc>
        <w:tc>
          <w:tcPr>
            <w:tcW w:w="4960" w:type="dxa"/>
            <w:vAlign w:val="bottom"/>
          </w:tcPr>
          <w:p>
            <w:pPr>
              <w:jc w:val="right"/>
              <w:ind w:right="2199"/>
              <w:spacing w:after="0"/>
              <w:rPr>
                <w:sz w:val="20"/>
                <w:szCs w:val="20"/>
                <w:color w:val="auto"/>
              </w:rPr>
            </w:pPr>
            <w:r>
              <w:rPr>
                <w:rFonts w:ascii="Arial" w:cs="Arial" w:eastAsia="Arial" w:hAnsi="Arial"/>
                <w:sz w:val="16"/>
                <w:szCs w:val="16"/>
                <w:b w:val="1"/>
                <w:bCs w:val="1"/>
                <w:color w:val="auto"/>
              </w:rPr>
              <w:t>84116</w:t>
            </w:r>
          </w:p>
        </w:tc>
      </w:tr>
      <w:tr>
        <w:trPr>
          <w:trHeight w:val="47"/>
        </w:trPr>
        <w:tc>
          <w:tcPr>
            <w:tcW w:w="57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4960" w:type="dxa"/>
            <w:vAlign w:val="bottom"/>
            <w:tcBorders>
              <w:bottom w:val="single" w:sz="8" w:color="auto"/>
            </w:tcBorders>
          </w:tcPr>
          <w:p>
            <w:pPr>
              <w:spacing w:after="0"/>
              <w:rPr>
                <w:sz w:val="4"/>
                <w:szCs w:val="4"/>
                <w:color w:val="auto"/>
              </w:rPr>
            </w:pPr>
          </w:p>
        </w:tc>
      </w:tr>
      <w:tr>
        <w:trPr>
          <w:trHeight w:val="217"/>
        </w:trPr>
        <w:tc>
          <w:tcPr>
            <w:tcW w:w="5860" w:type="dxa"/>
            <w:vAlign w:val="bottom"/>
            <w:gridSpan w:val="2"/>
          </w:tcPr>
          <w:p>
            <w:pPr>
              <w:jc w:val="center"/>
              <w:ind w:right="100"/>
              <w:spacing w:after="0"/>
              <w:rPr>
                <w:sz w:val="20"/>
                <w:szCs w:val="20"/>
                <w:color w:val="auto"/>
              </w:rPr>
            </w:pPr>
            <w:r>
              <w:rPr>
                <w:rFonts w:ascii="Arial" w:cs="Arial" w:eastAsia="Arial" w:hAnsi="Arial"/>
                <w:sz w:val="16"/>
                <w:szCs w:val="16"/>
                <w:color w:val="auto"/>
                <w:w w:val="93"/>
              </w:rPr>
              <w:t>(Address of principal executive offices)</w:t>
            </w:r>
          </w:p>
        </w:tc>
        <w:tc>
          <w:tcPr>
            <w:tcW w:w="4960" w:type="dxa"/>
            <w:vAlign w:val="bottom"/>
          </w:tcPr>
          <w:p>
            <w:pPr>
              <w:jc w:val="right"/>
              <w:ind w:right="2039"/>
              <w:spacing w:after="0"/>
              <w:rPr>
                <w:sz w:val="20"/>
                <w:szCs w:val="20"/>
                <w:color w:val="auto"/>
              </w:rPr>
            </w:pPr>
            <w:r>
              <w:rPr>
                <w:rFonts w:ascii="Arial" w:cs="Arial" w:eastAsia="Arial" w:hAnsi="Arial"/>
                <w:sz w:val="16"/>
                <w:szCs w:val="16"/>
                <w:color w:val="auto"/>
              </w:rPr>
              <w:t>(Zip Code)</w:t>
            </w:r>
          </w:p>
        </w:tc>
      </w:tr>
      <w:tr>
        <w:trPr>
          <w:trHeight w:val="567"/>
        </w:trPr>
        <w:tc>
          <w:tcPr>
            <w:tcW w:w="5860" w:type="dxa"/>
            <w:vAlign w:val="bottom"/>
            <w:gridSpan w:val="2"/>
          </w:tcPr>
          <w:p>
            <w:pPr>
              <w:ind w:left="1820"/>
              <w:spacing w:after="0"/>
              <w:rPr>
                <w:sz w:val="20"/>
                <w:szCs w:val="20"/>
                <w:color w:val="auto"/>
              </w:rPr>
            </w:pPr>
            <w:r>
              <w:rPr>
                <w:rFonts w:ascii="Arial" w:cs="Arial" w:eastAsia="Arial" w:hAnsi="Arial"/>
                <w:sz w:val="16"/>
                <w:szCs w:val="16"/>
                <w:color w:val="auto"/>
              </w:rPr>
              <w:t>(Registrant’s telephone number, including area code)</w:t>
            </w:r>
          </w:p>
        </w:tc>
        <w:tc>
          <w:tcPr>
            <w:tcW w:w="4960" w:type="dxa"/>
            <w:vAlign w:val="bottom"/>
          </w:tcPr>
          <w:p>
            <w:pPr>
              <w:jc w:val="right"/>
              <w:ind w:right="2759"/>
              <w:spacing w:after="0"/>
              <w:rPr>
                <w:sz w:val="20"/>
                <w:szCs w:val="20"/>
                <w:color w:val="auto"/>
              </w:rPr>
            </w:pPr>
            <w:r>
              <w:rPr>
                <w:rFonts w:ascii="Arial" w:cs="Arial" w:eastAsia="Arial" w:hAnsi="Arial"/>
                <w:sz w:val="16"/>
                <w:szCs w:val="16"/>
                <w:b w:val="1"/>
                <w:bCs w:val="1"/>
                <w:color w:val="auto"/>
              </w:rPr>
              <w:t>801-975-7200</w:t>
            </w:r>
          </w:p>
        </w:tc>
      </w:tr>
    </w:tbl>
    <w:p>
      <w:pPr>
        <w:spacing w:after="0" w:line="91" w:lineRule="exact"/>
        <w:rPr>
          <w:sz w:val="24"/>
          <w:szCs w:val="24"/>
          <w:color w:val="auto"/>
        </w:rPr>
      </w:pPr>
    </w:p>
    <w:p>
      <w:pPr>
        <w:jc w:val="center"/>
        <w:ind w:right="-59"/>
        <w:spacing w:after="0"/>
        <w:rPr>
          <w:sz w:val="20"/>
          <w:szCs w:val="20"/>
          <w:color w:val="auto"/>
        </w:rPr>
      </w:pPr>
      <w:r>
        <w:rPr>
          <w:rFonts w:ascii="Arial" w:cs="Arial" w:eastAsia="Arial" w:hAnsi="Arial"/>
          <w:sz w:val="16"/>
          <w:szCs w:val="16"/>
          <w:color w:val="auto"/>
        </w:rPr>
        <w:t>Securities registered pursuant to Section 12(b) of the Act:</w:t>
      </w:r>
    </w:p>
    <w:p>
      <w:pPr>
        <w:spacing w:after="0" w:line="232" w:lineRule="exact"/>
        <w:rPr>
          <w:sz w:val="24"/>
          <w:szCs w:val="24"/>
          <w:color w:val="auto"/>
        </w:rPr>
      </w:pPr>
    </w:p>
    <w:tbl>
      <w:tblPr>
        <w:tblLayout w:type="fixed"/>
        <w:tblInd w:w="1960" w:type="dxa"/>
        <w:tblCellMar>
          <w:top w:w="0" w:type="dxa"/>
          <w:left w:w="0" w:type="dxa"/>
          <w:bottom w:w="0" w:type="dxa"/>
          <w:right w:w="0" w:type="dxa"/>
        </w:tblCellMar>
      </w:tblPr>
      <w:tr>
        <w:trPr>
          <w:trHeight w:val="161"/>
        </w:trPr>
        <w:tc>
          <w:tcPr>
            <w:tcW w:w="84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3560" w:type="dxa"/>
            <w:vAlign w:val="bottom"/>
          </w:tcPr>
          <w:p>
            <w:pPr>
              <w:spacing w:after="0"/>
              <w:rPr>
                <w:sz w:val="14"/>
                <w:szCs w:val="14"/>
                <w:color w:val="auto"/>
              </w:rPr>
            </w:pPr>
          </w:p>
        </w:tc>
        <w:tc>
          <w:tcPr>
            <w:tcW w:w="27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Name on each exchange on which registered</w:t>
            </w:r>
          </w:p>
        </w:tc>
        <w:tc>
          <w:tcPr>
            <w:tcW w:w="660" w:type="dxa"/>
            <w:vAlign w:val="bottom"/>
          </w:tcPr>
          <w:p>
            <w:pPr>
              <w:spacing w:after="0"/>
              <w:rPr>
                <w:sz w:val="14"/>
                <w:szCs w:val="14"/>
                <w:color w:val="auto"/>
              </w:rPr>
            </w:pPr>
          </w:p>
        </w:tc>
      </w:tr>
      <w:tr>
        <w:trPr>
          <w:trHeight w:val="312"/>
        </w:trPr>
        <w:tc>
          <w:tcPr>
            <w:tcW w:w="5480" w:type="dxa"/>
            <w:vAlign w:val="bottom"/>
            <w:gridSpan w:val="3"/>
          </w:tcPr>
          <w:p>
            <w:pPr>
              <w:jc w:val="center"/>
              <w:ind w:right="2740"/>
              <w:spacing w:after="0"/>
              <w:rPr>
                <w:sz w:val="20"/>
                <w:szCs w:val="20"/>
                <w:color w:val="auto"/>
              </w:rPr>
            </w:pPr>
            <w:r>
              <w:rPr>
                <w:rFonts w:ascii="Arial" w:cs="Arial" w:eastAsia="Arial" w:hAnsi="Arial"/>
                <w:sz w:val="16"/>
                <w:szCs w:val="16"/>
                <w:color w:val="auto"/>
                <w:w w:val="91"/>
              </w:rPr>
              <w:t>Common Stock, $0.001 par value</w:t>
            </w:r>
          </w:p>
        </w:tc>
        <w:tc>
          <w:tcPr>
            <w:tcW w:w="140" w:type="dxa"/>
            <w:vAlign w:val="bottom"/>
          </w:tcPr>
          <w:p>
            <w:pPr>
              <w:spacing w:after="0"/>
              <w:rPr>
                <w:sz w:val="24"/>
                <w:szCs w:val="24"/>
                <w:color w:val="auto"/>
              </w:rPr>
            </w:pPr>
          </w:p>
        </w:tc>
        <w:tc>
          <w:tcPr>
            <w:tcW w:w="3240" w:type="dxa"/>
            <w:vAlign w:val="bottom"/>
            <w:gridSpan w:val="2"/>
          </w:tcPr>
          <w:p>
            <w:pPr>
              <w:jc w:val="center"/>
              <w:ind w:right="800"/>
              <w:spacing w:after="0"/>
              <w:rPr>
                <w:sz w:val="20"/>
                <w:szCs w:val="20"/>
                <w:color w:val="auto"/>
              </w:rPr>
            </w:pPr>
            <w:r>
              <w:rPr>
                <w:rFonts w:ascii="Arial" w:cs="Arial" w:eastAsia="Arial" w:hAnsi="Arial"/>
                <w:sz w:val="16"/>
                <w:szCs w:val="16"/>
                <w:color w:val="auto"/>
                <w:w w:val="96"/>
              </w:rPr>
              <w:t>The NASDAQ Capital Market</w:t>
            </w:r>
          </w:p>
        </w:tc>
      </w:tr>
      <w:tr>
        <w:trPr>
          <w:trHeight w:val="594"/>
        </w:trPr>
        <w:tc>
          <w:tcPr>
            <w:tcW w:w="5480" w:type="dxa"/>
            <w:vAlign w:val="bottom"/>
            <w:gridSpan w:val="3"/>
          </w:tcPr>
          <w:p>
            <w:pPr>
              <w:spacing w:after="0"/>
              <w:rPr>
                <w:sz w:val="20"/>
                <w:szCs w:val="20"/>
                <w:color w:val="auto"/>
              </w:rPr>
            </w:pPr>
            <w:r>
              <w:rPr>
                <w:rFonts w:ascii="Arial" w:cs="Arial" w:eastAsia="Arial" w:hAnsi="Arial"/>
                <w:sz w:val="16"/>
                <w:szCs w:val="16"/>
                <w:color w:val="auto"/>
              </w:rPr>
              <w:t>Securities registered pursuant to Section 12(g) of the Act</w:t>
            </w:r>
          </w:p>
        </w:tc>
        <w:tc>
          <w:tcPr>
            <w:tcW w:w="140" w:type="dxa"/>
            <w:vAlign w:val="bottom"/>
          </w:tcPr>
          <w:p>
            <w:pPr>
              <w:spacing w:after="0"/>
              <w:rPr>
                <w:sz w:val="24"/>
                <w:szCs w:val="24"/>
                <w:color w:val="auto"/>
              </w:rPr>
            </w:pPr>
          </w:p>
        </w:tc>
        <w:tc>
          <w:tcPr>
            <w:tcW w:w="3240" w:type="dxa"/>
            <w:vAlign w:val="bottom"/>
            <w:tcBorders>
              <w:bottom w:val="single" w:sz="8" w:color="auto"/>
            </w:tcBorders>
            <w:gridSpan w:val="2"/>
          </w:tcPr>
          <w:p>
            <w:pPr>
              <w:ind w:left="1440"/>
              <w:spacing w:after="0"/>
              <w:rPr>
                <w:sz w:val="20"/>
                <w:szCs w:val="20"/>
                <w:color w:val="auto"/>
              </w:rPr>
            </w:pPr>
            <w:r>
              <w:rPr>
                <w:rFonts w:ascii="Arial" w:cs="Arial" w:eastAsia="Arial" w:hAnsi="Arial"/>
                <w:sz w:val="16"/>
                <w:szCs w:val="16"/>
                <w:b w:val="1"/>
                <w:bCs w:val="1"/>
                <w:color w:val="auto"/>
              </w:rPr>
              <w:t>None</w:t>
            </w:r>
          </w:p>
        </w:tc>
      </w:tr>
    </w:tbl>
    <w:p>
      <w:pPr>
        <w:spacing w:after="0" w:line="136" w:lineRule="exact"/>
        <w:rPr>
          <w:sz w:val="24"/>
          <w:szCs w:val="24"/>
          <w:color w:val="auto"/>
        </w:rPr>
      </w:pPr>
    </w:p>
    <w:p>
      <w:pPr>
        <w:ind w:right="2880"/>
        <w:spacing w:after="0" w:line="208"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oYes </w:t>
      </w:r>
      <w:r>
        <w:rPr>
          <w:rFonts w:ascii="MS PGothic" w:cs="MS PGothic" w:eastAsia="MS PGothic" w:hAnsi="MS PGothic"/>
          <w:sz w:val="14"/>
          <w:szCs w:val="14"/>
          <w:color w:val="auto"/>
        </w:rPr>
        <w:t>☒</w:t>
      </w:r>
      <w:r>
        <w:rPr>
          <w:rFonts w:ascii="Arial" w:cs="Arial" w:eastAsia="Arial" w:hAnsi="Arial"/>
          <w:sz w:val="14"/>
          <w:szCs w:val="14"/>
          <w:color w:val="auto"/>
        </w:rPr>
        <w:t xml:space="preserve"> No Indicate by check mark if the registrant is not required to file reports pursuant to Section 13 or Section 15(d) of the Act. oYes </w:t>
      </w:r>
      <w:r>
        <w:rPr>
          <w:rFonts w:ascii="MS PGothic" w:cs="MS PGothic" w:eastAsia="MS PGothic" w:hAnsi="MS PGothic"/>
          <w:sz w:val="14"/>
          <w:szCs w:val="14"/>
          <w:color w:val="auto"/>
        </w:rPr>
        <w:t>☒</w:t>
      </w:r>
      <w:r>
        <w:rPr>
          <w:rFonts w:ascii="Arial" w:cs="Arial" w:eastAsia="Arial" w:hAnsi="Arial"/>
          <w:sz w:val="14"/>
          <w:szCs w:val="14"/>
          <w:color w:val="auto"/>
        </w:rPr>
        <w:t>No</w:t>
      </w:r>
    </w:p>
    <w:p>
      <w:pPr>
        <w:spacing w:after="0" w:line="19" w:lineRule="exact"/>
        <w:rPr>
          <w:sz w:val="24"/>
          <w:szCs w:val="24"/>
          <w:color w:val="auto"/>
        </w:rPr>
      </w:pPr>
    </w:p>
    <w:p>
      <w:pPr>
        <w:ind w:right="80"/>
        <w:spacing w:after="0" w:line="194"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4"/>
          <w:szCs w:val="14"/>
          <w:color w:val="auto"/>
        </w:rPr>
        <w:t>☒</w:t>
      </w:r>
      <w:r>
        <w:rPr>
          <w:rFonts w:ascii="Arial" w:cs="Arial" w:eastAsia="Arial" w:hAnsi="Arial"/>
          <w:sz w:val="14"/>
          <w:szCs w:val="14"/>
          <w:color w:val="auto"/>
        </w:rPr>
        <w:t>Yes oNo</w:t>
      </w:r>
    </w:p>
    <w:p>
      <w:pPr>
        <w:spacing w:after="0" w:line="19" w:lineRule="exact"/>
        <w:rPr>
          <w:sz w:val="24"/>
          <w:szCs w:val="24"/>
          <w:color w:val="auto"/>
        </w:rPr>
      </w:pPr>
    </w:p>
    <w:p>
      <w:pPr>
        <w:jc w:val="both"/>
        <w:spacing w:after="0" w:line="183"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w:t>
      </w:r>
      <w:r>
        <w:rPr>
          <w:rFonts w:ascii="MS PGothic" w:cs="MS PGothic" w:eastAsia="MS PGothic" w:hAnsi="MS PGothic"/>
          <w:sz w:val="16"/>
          <w:szCs w:val="16"/>
          <w:color w:val="auto"/>
        </w:rPr>
        <w:t>☒</w:t>
      </w:r>
      <w:r>
        <w:rPr>
          <w:rFonts w:ascii="Arial" w:cs="Arial" w:eastAsia="Arial" w:hAnsi="Arial"/>
          <w:sz w:val="16"/>
          <w:szCs w:val="16"/>
          <w:color w:val="auto"/>
        </w:rPr>
        <w:t>Yes oNo</w:t>
      </w:r>
    </w:p>
    <w:p>
      <w:pPr>
        <w:spacing w:after="0" w:line="33" w:lineRule="exact"/>
        <w:rPr>
          <w:sz w:val="24"/>
          <w:szCs w:val="24"/>
          <w:color w:val="auto"/>
        </w:rPr>
      </w:pPr>
    </w:p>
    <w:p>
      <w:pPr>
        <w:ind w:right="100"/>
        <w:spacing w:after="0" w:line="287" w:lineRule="auto"/>
        <w:rPr>
          <w:sz w:val="20"/>
          <w:szCs w:val="20"/>
          <w:color w:val="auto"/>
        </w:rPr>
      </w:pPr>
      <w:r>
        <w:rPr>
          <w:rFonts w:ascii="Arial" w:cs="Arial" w:eastAsia="Arial" w:hAnsi="Arial"/>
          <w:sz w:val="14"/>
          <w:szCs w:val="14"/>
          <w:color w:val="auto"/>
        </w:rPr>
        <w:t>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w:t>
      </w:r>
    </w:p>
    <w:p>
      <w:pPr>
        <w:spacing w:after="0" w:line="1" w:lineRule="exact"/>
        <w:rPr>
          <w:sz w:val="24"/>
          <w:szCs w:val="24"/>
          <w:color w:val="auto"/>
        </w:rPr>
      </w:pPr>
    </w:p>
    <w:p>
      <w:pPr>
        <w:ind w:left="200" w:hanging="192"/>
        <w:spacing w:after="0" w:line="184" w:lineRule="exact"/>
        <w:tabs>
          <w:tab w:leader="none" w:pos="200" w:val="left"/>
        </w:tabs>
        <w:numPr>
          <w:ilvl w:val="0"/>
          <w:numId w:val="3"/>
        </w:numPr>
        <w:rPr>
          <w:rFonts w:ascii="Arial" w:cs="Arial" w:eastAsia="Arial" w:hAnsi="Arial"/>
          <w:sz w:val="16"/>
          <w:szCs w:val="16"/>
          <w:color w:val="auto"/>
        </w:rPr>
      </w:pPr>
      <w:r>
        <w:rPr>
          <w:rFonts w:ascii="MS PGothic" w:cs="MS PGothic" w:eastAsia="MS PGothic" w:hAnsi="MS PGothic"/>
          <w:sz w:val="16"/>
          <w:szCs w:val="16"/>
          <w:color w:val="auto"/>
        </w:rPr>
        <w:t>☒</w:t>
      </w:r>
    </w:p>
    <w:p>
      <w:pPr>
        <w:spacing w:after="0" w:line="78" w:lineRule="exact"/>
        <w:rPr>
          <w:sz w:val="24"/>
          <w:szCs w:val="24"/>
          <w:color w:val="auto"/>
        </w:rPr>
      </w:pPr>
    </w:p>
    <w:p>
      <w:pPr>
        <w:ind w:right="300"/>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“larger accelerated filer,” “accelerated filer” and “smaller reporting company” in Rule 12b-2 of the Exchange Act. (Check one):</w:t>
      </w:r>
    </w:p>
    <w:p>
      <w:pPr>
        <w:spacing w:after="0" w:line="294" w:lineRule="exact"/>
        <w:rPr>
          <w:sz w:val="24"/>
          <w:szCs w:val="24"/>
          <w:color w:val="auto"/>
        </w:rPr>
      </w:pPr>
    </w:p>
    <w:p>
      <w:pPr>
        <w:ind w:left="40"/>
        <w:spacing w:after="0"/>
        <w:tabs>
          <w:tab w:leader="none" w:pos="2720" w:val="left"/>
          <w:tab w:leader="none" w:pos="5480" w:val="left"/>
          <w:tab w:leader="none" w:pos="7920" w:val="left"/>
        </w:tabs>
        <w:rPr>
          <w:sz w:val="20"/>
          <w:szCs w:val="20"/>
          <w:color w:val="auto"/>
        </w:rPr>
      </w:pPr>
      <w:r>
        <w:rPr>
          <w:rFonts w:ascii="Arial" w:cs="Arial" w:eastAsia="Arial" w:hAnsi="Arial"/>
          <w:sz w:val="16"/>
          <w:szCs w:val="16"/>
          <w:color w:val="auto"/>
        </w:rPr>
        <w:t>Larger Accelerated Filer o</w:t>
      </w:r>
      <w:r>
        <w:rPr>
          <w:sz w:val="20"/>
          <w:szCs w:val="20"/>
          <w:color w:val="auto"/>
        </w:rPr>
        <w:tab/>
      </w:r>
      <w:r>
        <w:rPr>
          <w:rFonts w:ascii="Arial" w:cs="Arial" w:eastAsia="Arial" w:hAnsi="Arial"/>
          <w:sz w:val="16"/>
          <w:szCs w:val="16"/>
          <w:color w:val="auto"/>
        </w:rPr>
        <w:t>Accelerated Filer o</w:t>
      </w:r>
      <w:r>
        <w:rPr>
          <w:sz w:val="20"/>
          <w:szCs w:val="20"/>
          <w:color w:val="auto"/>
        </w:rPr>
        <w:tab/>
      </w:r>
      <w:r>
        <w:rPr>
          <w:rFonts w:ascii="Arial" w:cs="Arial" w:eastAsia="Arial" w:hAnsi="Arial"/>
          <w:sz w:val="16"/>
          <w:szCs w:val="16"/>
          <w:color w:val="auto"/>
        </w:rPr>
        <w:t>Non-Accelerated Filer o</w:t>
      </w:r>
      <w:r>
        <w:rPr>
          <w:sz w:val="20"/>
          <w:szCs w:val="20"/>
          <w:color w:val="auto"/>
        </w:rPr>
        <w:tab/>
      </w:r>
      <w:r>
        <w:rPr>
          <w:rFonts w:ascii="Arial" w:cs="Arial" w:eastAsia="Arial" w:hAnsi="Arial"/>
          <w:sz w:val="14"/>
          <w:szCs w:val="14"/>
          <w:color w:val="auto"/>
        </w:rPr>
        <w:t>Smaller Reporting Company x</w:t>
      </w:r>
    </w:p>
    <w:p>
      <w:pPr>
        <w:spacing w:after="0" w:line="77" w:lineRule="exact"/>
        <w:rPr>
          <w:sz w:val="24"/>
          <w:szCs w:val="24"/>
          <w:color w:val="auto"/>
        </w:rPr>
      </w:pPr>
    </w:p>
    <w:p>
      <w:pPr>
        <w:ind w:left="4700"/>
        <w:spacing w:after="0"/>
        <w:rPr>
          <w:sz w:val="20"/>
          <w:szCs w:val="20"/>
          <w:color w:val="auto"/>
        </w:rPr>
      </w:pPr>
      <w:r>
        <w:rPr>
          <w:rFonts w:ascii="Arial" w:cs="Arial" w:eastAsia="Arial" w:hAnsi="Arial"/>
          <w:sz w:val="14"/>
          <w:szCs w:val="14"/>
          <w:color w:val="auto"/>
        </w:rPr>
        <w:t>(Do not check if a smaller reporting company)</w:t>
      </w:r>
    </w:p>
    <w:p>
      <w:pPr>
        <w:spacing w:after="0" w:line="129"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Act). o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63" w:lineRule="exact"/>
        <w:rPr>
          <w:sz w:val="24"/>
          <w:szCs w:val="24"/>
          <w:color w:val="auto"/>
        </w:rPr>
      </w:pPr>
    </w:p>
    <w:p>
      <w:pPr>
        <w:ind w:right="140"/>
        <w:spacing w:after="0" w:line="250" w:lineRule="auto"/>
        <w:rPr>
          <w:sz w:val="20"/>
          <w:szCs w:val="20"/>
          <w:color w:val="auto"/>
        </w:rPr>
      </w:pPr>
      <w:r>
        <w:rPr>
          <w:rFonts w:ascii="Arial" w:cs="Arial" w:eastAsia="Arial" w:hAnsi="Arial"/>
          <w:sz w:val="16"/>
          <w:szCs w:val="16"/>
          <w:color w:val="auto"/>
        </w:rPr>
        <w:t>The aggregate market value of the shares of voting common stock held by non-affiliates was approximately $24.6 million at June 30, 2012 (the Company's most recently completed second fiscal quarter), based on the $4.09 closing price for the Company’s common stock on the NASDAQ Capital Market on such date. For purposes of this computation, all officers, directors, and 10% beneficial owners of the registrant are deemed to be affiliates. Such determination should not be deemed to be an admission that such officers, directors, or 10% beneficial owners are, in fact, affiliates of the registrant.</w:t>
      </w:r>
    </w:p>
    <w:p>
      <w:pPr>
        <w:spacing w:after="0" w:line="57" w:lineRule="exact"/>
        <w:rPr>
          <w:sz w:val="24"/>
          <w:szCs w:val="24"/>
          <w:color w:val="auto"/>
        </w:rPr>
      </w:pPr>
    </w:p>
    <w:p>
      <w:pPr>
        <w:spacing w:after="0"/>
        <w:rPr>
          <w:sz w:val="20"/>
          <w:szCs w:val="20"/>
          <w:color w:val="auto"/>
        </w:rPr>
      </w:pPr>
      <w:r>
        <w:rPr>
          <w:rFonts w:ascii="Arial" w:cs="Arial" w:eastAsia="Arial" w:hAnsi="Arial"/>
          <w:sz w:val="16"/>
          <w:szCs w:val="16"/>
          <w:color w:val="auto"/>
        </w:rPr>
        <w:t>The number of shares of ClearOne common stock outstanding as of March 21, 2013 was 9,121,314.</w:t>
      </w:r>
    </w:p>
    <w:p>
      <w:pPr>
        <w:sectPr>
          <w:pgSz w:w="11900" w:h="16838" w:orient="portrait"/>
          <w:cols w:equalWidth="0" w:num="1">
            <w:col w:w="11380"/>
          </w:cols>
          <w:pgMar w:left="240" w:top="684" w:right="279" w:bottom="1440" w:gutter="0" w:footer="0" w:header="0"/>
        </w:sectPr>
      </w:pPr>
    </w:p>
    <w:bookmarkStart w:id="1" w:name="page2"/>
    <w:bookmarkEnd w:id="1"/>
    <w:p>
      <w:pPr>
        <w:jc w:val="center"/>
        <w:ind w:right="-39"/>
        <w:spacing w:after="0"/>
        <w:rPr>
          <w:sz w:val="20"/>
          <w:szCs w:val="20"/>
          <w:color w:val="auto"/>
        </w:rPr>
      </w:pPr>
      <w:r>
        <w:rPr>
          <w:rFonts w:ascii="Arial" w:cs="Arial" w:eastAsia="Arial" w:hAnsi="Arial"/>
          <w:sz w:val="22"/>
          <w:szCs w:val="22"/>
          <w:b w:val="1"/>
          <w:bCs w:val="1"/>
          <w:color w:val="auto"/>
        </w:rPr>
        <w:t>EXPLANATORY NOTE</w:t>
      </w:r>
    </w:p>
    <w:p>
      <w:pPr>
        <w:spacing w:after="0" w:line="16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This Amendment No. 1 on Form 10-K/A (this "Form 10-K/A") to the Annual Report on Form 10-K of ClearOne, Inc., a Utah corporation (referred to as "ClearOne", "we", "us", "our" or the "Company") for the fiscal year ended December 31, 2012, originally filed with the Securities and Exchange Commission ("SEC") on March 25, 2013 (the "Original 10-K") is being filed solely for the purpose of including the information required by Part III of Form 10-K. The Company no longer anticipates filing its definitive proxy statement within 120 days of its fiscal year ended December 31, 2012. Therefore, such information will not be incorporated by reference to the Company's definitive proxy statement for the 2013 Annual Meeting of Stockholders. Thus, Part III, Items 10-14, of the Company's Original 10-K are hereby amended and restated in their entirety.</w:t>
      </w:r>
    </w:p>
    <w:p>
      <w:pPr>
        <w:spacing w:after="0" w:line="124"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As required by Rule 12b-15, in connection with this Form 10-K/A, the Company's Chief Executive Officer and Chief Financial Officer have reissued applicable portions of their Rule 13a-14(a) certifications. Accordingly, Part IV, Item 15 has been amended to reflect the filing of such certifications herewith.</w:t>
      </w:r>
    </w:p>
    <w:p>
      <w:pPr>
        <w:spacing w:after="0" w:line="7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Except as described above, this Form 10-K/A does not modify or update disclosure in, or exhibits to, the Original 10-K. Furthermore, this Form 10-K/A does not change any previously reported financial results, nor does it reflect events occurring after the date of the Original 10-K. Information not affected by this Form 10-K/A remains unchanged and reflects the disclosures made at the time the Original 10-K was filed.</w:t>
      </w:r>
    </w:p>
    <w:p>
      <w:pPr>
        <w:sectPr>
          <w:pgSz w:w="11900" w:h="16838" w:orient="portrait"/>
          <w:cols w:equalWidth="0" w:num="1">
            <w:col w:w="11380"/>
          </w:cols>
          <w:pgMar w:left="240" w:top="666" w:right="279" w:bottom="1440" w:gutter="0" w:footer="0" w:header="0"/>
        </w:sectPr>
      </w:pPr>
    </w:p>
    <w:bookmarkStart w:id="2" w:name="page3"/>
    <w:bookmarkEnd w:id="2"/>
    <w:p>
      <w:pPr>
        <w:ind w:left="4520"/>
        <w:spacing w:after="0"/>
        <w:rPr>
          <w:sz w:val="20"/>
          <w:szCs w:val="20"/>
          <w:color w:val="auto"/>
        </w:rPr>
      </w:pPr>
      <w:r>
        <w:rPr>
          <w:rFonts w:ascii="Arial" w:cs="Arial" w:eastAsia="Arial" w:hAnsi="Arial"/>
          <w:sz w:val="22"/>
          <w:szCs w:val="22"/>
          <w:b w:val="1"/>
          <w:bCs w:val="1"/>
          <w:color w:val="auto"/>
        </w:rPr>
        <w:t>TABLE OF CONTENTS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5440" w:type="dxa"/>
            <w:vAlign w:val="bottom"/>
            <w:gridSpan w:val="3"/>
          </w:tcPr>
          <w:p>
            <w:pPr>
              <w:ind w:left="260"/>
              <w:spacing w:after="0"/>
              <w:rPr>
                <w:sz w:val="20"/>
                <w:szCs w:val="20"/>
                <w:color w:val="auto"/>
              </w:rPr>
            </w:pPr>
            <w:r>
              <w:rPr>
                <w:rFonts w:ascii="Arial" w:cs="Arial" w:eastAsia="Arial" w:hAnsi="Arial"/>
                <w:sz w:val="18"/>
                <w:szCs w:val="18"/>
                <w:b w:val="1"/>
                <w:bCs w:val="1"/>
                <w:color w:val="auto"/>
              </w:rPr>
              <w:t>PART III</w:t>
            </w:r>
          </w:p>
        </w:tc>
        <w:tc>
          <w:tcPr>
            <w:tcW w:w="100" w:type="dxa"/>
            <w:vAlign w:val="bottom"/>
          </w:tcPr>
          <w:p>
            <w:pPr>
              <w:spacing w:after="0"/>
              <w:rPr>
                <w:sz w:val="20"/>
                <w:szCs w:val="20"/>
                <w:color w:val="auto"/>
              </w:rPr>
            </w:pPr>
          </w:p>
        </w:tc>
      </w:tr>
      <w:tr>
        <w:trPr>
          <w:trHeight w:val="230"/>
        </w:trPr>
        <w:tc>
          <w:tcPr>
            <w:tcW w:w="580" w:type="dxa"/>
            <w:vAlign w:val="bottom"/>
          </w:tcPr>
          <w:p>
            <w:pPr>
              <w:spacing w:after="0"/>
              <w:rPr>
                <w:rFonts w:ascii="Arial" w:cs="Arial" w:eastAsia="Arial" w:hAnsi="Arial"/>
                <w:sz w:val="18"/>
                <w:szCs w:val="18"/>
                <w:color w:val="0000FF"/>
                <w:w w:val="82"/>
              </w:rPr>
            </w:pPr>
            <w:hyperlink w:anchor="page4">
              <w:r>
                <w:rPr>
                  <w:rFonts w:ascii="Arial" w:cs="Arial" w:eastAsia="Arial" w:hAnsi="Arial"/>
                  <w:sz w:val="18"/>
                  <w:szCs w:val="18"/>
                  <w:color w:val="0000FF"/>
                  <w:w w:val="82"/>
                </w:rPr>
                <w:t>Item 10.</w:t>
              </w:r>
            </w:hyperlink>
          </w:p>
        </w:tc>
        <w:tc>
          <w:tcPr>
            <w:tcW w:w="9920" w:type="dxa"/>
            <w:vAlign w:val="bottom"/>
            <w:gridSpan w:val="7"/>
          </w:tcPr>
          <w:p>
            <w:pPr>
              <w:ind w:left="340"/>
              <w:spacing w:after="0"/>
              <w:rPr>
                <w:rFonts w:ascii="Arial" w:cs="Arial" w:eastAsia="Arial" w:hAnsi="Arial"/>
                <w:sz w:val="18"/>
                <w:szCs w:val="18"/>
                <w:color w:val="0000FF"/>
              </w:rPr>
            </w:pPr>
            <w:hyperlink w:anchor="page4">
              <w:r>
                <w:rPr>
                  <w:rFonts w:ascii="Arial" w:cs="Arial" w:eastAsia="Arial" w:hAnsi="Arial"/>
                  <w:sz w:val="18"/>
                  <w:szCs w:val="18"/>
                  <w:color w:val="0000FF"/>
                </w:rPr>
                <w:t>Directors , Executive Officers and Corporate Governance</w:t>
              </w:r>
            </w:hyperlink>
          </w:p>
        </w:tc>
        <w:tc>
          <w:tcPr>
            <w:tcW w:w="100" w:type="dxa"/>
            <w:vAlign w:val="bottom"/>
          </w:tcPr>
          <w:p>
            <w:pPr>
              <w:jc w:val="right"/>
              <w:spacing w:after="0"/>
              <w:rPr>
                <w:rFonts w:ascii="Arial" w:cs="Arial" w:eastAsia="Arial" w:hAnsi="Arial"/>
                <w:sz w:val="18"/>
                <w:szCs w:val="18"/>
                <w:color w:val="0000FF"/>
                <w:w w:val="79"/>
              </w:rPr>
            </w:pPr>
            <w:hyperlink w:anchor="page4">
              <w:r>
                <w:rPr>
                  <w:rFonts w:ascii="Arial" w:cs="Arial" w:eastAsia="Arial" w:hAnsi="Arial"/>
                  <w:sz w:val="18"/>
                  <w:szCs w:val="18"/>
                  <w:color w:val="0000FF"/>
                  <w:w w:val="79"/>
                </w:rPr>
                <w:t>1</w:t>
              </w:r>
            </w:hyperlink>
          </w:p>
        </w:tc>
      </w:tr>
      <w:tr>
        <w:trPr>
          <w:trHeight w:val="20"/>
        </w:trPr>
        <w:tc>
          <w:tcPr>
            <w:tcW w:w="5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1100" w:type="dxa"/>
            <w:vAlign w:val="bottom"/>
            <w:tcBorders>
              <w:right w:val="single" w:sz="8" w:color="0000FF"/>
            </w:tcBorders>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580" w:type="dxa"/>
            <w:vAlign w:val="bottom"/>
          </w:tcPr>
          <w:p>
            <w:pPr>
              <w:spacing w:after="0"/>
              <w:rPr>
                <w:rFonts w:ascii="Arial" w:cs="Arial" w:eastAsia="Arial" w:hAnsi="Arial"/>
                <w:sz w:val="18"/>
                <w:szCs w:val="18"/>
                <w:color w:val="0000FF"/>
                <w:w w:val="82"/>
              </w:rPr>
            </w:pPr>
            <w:hyperlink w:anchor="page5">
              <w:r>
                <w:rPr>
                  <w:rFonts w:ascii="Arial" w:cs="Arial" w:eastAsia="Arial" w:hAnsi="Arial"/>
                  <w:sz w:val="18"/>
                  <w:szCs w:val="18"/>
                  <w:color w:val="0000FF"/>
                  <w:w w:val="82"/>
                </w:rPr>
                <w:t>Item 11.</w:t>
              </w:r>
            </w:hyperlink>
          </w:p>
        </w:tc>
        <w:tc>
          <w:tcPr>
            <w:tcW w:w="9920" w:type="dxa"/>
            <w:vAlign w:val="bottom"/>
            <w:gridSpan w:val="7"/>
          </w:tcPr>
          <w:p>
            <w:pPr>
              <w:ind w:left="340"/>
              <w:spacing w:after="0"/>
              <w:rPr>
                <w:rFonts w:ascii="Arial" w:cs="Arial" w:eastAsia="Arial" w:hAnsi="Arial"/>
                <w:sz w:val="18"/>
                <w:szCs w:val="18"/>
                <w:color w:val="0000FF"/>
              </w:rPr>
            </w:pPr>
            <w:hyperlink w:anchor="page5">
              <w:r>
                <w:rPr>
                  <w:rFonts w:ascii="Arial" w:cs="Arial" w:eastAsia="Arial" w:hAnsi="Arial"/>
                  <w:sz w:val="18"/>
                  <w:szCs w:val="18"/>
                  <w:color w:val="0000FF"/>
                </w:rPr>
                <w:t>Executive Compensation</w:t>
              </w:r>
            </w:hyperlink>
          </w:p>
        </w:tc>
        <w:tc>
          <w:tcPr>
            <w:tcW w:w="100" w:type="dxa"/>
            <w:vAlign w:val="bottom"/>
          </w:tcPr>
          <w:p>
            <w:pPr>
              <w:jc w:val="right"/>
              <w:spacing w:after="0"/>
              <w:rPr>
                <w:rFonts w:ascii="Arial" w:cs="Arial" w:eastAsia="Arial" w:hAnsi="Arial"/>
                <w:sz w:val="18"/>
                <w:szCs w:val="18"/>
                <w:color w:val="0000FF"/>
                <w:w w:val="79"/>
              </w:rPr>
            </w:pPr>
            <w:hyperlink w:anchor="page5">
              <w:r>
                <w:rPr>
                  <w:rFonts w:ascii="Arial" w:cs="Arial" w:eastAsia="Arial" w:hAnsi="Arial"/>
                  <w:sz w:val="18"/>
                  <w:szCs w:val="18"/>
                  <w:color w:val="0000FF"/>
                  <w:w w:val="79"/>
                </w:rPr>
                <w:t>3</w:t>
              </w:r>
            </w:hyperlink>
          </w:p>
        </w:tc>
      </w:tr>
      <w:tr>
        <w:trPr>
          <w:trHeight w:val="20"/>
        </w:trPr>
        <w:tc>
          <w:tcPr>
            <w:tcW w:w="5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540" w:type="dxa"/>
            <w:vAlign w:val="bottom"/>
            <w:gridSpan w:val="2"/>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580" w:type="dxa"/>
            <w:vAlign w:val="bottom"/>
          </w:tcPr>
          <w:p>
            <w:pPr>
              <w:spacing w:after="0"/>
              <w:rPr>
                <w:rFonts w:ascii="Arial" w:cs="Arial" w:eastAsia="Arial" w:hAnsi="Arial"/>
                <w:sz w:val="18"/>
                <w:szCs w:val="18"/>
                <w:color w:val="0000FF"/>
                <w:w w:val="82"/>
              </w:rPr>
            </w:pPr>
            <w:hyperlink w:anchor="page8">
              <w:r>
                <w:rPr>
                  <w:rFonts w:ascii="Arial" w:cs="Arial" w:eastAsia="Arial" w:hAnsi="Arial"/>
                  <w:sz w:val="18"/>
                  <w:szCs w:val="18"/>
                  <w:color w:val="0000FF"/>
                  <w:w w:val="82"/>
                </w:rPr>
                <w:t>Item 12.</w:t>
              </w:r>
            </w:hyperlink>
          </w:p>
        </w:tc>
        <w:tc>
          <w:tcPr>
            <w:tcW w:w="9920" w:type="dxa"/>
            <w:vAlign w:val="bottom"/>
            <w:gridSpan w:val="7"/>
          </w:tcPr>
          <w:p>
            <w:pPr>
              <w:ind w:left="340"/>
              <w:spacing w:after="0"/>
              <w:rPr>
                <w:rFonts w:ascii="Arial" w:cs="Arial" w:eastAsia="Arial" w:hAnsi="Arial"/>
                <w:sz w:val="18"/>
                <w:szCs w:val="18"/>
                <w:color w:val="0000FF"/>
              </w:rPr>
            </w:pPr>
            <w:hyperlink w:anchor="page8">
              <w:r>
                <w:rPr>
                  <w:rFonts w:ascii="Arial" w:cs="Arial" w:eastAsia="Arial" w:hAnsi="Arial"/>
                  <w:sz w:val="18"/>
                  <w:szCs w:val="18"/>
                  <w:color w:val="0000FF"/>
                </w:rPr>
                <w:t>Security Ownership of Certain Beneficial Owners and Management and Related Stockholder Matters</w:t>
              </w:r>
            </w:hyperlink>
          </w:p>
        </w:tc>
        <w:tc>
          <w:tcPr>
            <w:tcW w:w="100" w:type="dxa"/>
            <w:vAlign w:val="bottom"/>
          </w:tcPr>
          <w:p>
            <w:pPr>
              <w:jc w:val="right"/>
              <w:spacing w:after="0"/>
              <w:rPr>
                <w:rFonts w:ascii="Arial" w:cs="Arial" w:eastAsia="Arial" w:hAnsi="Arial"/>
                <w:sz w:val="18"/>
                <w:szCs w:val="18"/>
                <w:color w:val="0000FF"/>
                <w:w w:val="79"/>
              </w:rPr>
            </w:pPr>
            <w:hyperlink w:anchor="page8">
              <w:r>
                <w:rPr>
                  <w:rFonts w:ascii="Arial" w:cs="Arial" w:eastAsia="Arial" w:hAnsi="Arial"/>
                  <w:sz w:val="18"/>
                  <w:szCs w:val="18"/>
                  <w:color w:val="0000FF"/>
                  <w:w w:val="79"/>
                </w:rPr>
                <w:t>5</w:t>
              </w:r>
            </w:hyperlink>
          </w:p>
        </w:tc>
      </w:tr>
      <w:tr>
        <w:trPr>
          <w:trHeight w:val="20"/>
        </w:trPr>
        <w:tc>
          <w:tcPr>
            <w:tcW w:w="5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2900" w:type="dxa"/>
            <w:vAlign w:val="bottom"/>
            <w:tcBorders>
              <w:right w:val="single" w:sz="8" w:color="0000FF"/>
            </w:tcBorders>
            <w:gridSpan w:val="2"/>
            <w:shd w:val="clear" w:color="auto" w:fill="0000FF"/>
          </w:tcPr>
          <w:p>
            <w:pPr>
              <w:spacing w:after="0" w:line="20" w:lineRule="exact"/>
              <w:rPr>
                <w:sz w:val="1"/>
                <w:szCs w:val="1"/>
                <w:color w:val="auto"/>
              </w:rPr>
            </w:pPr>
          </w:p>
        </w:tc>
        <w:tc>
          <w:tcPr>
            <w:tcW w:w="2540" w:type="dxa"/>
            <w:vAlign w:val="bottom"/>
            <w:gridSpan w:val="2"/>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580" w:type="dxa"/>
            <w:vAlign w:val="bottom"/>
          </w:tcPr>
          <w:p>
            <w:pPr>
              <w:spacing w:after="0"/>
              <w:rPr>
                <w:rFonts w:ascii="Arial" w:cs="Arial" w:eastAsia="Arial" w:hAnsi="Arial"/>
                <w:sz w:val="18"/>
                <w:szCs w:val="18"/>
                <w:color w:val="0000FF"/>
                <w:w w:val="82"/>
              </w:rPr>
            </w:pPr>
            <w:hyperlink w:anchor="page10">
              <w:r>
                <w:rPr>
                  <w:rFonts w:ascii="Arial" w:cs="Arial" w:eastAsia="Arial" w:hAnsi="Arial"/>
                  <w:sz w:val="18"/>
                  <w:szCs w:val="18"/>
                  <w:color w:val="0000FF"/>
                  <w:w w:val="82"/>
                </w:rPr>
                <w:t>Item 13.</w:t>
              </w:r>
            </w:hyperlink>
          </w:p>
        </w:tc>
        <w:tc>
          <w:tcPr>
            <w:tcW w:w="9920" w:type="dxa"/>
            <w:vAlign w:val="bottom"/>
            <w:gridSpan w:val="7"/>
          </w:tcPr>
          <w:p>
            <w:pPr>
              <w:ind w:left="340"/>
              <w:spacing w:after="0"/>
              <w:rPr>
                <w:rFonts w:ascii="Arial" w:cs="Arial" w:eastAsia="Arial" w:hAnsi="Arial"/>
                <w:sz w:val="18"/>
                <w:szCs w:val="18"/>
                <w:color w:val="0000FF"/>
              </w:rPr>
            </w:pPr>
            <w:hyperlink w:anchor="page10">
              <w:r>
                <w:rPr>
                  <w:rFonts w:ascii="Arial" w:cs="Arial" w:eastAsia="Arial" w:hAnsi="Arial"/>
                  <w:sz w:val="18"/>
                  <w:szCs w:val="18"/>
                  <w:color w:val="0000FF"/>
                </w:rPr>
                <w:t>Certain Relationships and Related Transactions, and Director Independence</w:t>
              </w:r>
            </w:hyperlink>
          </w:p>
        </w:tc>
        <w:tc>
          <w:tcPr>
            <w:tcW w:w="100" w:type="dxa"/>
            <w:vAlign w:val="bottom"/>
          </w:tcPr>
          <w:p>
            <w:pPr>
              <w:jc w:val="right"/>
              <w:spacing w:after="0"/>
              <w:rPr>
                <w:rFonts w:ascii="Arial" w:cs="Arial" w:eastAsia="Arial" w:hAnsi="Arial"/>
                <w:sz w:val="18"/>
                <w:szCs w:val="18"/>
                <w:color w:val="0000FF"/>
                <w:w w:val="79"/>
              </w:rPr>
            </w:pPr>
            <w:hyperlink w:anchor="page10">
              <w:r>
                <w:rPr>
                  <w:rFonts w:ascii="Arial" w:cs="Arial" w:eastAsia="Arial" w:hAnsi="Arial"/>
                  <w:sz w:val="18"/>
                  <w:szCs w:val="18"/>
                  <w:color w:val="0000FF"/>
                  <w:w w:val="79"/>
                </w:rPr>
                <w:t>7</w:t>
              </w:r>
            </w:hyperlink>
          </w:p>
        </w:tc>
      </w:tr>
      <w:tr>
        <w:trPr>
          <w:trHeight w:val="20"/>
        </w:trPr>
        <w:tc>
          <w:tcPr>
            <w:tcW w:w="5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2900" w:type="dxa"/>
            <w:vAlign w:val="bottom"/>
            <w:tcBorders>
              <w:right w:val="single" w:sz="8" w:color="0000FF"/>
            </w:tcBorders>
            <w:gridSpan w:val="2"/>
            <w:shd w:val="clear" w:color="auto" w:fill="0000FF"/>
          </w:tcPr>
          <w:p>
            <w:pPr>
              <w:spacing w:after="0" w:line="20" w:lineRule="exact"/>
              <w:rPr>
                <w:sz w:val="1"/>
                <w:szCs w:val="1"/>
                <w:color w:val="auto"/>
              </w:rPr>
            </w:pPr>
          </w:p>
        </w:tc>
        <w:tc>
          <w:tcPr>
            <w:tcW w:w="2540" w:type="dxa"/>
            <w:vAlign w:val="bottom"/>
            <w:gridSpan w:val="2"/>
            <w:shd w:val="clear" w:color="auto" w:fill="0000FF"/>
          </w:tcPr>
          <w:p>
            <w:pPr>
              <w:spacing w:after="0" w:line="20" w:lineRule="exact"/>
              <w:rPr>
                <w:sz w:val="1"/>
                <w:szCs w:val="1"/>
                <w:color w:val="auto"/>
              </w:rPr>
            </w:pPr>
          </w:p>
        </w:tc>
        <w:tc>
          <w:tcPr>
            <w:tcW w:w="4140" w:type="dxa"/>
            <w:vAlign w:val="bottom"/>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580" w:type="dxa"/>
            <w:vAlign w:val="bottom"/>
          </w:tcPr>
          <w:p>
            <w:pPr>
              <w:spacing w:after="0"/>
              <w:rPr>
                <w:rFonts w:ascii="Arial" w:cs="Arial" w:eastAsia="Arial" w:hAnsi="Arial"/>
                <w:sz w:val="18"/>
                <w:szCs w:val="18"/>
                <w:color w:val="0000FF"/>
                <w:w w:val="82"/>
              </w:rPr>
            </w:pPr>
            <w:hyperlink w:anchor="page10">
              <w:r>
                <w:rPr>
                  <w:rFonts w:ascii="Arial" w:cs="Arial" w:eastAsia="Arial" w:hAnsi="Arial"/>
                  <w:sz w:val="18"/>
                  <w:szCs w:val="18"/>
                  <w:color w:val="0000FF"/>
                  <w:w w:val="82"/>
                </w:rPr>
                <w:t>Item 14.</w:t>
              </w:r>
            </w:hyperlink>
          </w:p>
        </w:tc>
        <w:tc>
          <w:tcPr>
            <w:tcW w:w="9920" w:type="dxa"/>
            <w:vAlign w:val="bottom"/>
            <w:gridSpan w:val="7"/>
          </w:tcPr>
          <w:p>
            <w:pPr>
              <w:ind w:left="340"/>
              <w:spacing w:after="0"/>
              <w:rPr>
                <w:rFonts w:ascii="Arial" w:cs="Arial" w:eastAsia="Arial" w:hAnsi="Arial"/>
                <w:sz w:val="18"/>
                <w:szCs w:val="18"/>
                <w:color w:val="0000FF"/>
              </w:rPr>
            </w:pPr>
            <w:hyperlink w:anchor="page10">
              <w:r>
                <w:rPr>
                  <w:rFonts w:ascii="Arial" w:cs="Arial" w:eastAsia="Arial" w:hAnsi="Arial"/>
                  <w:sz w:val="18"/>
                  <w:szCs w:val="18"/>
                  <w:color w:val="0000FF"/>
                </w:rPr>
                <w:t>Principal Accounting Fees and Services</w:t>
              </w:r>
            </w:hyperlink>
          </w:p>
        </w:tc>
        <w:tc>
          <w:tcPr>
            <w:tcW w:w="100" w:type="dxa"/>
            <w:vAlign w:val="bottom"/>
          </w:tcPr>
          <w:p>
            <w:pPr>
              <w:jc w:val="right"/>
              <w:spacing w:after="0"/>
              <w:rPr>
                <w:rFonts w:ascii="Arial" w:cs="Arial" w:eastAsia="Arial" w:hAnsi="Arial"/>
                <w:sz w:val="18"/>
                <w:szCs w:val="18"/>
                <w:color w:val="0000FF"/>
                <w:w w:val="79"/>
              </w:rPr>
            </w:pPr>
            <w:hyperlink w:anchor="page10">
              <w:r>
                <w:rPr>
                  <w:rFonts w:ascii="Arial" w:cs="Arial" w:eastAsia="Arial" w:hAnsi="Arial"/>
                  <w:sz w:val="18"/>
                  <w:szCs w:val="18"/>
                  <w:color w:val="0000FF"/>
                  <w:w w:val="79"/>
                </w:rPr>
                <w:t>7</w:t>
              </w:r>
            </w:hyperlink>
          </w:p>
        </w:tc>
      </w:tr>
      <w:tr>
        <w:trPr>
          <w:trHeight w:val="291"/>
        </w:trPr>
        <w:tc>
          <w:tcPr>
            <w:tcW w:w="580" w:type="dxa"/>
            <w:vAlign w:val="bottom"/>
            <w:tcBorders>
              <w:top w:val="single" w:sz="8" w:color="0000FF"/>
            </w:tcBorders>
          </w:tcPr>
          <w:p>
            <w:pPr>
              <w:spacing w:after="0"/>
              <w:rPr>
                <w:sz w:val="24"/>
                <w:szCs w:val="24"/>
                <w:color w:val="auto"/>
              </w:rPr>
            </w:pPr>
          </w:p>
        </w:tc>
        <w:tc>
          <w:tcPr>
            <w:tcW w:w="340" w:type="dxa"/>
            <w:vAlign w:val="bottom"/>
          </w:tcPr>
          <w:p>
            <w:pPr>
              <w:spacing w:after="0"/>
              <w:rPr>
                <w:sz w:val="24"/>
                <w:szCs w:val="24"/>
                <w:color w:val="auto"/>
              </w:rPr>
            </w:pPr>
          </w:p>
        </w:tc>
        <w:tc>
          <w:tcPr>
            <w:tcW w:w="1800" w:type="dxa"/>
            <w:vAlign w:val="bottom"/>
            <w:tcBorders>
              <w:top w:val="single" w:sz="8" w:color="0000FF"/>
            </w:tcBorders>
          </w:tcPr>
          <w:p>
            <w:pPr>
              <w:spacing w:after="0"/>
              <w:rPr>
                <w:sz w:val="24"/>
                <w:szCs w:val="24"/>
                <w:color w:val="auto"/>
              </w:rPr>
            </w:pPr>
          </w:p>
        </w:tc>
        <w:tc>
          <w:tcPr>
            <w:tcW w:w="1100" w:type="dxa"/>
            <w:vAlign w:val="bottom"/>
            <w:tcBorders>
              <w:top w:val="single" w:sz="8" w:color="0000FF"/>
            </w:tcBorders>
          </w:tcPr>
          <w:p>
            <w:pPr>
              <w:spacing w:after="0"/>
              <w:rPr>
                <w:sz w:val="24"/>
                <w:szCs w:val="24"/>
                <w:color w:val="auto"/>
              </w:rPr>
            </w:pPr>
          </w:p>
        </w:tc>
        <w:tc>
          <w:tcPr>
            <w:tcW w:w="1240" w:type="dxa"/>
            <w:vAlign w:val="bottom"/>
          </w:tcPr>
          <w:p>
            <w:pPr>
              <w:spacing w:after="0"/>
              <w:rPr>
                <w:sz w:val="24"/>
                <w:szCs w:val="24"/>
                <w:color w:val="auto"/>
              </w:rPr>
            </w:pPr>
          </w:p>
        </w:tc>
        <w:tc>
          <w:tcPr>
            <w:tcW w:w="5440" w:type="dxa"/>
            <w:vAlign w:val="bottom"/>
            <w:gridSpan w:val="3"/>
          </w:tcPr>
          <w:p>
            <w:pPr>
              <w:ind w:left="260"/>
              <w:spacing w:after="0"/>
              <w:rPr>
                <w:sz w:val="20"/>
                <w:szCs w:val="20"/>
                <w:color w:val="auto"/>
              </w:rPr>
            </w:pPr>
            <w:r>
              <w:rPr>
                <w:rFonts w:ascii="Arial" w:cs="Arial" w:eastAsia="Arial" w:hAnsi="Arial"/>
                <w:sz w:val="18"/>
                <w:szCs w:val="18"/>
                <w:b w:val="1"/>
                <w:bCs w:val="1"/>
                <w:color w:val="auto"/>
              </w:rPr>
              <w:t>PART IV</w:t>
            </w:r>
          </w:p>
        </w:tc>
        <w:tc>
          <w:tcPr>
            <w:tcW w:w="100" w:type="dxa"/>
            <w:vAlign w:val="bottom"/>
            <w:tcBorders>
              <w:top w:val="single" w:sz="8" w:color="0000FF"/>
            </w:tcBorders>
          </w:tcPr>
          <w:p>
            <w:pPr>
              <w:spacing w:after="0"/>
              <w:rPr>
                <w:sz w:val="24"/>
                <w:szCs w:val="24"/>
                <w:color w:val="auto"/>
              </w:rPr>
            </w:pPr>
          </w:p>
        </w:tc>
      </w:tr>
      <w:tr>
        <w:trPr>
          <w:trHeight w:val="230"/>
        </w:trPr>
        <w:tc>
          <w:tcPr>
            <w:tcW w:w="580" w:type="dxa"/>
            <w:vAlign w:val="bottom"/>
          </w:tcPr>
          <w:p>
            <w:pPr>
              <w:spacing w:after="0"/>
              <w:rPr>
                <w:rFonts w:ascii="Arial" w:cs="Arial" w:eastAsia="Arial" w:hAnsi="Arial"/>
                <w:sz w:val="18"/>
                <w:szCs w:val="18"/>
                <w:color w:val="0000FF"/>
                <w:w w:val="82"/>
              </w:rPr>
            </w:pPr>
            <w:hyperlink w:anchor="page11">
              <w:r>
                <w:rPr>
                  <w:rFonts w:ascii="Arial" w:cs="Arial" w:eastAsia="Arial" w:hAnsi="Arial"/>
                  <w:sz w:val="18"/>
                  <w:szCs w:val="18"/>
                  <w:color w:val="0000FF"/>
                  <w:w w:val="82"/>
                </w:rPr>
                <w:t>Item 15.</w:t>
              </w:r>
            </w:hyperlink>
          </w:p>
        </w:tc>
        <w:tc>
          <w:tcPr>
            <w:tcW w:w="9920" w:type="dxa"/>
            <w:vAlign w:val="bottom"/>
            <w:gridSpan w:val="7"/>
          </w:tcPr>
          <w:p>
            <w:pPr>
              <w:ind w:left="340"/>
              <w:spacing w:after="0"/>
              <w:rPr>
                <w:rFonts w:ascii="Arial" w:cs="Arial" w:eastAsia="Arial" w:hAnsi="Arial"/>
                <w:sz w:val="18"/>
                <w:szCs w:val="18"/>
                <w:color w:val="0000FF"/>
              </w:rPr>
            </w:pPr>
            <w:hyperlink w:anchor="page11">
              <w:r>
                <w:rPr>
                  <w:rFonts w:ascii="Arial" w:cs="Arial" w:eastAsia="Arial" w:hAnsi="Arial"/>
                  <w:sz w:val="18"/>
                  <w:szCs w:val="18"/>
                  <w:color w:val="0000FF"/>
                </w:rPr>
                <w:t>Exhibits, Financial Statement Schedules</w:t>
              </w:r>
            </w:hyperlink>
          </w:p>
        </w:tc>
        <w:tc>
          <w:tcPr>
            <w:tcW w:w="100" w:type="dxa"/>
            <w:vAlign w:val="bottom"/>
          </w:tcPr>
          <w:p>
            <w:pPr>
              <w:jc w:val="right"/>
              <w:spacing w:after="0"/>
              <w:rPr>
                <w:rFonts w:ascii="Arial" w:cs="Arial" w:eastAsia="Arial" w:hAnsi="Arial"/>
                <w:sz w:val="18"/>
                <w:szCs w:val="18"/>
                <w:color w:val="0000FF"/>
                <w:w w:val="79"/>
              </w:rPr>
            </w:pPr>
            <w:hyperlink w:anchor="page11">
              <w:r>
                <w:rPr>
                  <w:rFonts w:ascii="Arial" w:cs="Arial" w:eastAsia="Arial" w:hAnsi="Arial"/>
                  <w:sz w:val="18"/>
                  <w:szCs w:val="18"/>
                  <w:color w:val="0000FF"/>
                  <w:w w:val="79"/>
                </w:rPr>
                <w:t>8</w:t>
              </w:r>
            </w:hyperlink>
          </w:p>
        </w:tc>
      </w:tr>
      <w:tr>
        <w:trPr>
          <w:trHeight w:val="20"/>
        </w:trPr>
        <w:tc>
          <w:tcPr>
            <w:tcW w:w="5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1100" w:type="dxa"/>
            <w:vAlign w:val="bottom"/>
            <w:tcBorders>
              <w:right w:val="single" w:sz="8" w:color="0000FF"/>
            </w:tcBorders>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bl>
    <w:p>
      <w:pPr>
        <w:sectPr>
          <w:pgSz w:w="11900" w:h="16838" w:orient="portrait"/>
          <w:cols w:equalWidth="0" w:num="1">
            <w:col w:w="10600"/>
          </w:cols>
          <w:pgMar w:left="280" w:top="801" w:right="1019" w:bottom="1440" w:gutter="0" w:footer="0" w:header="0"/>
        </w:sectPr>
      </w:pPr>
    </w:p>
    <w:bookmarkStart w:id="3" w:name="page4"/>
    <w:bookmarkEnd w:id="3"/>
    <w:p>
      <w:pPr>
        <w:jc w:val="center"/>
        <w:spacing w:after="0"/>
        <w:rPr>
          <w:sz w:val="20"/>
          <w:szCs w:val="20"/>
          <w:color w:val="auto"/>
        </w:rPr>
      </w:pPr>
      <w:r>
        <w:rPr>
          <w:rFonts w:ascii="Arial" w:cs="Arial" w:eastAsia="Arial" w:hAnsi="Arial"/>
          <w:sz w:val="22"/>
          <w:szCs w:val="22"/>
          <w:b w:val="1"/>
          <w:bCs w:val="1"/>
          <w:color w:val="auto"/>
        </w:rPr>
        <w:t>PART III</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certain information regarding our directors and executive officers.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700" w:type="dxa"/>
            <w:vAlign w:val="bottom"/>
          </w:tcPr>
          <w:p>
            <w:pPr>
              <w:ind w:left="1360"/>
              <w:spacing w:after="0"/>
              <w:rPr>
                <w:sz w:val="20"/>
                <w:szCs w:val="20"/>
                <w:color w:val="auto"/>
              </w:rPr>
            </w:pPr>
            <w:r>
              <w:rPr>
                <w:rFonts w:ascii="Arial" w:cs="Arial" w:eastAsia="Arial" w:hAnsi="Arial"/>
                <w:sz w:val="16"/>
                <w:szCs w:val="16"/>
                <w:b w:val="1"/>
                <w:bCs w:val="1"/>
                <w:color w:val="auto"/>
              </w:rPr>
              <w:t>Name</w:t>
            </w:r>
          </w:p>
        </w:tc>
        <w:tc>
          <w:tcPr>
            <w:tcW w:w="1420" w:type="dxa"/>
            <w:vAlign w:val="bottom"/>
            <w:gridSpan w:val="2"/>
          </w:tcPr>
          <w:p>
            <w:pPr>
              <w:jc w:val="center"/>
              <w:ind w:left="331"/>
              <w:spacing w:after="0"/>
              <w:rPr>
                <w:sz w:val="20"/>
                <w:szCs w:val="20"/>
                <w:color w:val="auto"/>
              </w:rPr>
            </w:pPr>
            <w:r>
              <w:rPr>
                <w:rFonts w:ascii="Arial" w:cs="Arial" w:eastAsia="Arial" w:hAnsi="Arial"/>
                <w:sz w:val="16"/>
                <w:szCs w:val="16"/>
                <w:b w:val="1"/>
                <w:bCs w:val="1"/>
                <w:color w:val="auto"/>
                <w:w w:val="92"/>
              </w:rPr>
              <w:t>Age</w:t>
            </w:r>
          </w:p>
        </w:tc>
        <w:tc>
          <w:tcPr>
            <w:tcW w:w="5020" w:type="dxa"/>
            <w:vAlign w:val="bottom"/>
            <w:gridSpan w:val="2"/>
          </w:tcPr>
          <w:p>
            <w:pPr>
              <w:ind w:left="2180"/>
              <w:spacing w:after="0"/>
              <w:rPr>
                <w:sz w:val="20"/>
                <w:szCs w:val="20"/>
                <w:color w:val="auto"/>
              </w:rPr>
            </w:pPr>
            <w:r>
              <w:rPr>
                <w:rFonts w:ascii="Arial" w:cs="Arial" w:eastAsia="Arial" w:hAnsi="Arial"/>
                <w:sz w:val="16"/>
                <w:szCs w:val="16"/>
                <w:b w:val="1"/>
                <w:bCs w:val="1"/>
                <w:color w:val="auto"/>
              </w:rPr>
              <w:t>Position</w:t>
            </w:r>
          </w:p>
        </w:tc>
        <w:tc>
          <w:tcPr>
            <w:tcW w:w="2280" w:type="dxa"/>
            <w:vAlign w:val="bottom"/>
          </w:tcPr>
          <w:p>
            <w:pPr>
              <w:jc w:val="center"/>
              <w:spacing w:after="0"/>
              <w:rPr>
                <w:sz w:val="20"/>
                <w:szCs w:val="20"/>
                <w:color w:val="auto"/>
              </w:rPr>
            </w:pPr>
            <w:r>
              <w:rPr>
                <w:rFonts w:ascii="Arial" w:cs="Arial" w:eastAsia="Arial" w:hAnsi="Arial"/>
                <w:sz w:val="16"/>
                <w:szCs w:val="16"/>
                <w:b w:val="1"/>
                <w:bCs w:val="1"/>
                <w:color w:val="auto"/>
                <w:w w:val="92"/>
              </w:rPr>
              <w:t>Director or Officer Since</w:t>
            </w:r>
          </w:p>
        </w:tc>
      </w:tr>
      <w:tr>
        <w:trPr>
          <w:trHeight w:val="33"/>
        </w:trPr>
        <w:tc>
          <w:tcPr>
            <w:tcW w:w="27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r>
      <w:tr>
        <w:trPr>
          <w:trHeight w:val="257"/>
        </w:trPr>
        <w:tc>
          <w:tcPr>
            <w:tcW w:w="2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Zeynep “Zee” Hakimoglu</w:t>
            </w:r>
          </w:p>
        </w:tc>
        <w:tc>
          <w:tcPr>
            <w:tcW w:w="1320" w:type="dxa"/>
            <w:vAlign w:val="bottom"/>
            <w:tcBorders>
              <w:bottom w:val="single" w:sz="8" w:color="CCEEFF"/>
            </w:tcBorders>
            <w:shd w:val="clear" w:color="auto" w:fill="CCEEFF"/>
          </w:tcPr>
          <w:p>
            <w:pPr>
              <w:jc w:val="center"/>
              <w:ind w:left="451"/>
              <w:spacing w:after="0"/>
              <w:rPr>
                <w:sz w:val="20"/>
                <w:szCs w:val="20"/>
                <w:color w:val="auto"/>
              </w:rPr>
            </w:pPr>
            <w:r>
              <w:rPr>
                <w:rFonts w:ascii="Arial" w:cs="Arial" w:eastAsia="Arial" w:hAnsi="Arial"/>
                <w:sz w:val="18"/>
                <w:szCs w:val="18"/>
                <w:color w:val="auto"/>
                <w:w w:val="89"/>
              </w:rPr>
              <w:t>59</w:t>
            </w:r>
          </w:p>
        </w:tc>
        <w:tc>
          <w:tcPr>
            <w:tcW w:w="100" w:type="dxa"/>
            <w:vAlign w:val="bottom"/>
            <w:tcBorders>
              <w:bottom w:val="single" w:sz="8" w:color="CCEEFF"/>
            </w:tcBorders>
            <w:shd w:val="clear" w:color="auto" w:fill="CCEEFF"/>
          </w:tcPr>
          <w:p>
            <w:pPr>
              <w:spacing w:after="0"/>
              <w:rPr>
                <w:sz w:val="22"/>
                <w:szCs w:val="22"/>
                <w:color w:val="auto"/>
              </w:rPr>
            </w:pPr>
          </w:p>
        </w:tc>
        <w:tc>
          <w:tcPr>
            <w:tcW w:w="5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Chairman, Chief Executive Officer, and President</w:t>
            </w:r>
            <w:r>
              <w:rPr>
                <w:rFonts w:ascii="Arial" w:cs="Arial" w:eastAsia="Arial" w:hAnsi="Arial"/>
                <w:sz w:val="14"/>
                <w:szCs w:val="14"/>
                <w:color w:val="auto"/>
              </w:rPr>
              <w:t>(4)</w:t>
            </w:r>
          </w:p>
        </w:tc>
        <w:tc>
          <w:tcPr>
            <w:tcW w:w="2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See Note 4</w:t>
            </w:r>
          </w:p>
        </w:tc>
      </w:tr>
      <w:tr>
        <w:trPr>
          <w:trHeight w:val="257"/>
        </w:trPr>
        <w:tc>
          <w:tcPr>
            <w:tcW w:w="2700" w:type="dxa"/>
            <w:vAlign w:val="bottom"/>
          </w:tcPr>
          <w:p>
            <w:pPr>
              <w:ind w:left="40"/>
              <w:spacing w:after="0"/>
              <w:rPr>
                <w:sz w:val="20"/>
                <w:szCs w:val="20"/>
                <w:color w:val="auto"/>
              </w:rPr>
            </w:pPr>
            <w:r>
              <w:rPr>
                <w:rFonts w:ascii="Arial" w:cs="Arial" w:eastAsia="Arial" w:hAnsi="Arial"/>
                <w:sz w:val="18"/>
                <w:szCs w:val="18"/>
                <w:color w:val="auto"/>
              </w:rPr>
              <w:t>Brad R. Baldwin</w:t>
            </w:r>
          </w:p>
        </w:tc>
        <w:tc>
          <w:tcPr>
            <w:tcW w:w="1320" w:type="dxa"/>
            <w:vAlign w:val="bottom"/>
          </w:tcPr>
          <w:p>
            <w:pPr>
              <w:jc w:val="center"/>
              <w:ind w:left="451"/>
              <w:spacing w:after="0"/>
              <w:rPr>
                <w:sz w:val="20"/>
                <w:szCs w:val="20"/>
                <w:color w:val="auto"/>
              </w:rPr>
            </w:pPr>
            <w:r>
              <w:rPr>
                <w:rFonts w:ascii="Arial" w:cs="Arial" w:eastAsia="Arial" w:hAnsi="Arial"/>
                <w:sz w:val="18"/>
                <w:szCs w:val="18"/>
                <w:color w:val="auto"/>
                <w:w w:val="89"/>
              </w:rPr>
              <w:t>57</w:t>
            </w:r>
          </w:p>
        </w:tc>
        <w:tc>
          <w:tcPr>
            <w:tcW w:w="100" w:type="dxa"/>
            <w:vAlign w:val="bottom"/>
          </w:tcPr>
          <w:p>
            <w:pPr>
              <w:spacing w:after="0"/>
              <w:rPr>
                <w:sz w:val="22"/>
                <w:szCs w:val="22"/>
                <w:color w:val="auto"/>
              </w:rPr>
            </w:pPr>
          </w:p>
        </w:tc>
        <w:tc>
          <w:tcPr>
            <w:tcW w:w="5020" w:type="dxa"/>
            <w:vAlign w:val="bottom"/>
            <w:gridSpan w:val="2"/>
          </w:tcPr>
          <w:p>
            <w:pPr>
              <w:ind w:left="40"/>
              <w:spacing w:after="0"/>
              <w:rPr>
                <w:sz w:val="20"/>
                <w:szCs w:val="20"/>
                <w:color w:val="auto"/>
              </w:rPr>
            </w:pPr>
            <w:r>
              <w:rPr>
                <w:rFonts w:ascii="Arial" w:cs="Arial" w:eastAsia="Arial" w:hAnsi="Arial"/>
                <w:sz w:val="18"/>
                <w:szCs w:val="18"/>
                <w:color w:val="auto"/>
              </w:rPr>
              <w:t xml:space="preserve">Director </w:t>
            </w:r>
            <w:r>
              <w:rPr>
                <w:rFonts w:ascii="Arial" w:cs="Arial" w:eastAsia="Arial" w:hAnsi="Arial"/>
                <w:sz w:val="14"/>
                <w:szCs w:val="14"/>
                <w:color w:val="auto"/>
              </w:rPr>
              <w:t>(1)(2)(3)</w:t>
            </w:r>
          </w:p>
        </w:tc>
        <w:tc>
          <w:tcPr>
            <w:tcW w:w="2280" w:type="dxa"/>
            <w:vAlign w:val="bottom"/>
          </w:tcPr>
          <w:p>
            <w:pPr>
              <w:jc w:val="center"/>
              <w:spacing w:after="0"/>
              <w:rPr>
                <w:sz w:val="20"/>
                <w:szCs w:val="20"/>
                <w:color w:val="auto"/>
              </w:rPr>
            </w:pPr>
            <w:r>
              <w:rPr>
                <w:rFonts w:ascii="Arial" w:cs="Arial" w:eastAsia="Arial" w:hAnsi="Arial"/>
                <w:sz w:val="18"/>
                <w:szCs w:val="18"/>
                <w:color w:val="auto"/>
                <w:w w:val="89"/>
              </w:rPr>
              <w:t>1988</w:t>
            </w:r>
          </w:p>
        </w:tc>
      </w:tr>
      <w:tr>
        <w:trPr>
          <w:trHeight w:val="27"/>
        </w:trPr>
        <w:tc>
          <w:tcPr>
            <w:tcW w:w="27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64"/>
        </w:trPr>
        <w:tc>
          <w:tcPr>
            <w:tcW w:w="2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Larry R. Hendricks</w:t>
            </w:r>
          </w:p>
        </w:tc>
        <w:tc>
          <w:tcPr>
            <w:tcW w:w="1320" w:type="dxa"/>
            <w:vAlign w:val="bottom"/>
            <w:tcBorders>
              <w:bottom w:val="single" w:sz="8" w:color="CCEEFF"/>
            </w:tcBorders>
            <w:shd w:val="clear" w:color="auto" w:fill="CCEEFF"/>
          </w:tcPr>
          <w:p>
            <w:pPr>
              <w:jc w:val="center"/>
              <w:ind w:left="451"/>
              <w:spacing w:after="0"/>
              <w:rPr>
                <w:sz w:val="20"/>
                <w:szCs w:val="20"/>
                <w:color w:val="auto"/>
              </w:rPr>
            </w:pPr>
            <w:r>
              <w:rPr>
                <w:rFonts w:ascii="Arial" w:cs="Arial" w:eastAsia="Arial" w:hAnsi="Arial"/>
                <w:sz w:val="18"/>
                <w:szCs w:val="18"/>
                <w:color w:val="auto"/>
                <w:w w:val="89"/>
              </w:rPr>
              <w:t>70</w:t>
            </w:r>
          </w:p>
        </w:tc>
        <w:tc>
          <w:tcPr>
            <w:tcW w:w="100" w:type="dxa"/>
            <w:vAlign w:val="bottom"/>
            <w:tcBorders>
              <w:bottom w:val="single" w:sz="8" w:color="CCEEFF"/>
            </w:tcBorders>
            <w:shd w:val="clear" w:color="auto" w:fill="CCEEFF"/>
          </w:tcPr>
          <w:p>
            <w:pPr>
              <w:spacing w:after="0"/>
              <w:rPr>
                <w:sz w:val="22"/>
                <w:szCs w:val="22"/>
                <w:color w:val="auto"/>
              </w:rPr>
            </w:pPr>
          </w:p>
        </w:tc>
        <w:tc>
          <w:tcPr>
            <w:tcW w:w="5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 xml:space="preserve">Director </w:t>
            </w:r>
            <w:r>
              <w:rPr>
                <w:rFonts w:ascii="Arial" w:cs="Arial" w:eastAsia="Arial" w:hAnsi="Arial"/>
                <w:sz w:val="14"/>
                <w:szCs w:val="14"/>
                <w:color w:val="auto"/>
              </w:rPr>
              <w:t>(1)(2)(3)</w:t>
            </w:r>
          </w:p>
        </w:tc>
        <w:tc>
          <w:tcPr>
            <w:tcW w:w="2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2003</w:t>
            </w:r>
          </w:p>
        </w:tc>
      </w:tr>
      <w:tr>
        <w:trPr>
          <w:trHeight w:val="257"/>
        </w:trPr>
        <w:tc>
          <w:tcPr>
            <w:tcW w:w="2700" w:type="dxa"/>
            <w:vAlign w:val="bottom"/>
          </w:tcPr>
          <w:p>
            <w:pPr>
              <w:ind w:left="40"/>
              <w:spacing w:after="0"/>
              <w:rPr>
                <w:sz w:val="20"/>
                <w:szCs w:val="20"/>
                <w:color w:val="auto"/>
              </w:rPr>
            </w:pPr>
            <w:r>
              <w:rPr>
                <w:rFonts w:ascii="Arial" w:cs="Arial" w:eastAsia="Arial" w:hAnsi="Arial"/>
                <w:sz w:val="18"/>
                <w:szCs w:val="18"/>
                <w:color w:val="auto"/>
              </w:rPr>
              <w:t>Scott M. Huntsman</w:t>
            </w:r>
          </w:p>
        </w:tc>
        <w:tc>
          <w:tcPr>
            <w:tcW w:w="1320" w:type="dxa"/>
            <w:vAlign w:val="bottom"/>
          </w:tcPr>
          <w:p>
            <w:pPr>
              <w:jc w:val="center"/>
              <w:ind w:left="451"/>
              <w:spacing w:after="0"/>
              <w:rPr>
                <w:sz w:val="20"/>
                <w:szCs w:val="20"/>
                <w:color w:val="auto"/>
              </w:rPr>
            </w:pPr>
            <w:r>
              <w:rPr>
                <w:rFonts w:ascii="Arial" w:cs="Arial" w:eastAsia="Arial" w:hAnsi="Arial"/>
                <w:sz w:val="18"/>
                <w:szCs w:val="18"/>
                <w:color w:val="auto"/>
                <w:w w:val="89"/>
              </w:rPr>
              <w:t>47</w:t>
            </w:r>
          </w:p>
        </w:tc>
        <w:tc>
          <w:tcPr>
            <w:tcW w:w="100" w:type="dxa"/>
            <w:vAlign w:val="bottom"/>
          </w:tcPr>
          <w:p>
            <w:pPr>
              <w:spacing w:after="0"/>
              <w:rPr>
                <w:sz w:val="22"/>
                <w:szCs w:val="22"/>
                <w:color w:val="auto"/>
              </w:rPr>
            </w:pPr>
          </w:p>
        </w:tc>
        <w:tc>
          <w:tcPr>
            <w:tcW w:w="5020" w:type="dxa"/>
            <w:vAlign w:val="bottom"/>
            <w:gridSpan w:val="2"/>
          </w:tcPr>
          <w:p>
            <w:pPr>
              <w:ind w:left="40"/>
              <w:spacing w:after="0"/>
              <w:rPr>
                <w:sz w:val="20"/>
                <w:szCs w:val="20"/>
                <w:color w:val="auto"/>
              </w:rPr>
            </w:pPr>
            <w:r>
              <w:rPr>
                <w:rFonts w:ascii="Arial" w:cs="Arial" w:eastAsia="Arial" w:hAnsi="Arial"/>
                <w:sz w:val="18"/>
                <w:szCs w:val="18"/>
                <w:color w:val="auto"/>
              </w:rPr>
              <w:t xml:space="preserve">Director </w:t>
            </w:r>
            <w:r>
              <w:rPr>
                <w:rFonts w:ascii="Arial" w:cs="Arial" w:eastAsia="Arial" w:hAnsi="Arial"/>
                <w:sz w:val="14"/>
                <w:szCs w:val="14"/>
                <w:color w:val="auto"/>
              </w:rPr>
              <w:t>(1)(2)(3)</w:t>
            </w:r>
          </w:p>
        </w:tc>
        <w:tc>
          <w:tcPr>
            <w:tcW w:w="2280" w:type="dxa"/>
            <w:vAlign w:val="bottom"/>
          </w:tcPr>
          <w:p>
            <w:pPr>
              <w:jc w:val="center"/>
              <w:spacing w:after="0"/>
              <w:rPr>
                <w:sz w:val="20"/>
                <w:szCs w:val="20"/>
                <w:color w:val="auto"/>
              </w:rPr>
            </w:pPr>
            <w:r>
              <w:rPr>
                <w:rFonts w:ascii="Arial" w:cs="Arial" w:eastAsia="Arial" w:hAnsi="Arial"/>
                <w:sz w:val="18"/>
                <w:szCs w:val="18"/>
                <w:color w:val="auto"/>
                <w:w w:val="89"/>
              </w:rPr>
              <w:t>2003</w:t>
            </w:r>
          </w:p>
        </w:tc>
      </w:tr>
      <w:tr>
        <w:trPr>
          <w:trHeight w:val="27"/>
        </w:trPr>
        <w:tc>
          <w:tcPr>
            <w:tcW w:w="27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50"/>
        </w:trPr>
        <w:tc>
          <w:tcPr>
            <w:tcW w:w="2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Narsi Narayanan</w:t>
            </w:r>
          </w:p>
        </w:tc>
        <w:tc>
          <w:tcPr>
            <w:tcW w:w="1320" w:type="dxa"/>
            <w:vAlign w:val="bottom"/>
            <w:tcBorders>
              <w:bottom w:val="single" w:sz="8" w:color="CCEEFF"/>
            </w:tcBorders>
            <w:shd w:val="clear" w:color="auto" w:fill="CCEEFF"/>
          </w:tcPr>
          <w:p>
            <w:pPr>
              <w:jc w:val="center"/>
              <w:ind w:left="451"/>
              <w:spacing w:after="0"/>
              <w:rPr>
                <w:sz w:val="20"/>
                <w:szCs w:val="20"/>
                <w:color w:val="auto"/>
              </w:rPr>
            </w:pPr>
            <w:r>
              <w:rPr>
                <w:rFonts w:ascii="Arial" w:cs="Arial" w:eastAsia="Arial" w:hAnsi="Arial"/>
                <w:sz w:val="18"/>
                <w:szCs w:val="18"/>
                <w:color w:val="auto"/>
                <w:w w:val="89"/>
              </w:rPr>
              <w:t>42</w:t>
            </w:r>
          </w:p>
        </w:tc>
        <w:tc>
          <w:tcPr>
            <w:tcW w:w="100" w:type="dxa"/>
            <w:vAlign w:val="bottom"/>
            <w:tcBorders>
              <w:bottom w:val="single" w:sz="8" w:color="CCEEFF"/>
            </w:tcBorders>
            <w:shd w:val="clear" w:color="auto" w:fill="CCEEFF"/>
          </w:tcPr>
          <w:p>
            <w:pPr>
              <w:spacing w:after="0"/>
              <w:rPr>
                <w:sz w:val="21"/>
                <w:szCs w:val="21"/>
                <w:color w:val="auto"/>
              </w:rPr>
            </w:pPr>
          </w:p>
        </w:tc>
        <w:tc>
          <w:tcPr>
            <w:tcW w:w="5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Vice President of Finance and Corporate Secretary</w:t>
            </w:r>
          </w:p>
        </w:tc>
        <w:tc>
          <w:tcPr>
            <w:tcW w:w="2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2009</w:t>
            </w:r>
          </w:p>
        </w:tc>
      </w:tr>
      <w:tr>
        <w:trPr>
          <w:trHeight w:val="243"/>
        </w:trPr>
        <w:tc>
          <w:tcPr>
            <w:tcW w:w="2700" w:type="dxa"/>
            <w:vAlign w:val="bottom"/>
          </w:tcPr>
          <w:p>
            <w:pPr>
              <w:ind w:left="40"/>
              <w:spacing w:after="0"/>
              <w:rPr>
                <w:sz w:val="20"/>
                <w:szCs w:val="20"/>
                <w:color w:val="auto"/>
              </w:rPr>
            </w:pPr>
            <w:r>
              <w:rPr>
                <w:rFonts w:ascii="Arial" w:cs="Arial" w:eastAsia="Arial" w:hAnsi="Arial"/>
                <w:sz w:val="18"/>
                <w:szCs w:val="18"/>
                <w:color w:val="auto"/>
              </w:rPr>
              <w:t>Michael E. Braithwaite</w:t>
            </w:r>
          </w:p>
        </w:tc>
        <w:tc>
          <w:tcPr>
            <w:tcW w:w="1320" w:type="dxa"/>
            <w:vAlign w:val="bottom"/>
          </w:tcPr>
          <w:p>
            <w:pPr>
              <w:jc w:val="center"/>
              <w:ind w:left="451"/>
              <w:spacing w:after="0"/>
              <w:rPr>
                <w:sz w:val="20"/>
                <w:szCs w:val="20"/>
                <w:color w:val="auto"/>
              </w:rPr>
            </w:pPr>
            <w:r>
              <w:rPr>
                <w:rFonts w:ascii="Arial" w:cs="Arial" w:eastAsia="Arial" w:hAnsi="Arial"/>
                <w:sz w:val="18"/>
                <w:szCs w:val="18"/>
                <w:color w:val="auto"/>
                <w:w w:val="89"/>
              </w:rPr>
              <w:t>45</w:t>
            </w:r>
          </w:p>
        </w:tc>
        <w:tc>
          <w:tcPr>
            <w:tcW w:w="100" w:type="dxa"/>
            <w:vAlign w:val="bottom"/>
          </w:tcPr>
          <w:p>
            <w:pPr>
              <w:spacing w:after="0"/>
              <w:rPr>
                <w:sz w:val="21"/>
                <w:szCs w:val="21"/>
                <w:color w:val="auto"/>
              </w:rPr>
            </w:pPr>
          </w:p>
        </w:tc>
        <w:tc>
          <w:tcPr>
            <w:tcW w:w="5020" w:type="dxa"/>
            <w:vAlign w:val="bottom"/>
            <w:gridSpan w:val="2"/>
          </w:tcPr>
          <w:p>
            <w:pPr>
              <w:ind w:left="40"/>
              <w:spacing w:after="0"/>
              <w:rPr>
                <w:sz w:val="20"/>
                <w:szCs w:val="20"/>
                <w:color w:val="auto"/>
              </w:rPr>
            </w:pPr>
            <w:r>
              <w:rPr>
                <w:rFonts w:ascii="Arial" w:cs="Arial" w:eastAsia="Arial" w:hAnsi="Arial"/>
                <w:sz w:val="18"/>
                <w:szCs w:val="18"/>
                <w:color w:val="auto"/>
              </w:rPr>
              <w:t>Chief Strategy Officer</w:t>
            </w:r>
          </w:p>
        </w:tc>
        <w:tc>
          <w:tcPr>
            <w:tcW w:w="2280" w:type="dxa"/>
            <w:vAlign w:val="bottom"/>
          </w:tcPr>
          <w:p>
            <w:pPr>
              <w:jc w:val="center"/>
              <w:spacing w:after="0"/>
              <w:rPr>
                <w:sz w:val="20"/>
                <w:szCs w:val="20"/>
                <w:color w:val="auto"/>
              </w:rPr>
            </w:pPr>
            <w:r>
              <w:rPr>
                <w:rFonts w:ascii="Arial" w:cs="Arial" w:eastAsia="Arial" w:hAnsi="Arial"/>
                <w:sz w:val="18"/>
                <w:szCs w:val="18"/>
                <w:color w:val="auto"/>
                <w:w w:val="89"/>
              </w:rPr>
              <w:t>2009</w:t>
            </w:r>
          </w:p>
        </w:tc>
      </w:tr>
      <w:tr>
        <w:trPr>
          <w:trHeight w:val="224"/>
        </w:trPr>
        <w:tc>
          <w:tcPr>
            <w:tcW w:w="2700" w:type="dxa"/>
            <w:vAlign w:val="bottom"/>
          </w:tcPr>
          <w:p>
            <w:pPr>
              <w:spacing w:after="0"/>
              <w:rPr>
                <w:sz w:val="20"/>
                <w:szCs w:val="20"/>
                <w:color w:val="auto"/>
              </w:rPr>
            </w:pPr>
            <w:r>
              <w:rPr>
                <w:rFonts w:ascii="Arial" w:cs="Arial" w:eastAsia="Arial" w:hAnsi="Arial"/>
                <w:sz w:val="16"/>
                <w:szCs w:val="16"/>
                <w:color w:val="auto"/>
              </w:rPr>
              <w:t>_______________________</w:t>
            </w: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80" w:type="dxa"/>
            <w:vAlign w:val="bottom"/>
          </w:tcPr>
          <w:p>
            <w:pPr>
              <w:spacing w:after="0"/>
              <w:rPr>
                <w:sz w:val="19"/>
                <w:szCs w:val="19"/>
                <w:color w:val="auto"/>
              </w:rPr>
            </w:pPr>
          </w:p>
        </w:tc>
      </w:tr>
    </w:tbl>
    <w:p>
      <w:pPr>
        <w:spacing w:after="0" w:line="59" w:lineRule="exact"/>
        <w:rPr>
          <w:sz w:val="20"/>
          <w:szCs w:val="20"/>
          <w:color w:val="auto"/>
        </w:rPr>
      </w:pPr>
    </w:p>
    <w:p>
      <w:pPr>
        <w:ind w:left="260" w:hanging="252"/>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Member of the Audit and Compliance Committee</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Member of the Compensation Committee</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Member of the Nominating Committee</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Officer since July 2004; Director since April 2006; Chairman of the Board since July 2007.</w:t>
      </w:r>
    </w:p>
    <w:p>
      <w:pPr>
        <w:spacing w:after="0" w:line="207" w:lineRule="exact"/>
        <w:rPr>
          <w:sz w:val="20"/>
          <w:szCs w:val="20"/>
          <w:color w:val="auto"/>
        </w:rPr>
      </w:pPr>
    </w:p>
    <w:p>
      <w:pPr>
        <w:ind w:right="60" w:firstLine="648"/>
        <w:spacing w:after="0" w:line="287" w:lineRule="auto"/>
        <w:rPr>
          <w:sz w:val="20"/>
          <w:szCs w:val="20"/>
          <w:color w:val="auto"/>
        </w:rPr>
      </w:pPr>
      <w:r>
        <w:rPr>
          <w:rFonts w:ascii="Arial" w:cs="Arial" w:eastAsia="Arial" w:hAnsi="Arial"/>
          <w:sz w:val="16"/>
          <w:szCs w:val="16"/>
          <w:b w:val="1"/>
          <w:bCs w:val="1"/>
          <w:color w:val="auto"/>
        </w:rPr>
        <w:t xml:space="preserve">Zee Hakimoglu </w:t>
      </w:r>
      <w:r>
        <w:rPr>
          <w:rFonts w:ascii="Arial" w:cs="Arial" w:eastAsia="Arial" w:hAnsi="Arial"/>
          <w:sz w:val="16"/>
          <w:szCs w:val="16"/>
          <w:color w:val="auto"/>
        </w:rPr>
        <w:t>has served as a director of our company since April 2006. Ms. Hakimoglu joined our company in December 2003 with more than</w:t>
      </w:r>
      <w:r>
        <w:rPr>
          <w:rFonts w:ascii="Arial" w:cs="Arial" w:eastAsia="Arial" w:hAnsi="Arial"/>
          <w:sz w:val="16"/>
          <w:szCs w:val="16"/>
          <w:b w:val="1"/>
          <w:bCs w:val="1"/>
          <w:color w:val="auto"/>
        </w:rPr>
        <w:t xml:space="preserve"> </w:t>
      </w:r>
      <w:r>
        <w:rPr>
          <w:rFonts w:ascii="Arial" w:cs="Arial" w:eastAsia="Arial" w:hAnsi="Arial"/>
          <w:sz w:val="16"/>
          <w:szCs w:val="16"/>
          <w:color w:val="auto"/>
        </w:rPr>
        <w:t>15 years of executive and senior-level, high-tech management experience and was appointed as President and Chief Executive Officer in July 2004 and Chairman of the Board in July 2007. She served in a variety of executive business development, product marketing, engineering and product line management roles prior to joining ClearOne. Ms. Hakimoglu served as Vice President of Product Line Management for Oplink Communications, a publicly traded developer of fiber optic subsystems and components from December 2001 to December 2002; President of OZ Optics USA, a manufacturer of fiber optic test equipment and components from August 2000 to November 2001; and various management positions including Vice President of Wireless Engineering and Vice President of the Wireless Business Unit for Aydin Corp., a telecommunications equipment company, formerly traded on the New York Stock Exchange from May 1982 until it was acquired in September 1996. She also was Vice President of Business Development for Kaifa Technology from October 1998 to August 2000 and was instrumental in its acquisition by E-Tek Dynamics, then again acquired by JDS Uniphase. Through these acquisitions, she held the role of Deputy General Manager of the Kaifa Technology business unit. She also served as Vice President of Product Line Management for ClearOne from December 2003 to July 2004. Ms. Hakimoglu earned a Bachelor of Science Degree in Physics from California State College, Sonoma, and a Master's Degree in Physics from Drexel University. In light of Ms. Hakimoglu's rich experience in the high-tech industry and her unique and extensive understanding of ClearOne's business, our Board has concluded that Ms. Hakimoglu should continue to serve as a director.</w:t>
      </w:r>
    </w:p>
    <w:p>
      <w:pPr>
        <w:spacing w:after="0" w:line="165" w:lineRule="exact"/>
        <w:rPr>
          <w:sz w:val="20"/>
          <w:szCs w:val="20"/>
          <w:color w:val="auto"/>
        </w:rPr>
      </w:pPr>
    </w:p>
    <w:p>
      <w:pPr>
        <w:ind w:right="80" w:firstLine="648"/>
        <w:spacing w:after="0" w:line="290" w:lineRule="auto"/>
        <w:rPr>
          <w:sz w:val="20"/>
          <w:szCs w:val="20"/>
          <w:color w:val="auto"/>
        </w:rPr>
      </w:pPr>
      <w:r>
        <w:rPr>
          <w:rFonts w:ascii="Arial" w:cs="Arial" w:eastAsia="Arial" w:hAnsi="Arial"/>
          <w:sz w:val="16"/>
          <w:szCs w:val="16"/>
          <w:b w:val="1"/>
          <w:bCs w:val="1"/>
          <w:color w:val="auto"/>
        </w:rPr>
        <w:t xml:space="preserve">Brad R. Baldwin </w:t>
      </w:r>
      <w:r>
        <w:rPr>
          <w:rFonts w:ascii="Arial" w:cs="Arial" w:eastAsia="Arial" w:hAnsi="Arial"/>
          <w:sz w:val="16"/>
          <w:szCs w:val="16"/>
          <w:color w:val="auto"/>
        </w:rPr>
        <w:t>has served as a director of our company since October 1988. Mr. Baldwin is an attorney licensed to practice in Utah. Since April</w:t>
      </w:r>
      <w:r>
        <w:rPr>
          <w:rFonts w:ascii="Arial" w:cs="Arial" w:eastAsia="Arial" w:hAnsi="Arial"/>
          <w:sz w:val="16"/>
          <w:szCs w:val="16"/>
          <w:b w:val="1"/>
          <w:bCs w:val="1"/>
          <w:color w:val="auto"/>
        </w:rPr>
        <w:t xml:space="preserve"> </w:t>
      </w:r>
      <w:r>
        <w:rPr>
          <w:rFonts w:ascii="Arial" w:cs="Arial" w:eastAsia="Arial" w:hAnsi="Arial"/>
          <w:sz w:val="16"/>
          <w:szCs w:val="16"/>
          <w:color w:val="auto"/>
        </w:rPr>
        <w:t>2009, Mr. Baldwin has served as general counsel to the Wasatch Front Regional Multiple Listing Service (“WFRMLS “). The WFRMLS currently assists over 10,000 brokers, agents and appraisers with their MLS needs and services. Mr. Baldwin is a Director and Vice-Chairman of First Utah Bank, a community bank based in Utah. From April 2001 to April 2009, he served as an attorney and investment real estate specialist with the commercial real estate business with Commerce CRG in Salt Lake City, Utah. From 1988 to 2000, he served as legal counsel and president of Bank One, Utah. He also practiced business, corporate and real estate law for ten years in Salt Lake City. He has a degree in finance from the University of Utah and a law degree from the University of Washington. He has served on the board of many community organizations, including the Salt Lake Area Chamber of Commerce, the Utah Bankers Association, and the Economic Development Corporation of Utah. In light of Mr. Baldwin's legal background and unique understanding of our business due to his long service on our Board, the Board has concluded that Mr. Baldwin should continue to serve as a director.</w:t>
      </w:r>
    </w:p>
    <w:p>
      <w:pPr>
        <w:spacing w:after="0" w:line="160"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b w:val="1"/>
          <w:bCs w:val="1"/>
          <w:color w:val="auto"/>
        </w:rPr>
        <w:t xml:space="preserve">Larry R. Hendricks </w:t>
      </w:r>
      <w:r>
        <w:rPr>
          <w:rFonts w:ascii="Arial" w:cs="Arial" w:eastAsia="Arial" w:hAnsi="Arial"/>
          <w:sz w:val="18"/>
          <w:szCs w:val="18"/>
          <w:color w:val="auto"/>
        </w:rPr>
        <w:t>has served as a director of our company since June 2003. Mr. Hendricks is a Certified Public Accountant who retired in</w:t>
      </w:r>
      <w:r>
        <w:rPr>
          <w:rFonts w:ascii="Arial" w:cs="Arial" w:eastAsia="Arial" w:hAnsi="Arial"/>
          <w:sz w:val="18"/>
          <w:szCs w:val="18"/>
          <w:b w:val="1"/>
          <w:bCs w:val="1"/>
          <w:color w:val="auto"/>
        </w:rPr>
        <w:t xml:space="preserve"> </w:t>
      </w:r>
      <w:r>
        <w:rPr>
          <w:rFonts w:ascii="Arial" w:cs="Arial" w:eastAsia="Arial" w:hAnsi="Arial"/>
          <w:sz w:val="18"/>
          <w:szCs w:val="18"/>
          <w:color w:val="auto"/>
        </w:rPr>
        <w:t>December 2002 after serving as Vice President of Finance and General Manager of Daily Foods, Inc., a national meat processing company. During his 30-year career in accounting, he served as a self-employed CPA and worked for the international accounting firm Peat Marwick &amp; Mitchell. Mr. Hendricks has served on the boards of eight other organizations, including Tunex International, Habitat for Humanity, Daily Foods, and Skin Care International. He earned a Bachelor's Degree in Accounting from Utah State University and a Master of Business Administration Degree from the University of Utah. In light of Mr. Hendricks' background in finance and accounting and his deep understanding of our business after his service on our Board, the Board has concluded Mr. Hendricks should continue to serve as a director.</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 |</w:t>
      </w:r>
    </w:p>
    <w:p>
      <w:pPr>
        <w:sectPr>
          <w:pgSz w:w="11900" w:h="16838" w:orient="portrait"/>
          <w:cols w:equalWidth="0" w:num="1">
            <w:col w:w="11420"/>
          </w:cols>
          <w:pgMar w:left="240" w:top="585" w:right="239" w:bottom="1440" w:gutter="0" w:footer="0" w:header="0"/>
        </w:sectPr>
      </w:pPr>
    </w:p>
    <w:bookmarkStart w:id="4" w:name="page5"/>
    <w:bookmarkEnd w:id="4"/>
    <w:p>
      <w:pPr>
        <w:ind w:right="220" w:firstLine="648"/>
        <w:spacing w:after="0" w:line="291" w:lineRule="auto"/>
        <w:rPr>
          <w:sz w:val="20"/>
          <w:szCs w:val="20"/>
          <w:color w:val="auto"/>
        </w:rPr>
      </w:pPr>
      <w:r>
        <w:rPr>
          <w:rFonts w:ascii="Arial" w:cs="Arial" w:eastAsia="Arial" w:hAnsi="Arial"/>
          <w:sz w:val="16"/>
          <w:szCs w:val="16"/>
          <w:b w:val="1"/>
          <w:bCs w:val="1"/>
          <w:color w:val="auto"/>
        </w:rPr>
        <w:t xml:space="preserve">Scott M. Huntsman </w:t>
      </w:r>
      <w:r>
        <w:rPr>
          <w:rFonts w:ascii="Arial" w:cs="Arial" w:eastAsia="Arial" w:hAnsi="Arial"/>
          <w:sz w:val="16"/>
          <w:szCs w:val="16"/>
          <w:color w:val="auto"/>
        </w:rPr>
        <w:t>has served as a director of our company since June 2003. Mr. Huntsman has served as President of GlobalSim, a technology</w:t>
      </w:r>
      <w:r>
        <w:rPr>
          <w:rFonts w:ascii="Arial" w:cs="Arial" w:eastAsia="Arial" w:hAnsi="Arial"/>
          <w:sz w:val="16"/>
          <w:szCs w:val="16"/>
          <w:b w:val="1"/>
          <w:bCs w:val="1"/>
          <w:color w:val="auto"/>
        </w:rPr>
        <w:t xml:space="preserve"> </w:t>
      </w:r>
      <w:r>
        <w:rPr>
          <w:rFonts w:ascii="Arial" w:cs="Arial" w:eastAsia="Arial" w:hAnsi="Arial"/>
          <w:sz w:val="16"/>
          <w:szCs w:val="16"/>
          <w:color w:val="auto"/>
        </w:rPr>
        <w:t>and simulation company, since February 2003, and as Chief Financial Officer from April 2002 to February 2003. Prior to joining GlobalSim, he spent 11 years on Wall Street as an investment banker, where he focused on mergers, acquisitions, and corporate finance transactions. Mr. Huntsman served at Donaldson, Lufkin and Jenrette Securities Corporation from August 1996 to 2000, when they merged with Credit Suisse First Boston where he served until October 2001. Mr. Huntsman earned a Bachelor's Degree from Columbia University and a Master of Business Administration Degree from The Wharton School at the University of Pennsylvania. He also studied at the London School of Economics as a Kohn Fellowship recipient. In light of Mr. Huntsman's background in finance and particularly in the areas of mergers and acquisitions and corporate finance, and in view of his experience as a leader of a technology company, the Board has concluded Mr. Huntsman should continue to serve as a director.</w:t>
      </w:r>
    </w:p>
    <w:p>
      <w:pPr>
        <w:spacing w:after="0" w:line="160"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b w:val="1"/>
          <w:bCs w:val="1"/>
          <w:color w:val="auto"/>
        </w:rPr>
        <w:t xml:space="preserve">Narsi Narayanan </w:t>
      </w:r>
      <w:r>
        <w:rPr>
          <w:rFonts w:ascii="Arial" w:cs="Arial" w:eastAsia="Arial" w:hAnsi="Arial"/>
          <w:sz w:val="17"/>
          <w:szCs w:val="17"/>
          <w:color w:val="auto"/>
        </w:rPr>
        <w:t>has served as our Vice President of Finance since July 2009 and has over 19 years of professional experience in the areas of</w:t>
      </w:r>
      <w:r>
        <w:rPr>
          <w:rFonts w:ascii="Arial" w:cs="Arial" w:eastAsia="Arial" w:hAnsi="Arial"/>
          <w:sz w:val="17"/>
          <w:szCs w:val="17"/>
          <w:b w:val="1"/>
          <w:bCs w:val="1"/>
          <w:color w:val="auto"/>
        </w:rPr>
        <w:t xml:space="preserve"> </w:t>
      </w:r>
      <w:r>
        <w:rPr>
          <w:rFonts w:ascii="Arial" w:cs="Arial" w:eastAsia="Arial" w:hAnsi="Arial"/>
          <w:sz w:val="17"/>
          <w:szCs w:val="17"/>
          <w:color w:val="auto"/>
        </w:rPr>
        <w:t>accounting, finance and taxes. Prior to joining our company, he managed the SEC reporting, US GAAP accounting research, SOX compliance and other financial reporting functions from August 2007 through February 2009 at Solo Cup Company, a publicly reporting international consumer products company. Prior to that, Mr. Narayanan managed the accounting and finance functions, including SEC Reporting, SOX compliance and US GAAP accounting research, from June 2004 through August 2007 at eCollege.com, a leading technology company serving private educational institutions which was also a publicly reporting company before being acquired by Pearson Education group. In addition to being a Chartered Accountant, Mr. Narayanan has extensive experience working in public accounting and in various senior finance positions in India with large public companies. He is a Certified Public Accountant with graduate degrees in accounting (M. Acc.) and business (MBA-Finance).</w:t>
      </w:r>
    </w:p>
    <w:p>
      <w:pPr>
        <w:spacing w:after="0" w:line="172" w:lineRule="exact"/>
        <w:rPr>
          <w:sz w:val="20"/>
          <w:szCs w:val="20"/>
          <w:color w:val="auto"/>
        </w:rPr>
      </w:pPr>
    </w:p>
    <w:p>
      <w:pPr>
        <w:ind w:right="100" w:firstLine="648"/>
        <w:spacing w:after="0" w:line="298" w:lineRule="auto"/>
        <w:rPr>
          <w:sz w:val="20"/>
          <w:szCs w:val="20"/>
          <w:color w:val="auto"/>
        </w:rPr>
      </w:pPr>
      <w:r>
        <w:rPr>
          <w:rFonts w:ascii="Arial" w:cs="Arial" w:eastAsia="Arial" w:hAnsi="Arial"/>
          <w:sz w:val="16"/>
          <w:szCs w:val="16"/>
          <w:b w:val="1"/>
          <w:bCs w:val="1"/>
          <w:color w:val="auto"/>
        </w:rPr>
        <w:t xml:space="preserve">Michael Braithwaite </w:t>
      </w:r>
      <w:r>
        <w:rPr>
          <w:rFonts w:ascii="Arial" w:cs="Arial" w:eastAsia="Arial" w:hAnsi="Arial"/>
          <w:sz w:val="16"/>
          <w:szCs w:val="16"/>
          <w:color w:val="auto"/>
        </w:rPr>
        <w:t>joined us in November 2009 through the acquisition of NetStreams, Inc. where he was the co-founder and CTO since 2002.</w:t>
      </w:r>
      <w:r>
        <w:rPr>
          <w:rFonts w:ascii="Arial" w:cs="Arial" w:eastAsia="Arial" w:hAnsi="Arial"/>
          <w:sz w:val="16"/>
          <w:szCs w:val="16"/>
          <w:b w:val="1"/>
          <w:bCs w:val="1"/>
          <w:color w:val="auto"/>
        </w:rPr>
        <w:t xml:space="preserve"> </w:t>
      </w:r>
      <w:r>
        <w:rPr>
          <w:rFonts w:ascii="Arial" w:cs="Arial" w:eastAsia="Arial" w:hAnsi="Arial"/>
          <w:sz w:val="16"/>
          <w:szCs w:val="16"/>
          <w:color w:val="auto"/>
        </w:rPr>
        <w:t>Mr. Braithwaite has led a distinguished twenty-year career as a visionary, disruptive innovator, and proven leader in the professional audio and consumer electronics industries. He has authored more than twenty U.S. and International patents. Before NetStreams, Inc., Mr. Braithwaite was a product and market manager for Crestron Electronics where he worked on highly successful audio and video distribution products. He currently serves on the AVnu (AVB) marketing and technical committees and is a very active member in technology standard efforts for the CEA and other standard-setting bodies.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21"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Section 16(a) of the Exchange Act, as amended, requires our directors, executive officers and persons who own more than 10% of a registered class of our equity securities to file with the SEC initial reports of ownership on Form 3 and reports of changes of ownership of our equity securities on Forms 4 and 5. Officers, directors, and greater than 10% shareholders are required to furnish us with copies of all Section 16(a) reports they file. Based solely on a review of the reports and amendments to reports furnished to us for the year ended December 31, 2011, and written representations that no other reports were required, we believe that each person who, at any time during such fiscal year was a director, officer, or beneficial owner of more than 10% of our common stock, complied with all Section 16(a) filing requirements during such period, except for the following: Edward Dallin Bagley, a beneficial owner of more than 10% of our common stock filed two Forms 4 late for one transaction each; E. Bryan Bagley, a former director, filed one Form 4 late for two transactions; Brad Baldwin, a director filed one Form 4 late for one transaction; Michael Braithwaite, an officer filed one Form 4 late for three transactions and another Form 4 late for one transaction; Zee Hakimoglu, a director and an officer filed two Forms 4 late for one transaction each; Larry Hendricks, a director filed one Form 4 for one transaction; and Narsi Narayanan, an officer filed one Form 4 late for one transaction.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121"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 xml:space="preserve">The Board of Directors adopted a code of ethics that applies to our Board of Directors, executive officers, and employees. The Company's Code of Ethics is posted on our website at </w:t>
      </w:r>
      <w:r>
        <w:rPr>
          <w:rFonts w:ascii="Arial" w:cs="Arial" w:eastAsia="Arial" w:hAnsi="Arial"/>
          <w:sz w:val="18"/>
          <w:szCs w:val="18"/>
          <w:u w:val="single" w:color="auto"/>
          <w:color w:val="auto"/>
        </w:rPr>
        <w:t>www.clearone.com</w:t>
      </w:r>
      <w:r>
        <w:rPr>
          <w:rFonts w:ascii="Arial" w:cs="Arial" w:eastAsia="Arial" w:hAnsi="Arial"/>
          <w:sz w:val="18"/>
          <w:szCs w:val="18"/>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Nomination Procedures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changes have been made to the procedures by which our shareholders may recommend nominees to our Board of Directors.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and Compliance Committee</w:t>
      </w:r>
    </w:p>
    <w:p>
      <w:pPr>
        <w:spacing w:after="0" w:line="12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has a separate Audit Committee and its members are Scott M. Huntsman (Chairman), Brad R. Baldwin, and Larry R. Hendricks. The Board of Directors has determined that Scott M. Huntsman is an “audit committee financial expert” and each member is independent in accordance with applicable rules and regulations of NASDAQ and the SEC.</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1420"/>
          </w:cols>
          <w:pgMar w:left="240" w:top="580"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w:t>
      </w:r>
    </w:p>
    <w:p>
      <w:pPr>
        <w:spacing w:after="0" w:line="94"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The following tables set forth for the periods indicated, the compensation paid or earned by each named executive officer for the years ended December 31, 2012 and 2011.</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3"/>
              </w:rPr>
              <w:t>Non-Equity</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03"/>
        </w:trPr>
        <w:tc>
          <w:tcPr>
            <w:tcW w:w="3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ind w:left="100"/>
              <w:spacing w:after="0"/>
              <w:rPr>
                <w:sz w:val="20"/>
                <w:szCs w:val="20"/>
                <w:color w:val="auto"/>
              </w:rPr>
            </w:pPr>
            <w:r>
              <w:rPr>
                <w:rFonts w:ascii="Arial" w:cs="Arial" w:eastAsia="Arial" w:hAnsi="Arial"/>
                <w:sz w:val="16"/>
                <w:szCs w:val="16"/>
                <w:b w:val="1"/>
                <w:bCs w:val="1"/>
                <w:color w:val="auto"/>
              </w:rPr>
              <w:t>Option</w:t>
            </w:r>
          </w:p>
        </w:tc>
        <w:tc>
          <w:tcPr>
            <w:tcW w:w="120" w:type="dxa"/>
            <w:vAlign w:val="bottom"/>
          </w:tcPr>
          <w:p>
            <w:pPr>
              <w:spacing w:after="0"/>
              <w:rPr>
                <w:sz w:val="17"/>
                <w:szCs w:val="17"/>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Incentive Plan</w:t>
            </w:r>
          </w:p>
        </w:tc>
        <w:tc>
          <w:tcPr>
            <w:tcW w:w="220" w:type="dxa"/>
            <w:vAlign w:val="bottom"/>
          </w:tcPr>
          <w:p>
            <w:pPr>
              <w:spacing w:after="0"/>
              <w:rPr>
                <w:sz w:val="17"/>
                <w:szCs w:val="17"/>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7"/>
              </w:rPr>
              <w:t>All Other</w:t>
            </w: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50"/>
        </w:trPr>
        <w:tc>
          <w:tcPr>
            <w:tcW w:w="3540" w:type="dxa"/>
            <w:vAlign w:val="bottom"/>
            <w:tcBorders>
              <w:bottom w:val="single" w:sz="8" w:color="auto"/>
            </w:tcBorders>
          </w:tcPr>
          <w:p>
            <w:pPr>
              <w:ind w:left="780"/>
              <w:spacing w:after="0"/>
              <w:rPr>
                <w:sz w:val="20"/>
                <w:szCs w:val="20"/>
                <w:color w:val="auto"/>
              </w:rPr>
            </w:pPr>
            <w:r>
              <w:rPr>
                <w:rFonts w:ascii="Arial" w:cs="Arial" w:eastAsia="Arial" w:hAnsi="Arial"/>
                <w:sz w:val="16"/>
                <w:szCs w:val="16"/>
                <w:b w:val="1"/>
                <w:bCs w:val="1"/>
                <w:color w:val="auto"/>
              </w:rPr>
              <w:t>Name and Principal Position</w:t>
            </w:r>
          </w:p>
        </w:tc>
        <w:tc>
          <w:tcPr>
            <w:tcW w:w="120" w:type="dxa"/>
            <w:vAlign w:val="bottom"/>
            <w:tcBorders>
              <w:bottom w:val="single" w:sz="8" w:color="CCEEFF"/>
            </w:tcBorders>
          </w:tcPr>
          <w:p>
            <w:pPr>
              <w:spacing w:after="0"/>
              <w:rPr>
                <w:sz w:val="21"/>
                <w:szCs w:val="21"/>
                <w:color w:val="auto"/>
              </w:rPr>
            </w:pPr>
          </w:p>
        </w:tc>
        <w:tc>
          <w:tcPr>
            <w:tcW w:w="820" w:type="dxa"/>
            <w:vAlign w:val="bottom"/>
            <w:tcBorders>
              <w:bottom w:val="single" w:sz="8" w:color="auto"/>
            </w:tcBorders>
          </w:tcPr>
          <w:p>
            <w:pPr>
              <w:jc w:val="right"/>
              <w:ind w:right="91"/>
              <w:spacing w:after="0"/>
              <w:rPr>
                <w:sz w:val="20"/>
                <w:szCs w:val="20"/>
                <w:color w:val="auto"/>
              </w:rPr>
            </w:pPr>
            <w:r>
              <w:rPr>
                <w:rFonts w:ascii="Arial" w:cs="Arial" w:eastAsia="Arial" w:hAnsi="Arial"/>
                <w:sz w:val="16"/>
                <w:szCs w:val="16"/>
                <w:b w:val="1"/>
                <w:bCs w:val="1"/>
                <w:color w:val="auto"/>
              </w:rPr>
              <w:t>Salary</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52"/>
              <w:spacing w:after="0"/>
              <w:rPr>
                <w:sz w:val="20"/>
                <w:szCs w:val="20"/>
                <w:color w:val="auto"/>
              </w:rPr>
            </w:pPr>
            <w:r>
              <w:rPr>
                <w:rFonts w:ascii="Arial" w:cs="Arial" w:eastAsia="Arial" w:hAnsi="Arial"/>
                <w:sz w:val="16"/>
                <w:szCs w:val="16"/>
                <w:b w:val="1"/>
                <w:bCs w:val="1"/>
                <w:color w:val="auto"/>
                <w:w w:val="85"/>
              </w:rPr>
              <w:t>Awards</w:t>
            </w:r>
            <w:r>
              <w:rPr>
                <w:rFonts w:ascii="Arial" w:cs="Arial" w:eastAsia="Arial" w:hAnsi="Arial"/>
                <w:sz w:val="21"/>
                <w:szCs w:val="21"/>
                <w:b w:val="1"/>
                <w:bCs w:val="1"/>
                <w:color w:val="auto"/>
                <w:w w:val="85"/>
                <w:vertAlign w:val="superscript"/>
              </w:rPr>
              <w:t>(1)</w:t>
            </w:r>
          </w:p>
        </w:tc>
        <w:tc>
          <w:tcPr>
            <w:tcW w:w="100" w:type="dxa"/>
            <w:vAlign w:val="bottom"/>
            <w:tcBorders>
              <w:bottom w:val="single" w:sz="8" w:color="CCEEFF"/>
            </w:tcBorders>
          </w:tcPr>
          <w:p>
            <w:pPr>
              <w:spacing w:after="0"/>
              <w:rPr>
                <w:sz w:val="21"/>
                <w:szCs w:val="21"/>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0"/>
              </w:rPr>
              <w:t>Compensation</w:t>
            </w:r>
            <w:r>
              <w:rPr>
                <w:rFonts w:ascii="Arial" w:cs="Arial" w:eastAsia="Arial" w:hAnsi="Arial"/>
                <w:sz w:val="21"/>
                <w:szCs w:val="21"/>
                <w:b w:val="1"/>
                <w:bCs w:val="1"/>
                <w:color w:val="auto"/>
                <w:w w:val="90"/>
                <w:vertAlign w:val="superscript"/>
              </w:rPr>
              <w:t>(2)</w:t>
            </w:r>
          </w:p>
        </w:tc>
        <w:tc>
          <w:tcPr>
            <w:tcW w:w="100" w:type="dxa"/>
            <w:vAlign w:val="bottom"/>
            <w:tcBorders>
              <w:bottom w:val="single" w:sz="8" w:color="CCEEFF"/>
            </w:tcBorders>
          </w:tcPr>
          <w:p>
            <w:pPr>
              <w:spacing w:after="0"/>
              <w:rPr>
                <w:sz w:val="21"/>
                <w:szCs w:val="21"/>
                <w:color w:val="auto"/>
              </w:rPr>
            </w:pPr>
          </w:p>
        </w:tc>
        <w:tc>
          <w:tcPr>
            <w:tcW w:w="126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88"/>
              </w:rPr>
              <w:t>Compensation</w:t>
            </w:r>
            <w:r>
              <w:rPr>
                <w:rFonts w:ascii="Arial" w:cs="Arial" w:eastAsia="Arial" w:hAnsi="Arial"/>
                <w:sz w:val="21"/>
                <w:szCs w:val="21"/>
                <w:b w:val="1"/>
                <w:bCs w:val="1"/>
                <w:color w:val="auto"/>
                <w:w w:val="88"/>
                <w:vertAlign w:val="superscript"/>
              </w:rPr>
              <w:t>(3)</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171"/>
              <w:spacing w:after="0"/>
              <w:rPr>
                <w:sz w:val="20"/>
                <w:szCs w:val="20"/>
                <w:color w:val="auto"/>
              </w:rPr>
            </w:pPr>
            <w:r>
              <w:rPr>
                <w:rFonts w:ascii="Arial" w:cs="Arial" w:eastAsia="Arial" w:hAnsi="Arial"/>
                <w:sz w:val="16"/>
                <w:szCs w:val="16"/>
                <w:b w:val="1"/>
                <w:bCs w:val="1"/>
                <w:color w:val="auto"/>
              </w:rPr>
              <w:t>Total</w:t>
            </w:r>
          </w:p>
        </w:tc>
      </w:tr>
      <w:tr>
        <w:trPr>
          <w:trHeight w:val="229"/>
        </w:trPr>
        <w:tc>
          <w:tcPr>
            <w:tcW w:w="366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w w:val="95"/>
              </w:rPr>
              <w:t xml:space="preserve">Zee Hakimoglu </w:t>
            </w:r>
            <w:r>
              <w:rPr>
                <w:rFonts w:ascii="Arial" w:cs="Arial" w:eastAsia="Arial" w:hAnsi="Arial"/>
                <w:sz w:val="18"/>
                <w:szCs w:val="18"/>
                <w:color w:val="auto"/>
                <w:w w:val="95"/>
              </w:rPr>
              <w:t>- Chairman of the Board, Chief</w:t>
            </w: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51"/>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Executive Officer and President</w:t>
            </w: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r>
      <w:tr>
        <w:trPr>
          <w:trHeight w:val="243"/>
        </w:trPr>
        <w:tc>
          <w:tcPr>
            <w:tcW w:w="3660" w:type="dxa"/>
            <w:vAlign w:val="bottom"/>
            <w:gridSpan w:val="2"/>
          </w:tcPr>
          <w:p>
            <w:pPr>
              <w:ind w:left="40"/>
              <w:spacing w:after="0"/>
              <w:rPr>
                <w:sz w:val="20"/>
                <w:szCs w:val="20"/>
                <w:color w:val="auto"/>
              </w:rPr>
            </w:pPr>
            <w:r>
              <w:rPr>
                <w:rFonts w:ascii="Arial" w:cs="Arial" w:eastAsia="Arial" w:hAnsi="Arial"/>
                <w:sz w:val="18"/>
                <w:szCs w:val="18"/>
                <w:color w:val="auto"/>
              </w:rPr>
              <w:t>Year ended December 31, 2012</w:t>
            </w:r>
          </w:p>
        </w:tc>
        <w:tc>
          <w:tcPr>
            <w:tcW w:w="820" w:type="dxa"/>
            <w:vAlign w:val="bottom"/>
          </w:tcPr>
          <w:p>
            <w:pPr>
              <w:jc w:val="right"/>
              <w:spacing w:after="0"/>
              <w:rPr>
                <w:sz w:val="20"/>
                <w:szCs w:val="20"/>
                <w:color w:val="auto"/>
              </w:rPr>
            </w:pPr>
            <w:r>
              <w:rPr>
                <w:rFonts w:ascii="Arial" w:cs="Arial" w:eastAsia="Arial" w:hAnsi="Arial"/>
                <w:sz w:val="18"/>
                <w:szCs w:val="18"/>
                <w:color w:val="auto"/>
                <w:w w:val="92"/>
              </w:rPr>
              <w:t>$ 236,667</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51,765</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59,246</w:t>
            </w:r>
          </w:p>
        </w:tc>
        <w:tc>
          <w:tcPr>
            <w:tcW w:w="100" w:type="dxa"/>
            <w:vAlign w:val="bottom"/>
          </w:tcPr>
          <w:p>
            <w:pPr>
              <w:spacing w:after="0"/>
              <w:rPr>
                <w:sz w:val="21"/>
                <w:szCs w:val="21"/>
                <w:color w:val="auto"/>
              </w:rPr>
            </w:pPr>
          </w:p>
        </w:tc>
        <w:tc>
          <w:tcPr>
            <w:tcW w:w="22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5"/>
              </w:rPr>
              <w:t>347,678</w:t>
            </w:r>
          </w:p>
        </w:tc>
      </w:tr>
      <w:tr>
        <w:trPr>
          <w:trHeight w:val="27"/>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82"/>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Year ended December 31, 2011</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230,000</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29,436</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93,953</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353,389</w:t>
            </w:r>
          </w:p>
        </w:tc>
      </w:tr>
      <w:tr>
        <w:trPr>
          <w:trHeight w:val="229"/>
        </w:trPr>
        <w:tc>
          <w:tcPr>
            <w:tcW w:w="366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b w:val="1"/>
                <w:bCs w:val="1"/>
                <w:color w:val="auto"/>
                <w:w w:val="99"/>
              </w:rPr>
              <w:t xml:space="preserve">Narsi Narayanan </w:t>
            </w:r>
            <w:r>
              <w:rPr>
                <w:rFonts w:ascii="Arial" w:cs="Arial" w:eastAsia="Arial" w:hAnsi="Arial"/>
                <w:sz w:val="18"/>
                <w:szCs w:val="18"/>
                <w:color w:val="auto"/>
                <w:w w:val="99"/>
              </w:rPr>
              <w:t>- Vice President of Finance</w:t>
            </w:r>
          </w:p>
        </w:tc>
        <w:tc>
          <w:tcPr>
            <w:tcW w:w="8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r>
      <w:tr>
        <w:trPr>
          <w:trHeight w:val="230"/>
        </w:trPr>
        <w:tc>
          <w:tcPr>
            <w:tcW w:w="3660" w:type="dxa"/>
            <w:vAlign w:val="bottom"/>
            <w:gridSpan w:val="2"/>
          </w:tcPr>
          <w:p>
            <w:pPr>
              <w:ind w:left="40"/>
              <w:spacing w:after="0"/>
              <w:rPr>
                <w:sz w:val="20"/>
                <w:szCs w:val="20"/>
                <w:color w:val="auto"/>
              </w:rPr>
            </w:pPr>
            <w:r>
              <w:rPr>
                <w:rFonts w:ascii="Arial" w:cs="Arial" w:eastAsia="Arial" w:hAnsi="Arial"/>
                <w:sz w:val="18"/>
                <w:szCs w:val="18"/>
                <w:color w:val="auto"/>
              </w:rPr>
              <w:t>and Corporate Secretary</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41"/>
        </w:trPr>
        <w:tc>
          <w:tcPr>
            <w:tcW w:w="3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250"/>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Year ended December 31, 2012</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$ 141,667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41,412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31,864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214,943</w:t>
            </w:r>
          </w:p>
        </w:tc>
      </w:tr>
      <w:tr>
        <w:trPr>
          <w:trHeight w:val="243"/>
        </w:trPr>
        <w:tc>
          <w:tcPr>
            <w:tcW w:w="3660" w:type="dxa"/>
            <w:vAlign w:val="bottom"/>
            <w:gridSpan w:val="2"/>
          </w:tcPr>
          <w:p>
            <w:pPr>
              <w:ind w:left="40"/>
              <w:spacing w:after="0"/>
              <w:rPr>
                <w:sz w:val="20"/>
                <w:szCs w:val="20"/>
                <w:color w:val="auto"/>
              </w:rPr>
            </w:pPr>
            <w:r>
              <w:rPr>
                <w:rFonts w:ascii="Arial" w:cs="Arial" w:eastAsia="Arial" w:hAnsi="Arial"/>
                <w:sz w:val="18"/>
                <w:szCs w:val="18"/>
                <w:color w:val="auto"/>
              </w:rPr>
              <w:t>Year ended December 31, 2011</w:t>
            </w:r>
          </w:p>
        </w:tc>
        <w:tc>
          <w:tcPr>
            <w:tcW w:w="820" w:type="dxa"/>
            <w:vAlign w:val="bottom"/>
          </w:tcPr>
          <w:p>
            <w:pPr>
              <w:jc w:val="right"/>
              <w:spacing w:after="0"/>
              <w:rPr>
                <w:sz w:val="20"/>
                <w:szCs w:val="20"/>
                <w:color w:val="auto"/>
              </w:rPr>
            </w:pPr>
            <w:r>
              <w:rPr>
                <w:rFonts w:ascii="Arial" w:cs="Arial" w:eastAsia="Arial" w:hAnsi="Arial"/>
                <w:sz w:val="18"/>
                <w:szCs w:val="18"/>
                <w:color w:val="auto"/>
              </w:rPr>
              <w:t>135,000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29,436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52,090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216,526</w:t>
            </w:r>
          </w:p>
        </w:tc>
      </w:tr>
      <w:tr>
        <w:trPr>
          <w:trHeight w:val="34"/>
        </w:trPr>
        <w:tc>
          <w:tcPr>
            <w:tcW w:w="3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64"/>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 xml:space="preserve">Michael Braithwaite </w:t>
            </w:r>
            <w:r>
              <w:rPr>
                <w:rFonts w:ascii="Arial" w:cs="Arial" w:eastAsia="Arial" w:hAnsi="Arial"/>
                <w:sz w:val="18"/>
                <w:szCs w:val="18"/>
                <w:color w:val="auto"/>
              </w:rPr>
              <w:t>- Chief Strategy Officer</w:t>
            </w:r>
          </w:p>
        </w:tc>
        <w:tc>
          <w:tcPr>
            <w:tcW w:w="8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r>
      <w:tr>
        <w:trPr>
          <w:trHeight w:val="243"/>
        </w:trPr>
        <w:tc>
          <w:tcPr>
            <w:tcW w:w="3660" w:type="dxa"/>
            <w:vAlign w:val="bottom"/>
            <w:gridSpan w:val="2"/>
          </w:tcPr>
          <w:p>
            <w:pPr>
              <w:ind w:left="40"/>
              <w:spacing w:after="0"/>
              <w:rPr>
                <w:sz w:val="20"/>
                <w:szCs w:val="20"/>
                <w:color w:val="auto"/>
              </w:rPr>
            </w:pPr>
            <w:r>
              <w:rPr>
                <w:rFonts w:ascii="Arial" w:cs="Arial" w:eastAsia="Arial" w:hAnsi="Arial"/>
                <w:sz w:val="18"/>
                <w:szCs w:val="18"/>
                <w:color w:val="auto"/>
              </w:rPr>
              <w:t>Year ended December 31, 2012</w:t>
            </w:r>
          </w:p>
        </w:tc>
        <w:tc>
          <w:tcPr>
            <w:tcW w:w="820" w:type="dxa"/>
            <w:vAlign w:val="bottom"/>
          </w:tcPr>
          <w:p>
            <w:pPr>
              <w:jc w:val="right"/>
              <w:spacing w:after="0"/>
              <w:rPr>
                <w:sz w:val="20"/>
                <w:szCs w:val="20"/>
                <w:color w:val="auto"/>
              </w:rPr>
            </w:pPr>
            <w:r>
              <w:rPr>
                <w:rFonts w:ascii="Arial" w:cs="Arial" w:eastAsia="Arial" w:hAnsi="Arial"/>
                <w:sz w:val="18"/>
                <w:szCs w:val="18"/>
                <w:color w:val="auto"/>
                <w:w w:val="92"/>
              </w:rPr>
              <w:t>$ 160,000</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41,412</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21,864</w:t>
            </w:r>
          </w:p>
        </w:tc>
        <w:tc>
          <w:tcPr>
            <w:tcW w:w="100" w:type="dxa"/>
            <w:vAlign w:val="bottom"/>
          </w:tcPr>
          <w:p>
            <w:pPr>
              <w:spacing w:after="0"/>
              <w:rPr>
                <w:sz w:val="21"/>
                <w:szCs w:val="21"/>
                <w:color w:val="auto"/>
              </w:rPr>
            </w:pPr>
          </w:p>
        </w:tc>
        <w:tc>
          <w:tcPr>
            <w:tcW w:w="22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6,547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5"/>
              </w:rPr>
              <w:t>229,823</w:t>
            </w:r>
          </w:p>
        </w:tc>
      </w:tr>
      <w:tr>
        <w:trPr>
          <w:trHeight w:val="27"/>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Year ended December 31, 2011</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155,000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29,436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59,539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246,175</w:t>
            </w:r>
          </w:p>
        </w:tc>
      </w:tr>
      <w:tr>
        <w:trPr>
          <w:trHeight w:val="27"/>
        </w:trPr>
        <w:tc>
          <w:tcPr>
            <w:tcW w:w="35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r>
    </w:tbl>
    <w:p>
      <w:pPr>
        <w:spacing w:after="0" w:line="202" w:lineRule="exact"/>
        <w:rPr>
          <w:sz w:val="20"/>
          <w:szCs w:val="20"/>
          <w:color w:val="auto"/>
        </w:rPr>
      </w:pPr>
    </w:p>
    <w:p>
      <w:pPr>
        <w:ind w:left="660" w:right="60" w:hanging="652"/>
        <w:spacing w:after="0" w:line="259"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The amounts in the “Option Awards” column reflect the aggregate grant date fair value of awards of stock options granted pursuant to our long-term incentive plans during the periods reported above, computed in accordance with FASB ASC Topic 718, </w:t>
      </w:r>
      <w:r>
        <w:rPr>
          <w:rFonts w:ascii="Arial" w:cs="Arial" w:eastAsia="Arial" w:hAnsi="Arial"/>
          <w:sz w:val="18"/>
          <w:szCs w:val="18"/>
          <w:i w:val="1"/>
          <w:iCs w:val="1"/>
          <w:color w:val="auto"/>
        </w:rPr>
        <w:t>Compensation - Stock Compensation.</w:t>
      </w:r>
      <w:r>
        <w:rPr>
          <w:rFonts w:ascii="Arial" w:cs="Arial" w:eastAsia="Arial" w:hAnsi="Arial"/>
          <w:sz w:val="18"/>
          <w:szCs w:val="18"/>
          <w:color w:val="auto"/>
        </w:rPr>
        <w:t xml:space="preserve"> The assumptions made in the valuation of our option awards and the material terms of option awards are disclosed in Note 9 - Share Based Payments in our Notes to Consolidated Financial Statements contained in our Original 10-K.</w:t>
      </w:r>
    </w:p>
    <w:p>
      <w:pPr>
        <w:spacing w:after="0" w:line="186" w:lineRule="exact"/>
        <w:rPr>
          <w:rFonts w:ascii="Arial" w:cs="Arial" w:eastAsia="Arial" w:hAnsi="Arial"/>
          <w:sz w:val="18"/>
          <w:szCs w:val="18"/>
          <w:color w:val="auto"/>
        </w:rPr>
      </w:pPr>
    </w:p>
    <w:p>
      <w:pPr>
        <w:ind w:left="660" w:hanging="652"/>
        <w:spacing w:after="0" w:line="286"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Non-Equity Incentive Plan Compensation is based upon the achievement of pre-determined quarterly goals, namely, financial goals comprising of revenue, gross margin, operating income and meeting reporting deadlines, and non-quantitative performance goals. While all financial goals are similar for Ms. Hakimoglu and Mr. Narayanan, Mr.Braithwaite's financial goals consisted only of revenue, gross margin and operating income goals. Non-quantitative goals varied for each executive officer. Examples of non-quantitative goals include introduction of a new product, identification of a new distribution opportunity, implementing internal controls, and improving product quality. The Chief Executive Officer recommends to the Compensation Committee the compensation for achievement or partial achievement of any such predetermined goal. Compensation under the non-equity incentive plan is calculated by assigning 70% weight to financial goals (with each goal having equal share for each officer's goals) and 30% to non-quantitative goals. Of the amounts included above, Ms. Hakimoglu's compensation for the year ended December 31, 2012 included $19,809 for achieving financial goals and $39,437 for achieving non-quantitative goals, and for the year ended December 31, 2011 included $64,628 for achieving financial goals and $29,325 for achieving non-quantitative goals. Mr. Narayanan's compensation for the year ended December 31, 2012 included $11,778 for achieving financial goals and $20,086 for achieving non-quantitative goals, and for the year ended December 31, 2011 included $37,934 for achieving financial goals and $14,156 for achieving non-quantitative goals. Mr. Braithwaite's compensation for the year ended December 31, 2012 included $6,323 for achieving financial goals and $15,541 for achieving non-quantitative goals, and for the year ended December 31, 2011 included $43,554 for achieving financial goals and $15,985 for achieving non-quantitative goals.</w:t>
      </w:r>
    </w:p>
    <w:p>
      <w:pPr>
        <w:spacing w:after="0" w:line="171" w:lineRule="exact"/>
        <w:rPr>
          <w:rFonts w:ascii="Arial" w:cs="Arial" w:eastAsia="Arial" w:hAnsi="Arial"/>
          <w:sz w:val="16"/>
          <w:szCs w:val="16"/>
          <w:color w:val="auto"/>
        </w:rPr>
      </w:pPr>
    </w:p>
    <w:p>
      <w:pPr>
        <w:ind w:left="660" w:hanging="652"/>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amounts in the “All Other Compensation” column reflect the value of honorarium paid under a patenting process program for Mr. Braithwaite.</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1400"/>
          </w:cols>
          <w:pgMar w:left="240" w:top="580" w:right="2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information on the holdings of stock options by the named executive officers as of December 31, 2012.</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Number of Securities</w:t>
            </w:r>
          </w:p>
        </w:tc>
        <w:tc>
          <w:tcPr>
            <w:tcW w:w="1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Number of Securities</w:t>
            </w: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Underlying</w:t>
            </w:r>
          </w:p>
        </w:tc>
        <w:tc>
          <w:tcPr>
            <w:tcW w:w="16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Underlying</w:t>
            </w:r>
          </w:p>
        </w:tc>
        <w:tc>
          <w:tcPr>
            <w:tcW w:w="200" w:type="dxa"/>
            <w:vAlign w:val="bottom"/>
          </w:tcPr>
          <w:p>
            <w:pPr>
              <w:spacing w:after="0"/>
              <w:rPr>
                <w:sz w:val="12"/>
                <w:szCs w:val="12"/>
                <w:color w:val="auto"/>
              </w:rPr>
            </w:pPr>
          </w:p>
        </w:tc>
        <w:tc>
          <w:tcPr>
            <w:tcW w:w="9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3"/>
              </w:rPr>
              <w:t>Option</w:t>
            </w:r>
          </w:p>
        </w:tc>
        <w:tc>
          <w:tcPr>
            <w:tcW w:w="10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7"/>
              </w:rPr>
              <w:t>Option Grant</w:t>
            </w:r>
          </w:p>
        </w:tc>
        <w:tc>
          <w:tcPr>
            <w:tcW w:w="11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Option</w:t>
            </w:r>
          </w:p>
        </w:tc>
        <w:tc>
          <w:tcPr>
            <w:tcW w:w="0" w:type="dxa"/>
            <w:vAlign w:val="bottom"/>
          </w:tcPr>
          <w:p>
            <w:pPr>
              <w:spacing w:after="0"/>
              <w:rPr>
                <w:sz w:val="1"/>
                <w:szCs w:val="1"/>
                <w:color w:val="auto"/>
              </w:rPr>
            </w:pPr>
          </w:p>
        </w:tc>
      </w:tr>
      <w:tr>
        <w:trPr>
          <w:trHeight w:val="149"/>
        </w:trPr>
        <w:tc>
          <w:tcPr>
            <w:tcW w:w="2520" w:type="dxa"/>
            <w:vAlign w:val="bottom"/>
            <w:vMerge w:val="restart"/>
          </w:tcPr>
          <w:p>
            <w:pPr>
              <w:ind w:left="1080"/>
              <w:spacing w:after="0"/>
              <w:rPr>
                <w:sz w:val="20"/>
                <w:szCs w:val="20"/>
                <w:color w:val="auto"/>
              </w:rPr>
            </w:pPr>
            <w:r>
              <w:rPr>
                <w:rFonts w:ascii="Arial" w:cs="Arial" w:eastAsia="Arial" w:hAnsi="Arial"/>
                <w:sz w:val="14"/>
                <w:szCs w:val="14"/>
                <w:b w:val="1"/>
                <w:bCs w:val="1"/>
                <w:color w:val="auto"/>
              </w:rPr>
              <w:t>Name</w:t>
            </w:r>
          </w:p>
        </w:tc>
        <w:tc>
          <w:tcPr>
            <w:tcW w:w="100" w:type="dxa"/>
            <w:vAlign w:val="bottom"/>
            <w:vMerge w:val="restart"/>
          </w:tcPr>
          <w:p>
            <w:pPr>
              <w:spacing w:after="0"/>
              <w:rPr>
                <w:sz w:val="12"/>
                <w:szCs w:val="12"/>
                <w:color w:val="auto"/>
              </w:rPr>
            </w:pPr>
          </w:p>
        </w:tc>
        <w:tc>
          <w:tcPr>
            <w:tcW w:w="15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Unexercised Options</w:t>
            </w:r>
          </w:p>
        </w:tc>
        <w:tc>
          <w:tcPr>
            <w:tcW w:w="16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Unexercised Options</w:t>
            </w:r>
          </w:p>
        </w:tc>
        <w:tc>
          <w:tcPr>
            <w:tcW w:w="2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25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Exercisable</w:t>
            </w:r>
          </w:p>
        </w:tc>
        <w:tc>
          <w:tcPr>
            <w:tcW w:w="100" w:type="dxa"/>
            <w:vAlign w:val="bottom"/>
            <w:tcBorders>
              <w:bottom w:val="single" w:sz="8" w:color="CCEEFF"/>
            </w:tcBorders>
          </w:tcPr>
          <w:p>
            <w:pPr>
              <w:spacing w:after="0"/>
              <w:rPr>
                <w:sz w:val="17"/>
                <w:szCs w:val="17"/>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Unexercisables</w:t>
            </w:r>
            <w:r>
              <w:rPr>
                <w:rFonts w:ascii="Arial" w:cs="Arial" w:eastAsia="Arial" w:hAnsi="Arial"/>
                <w:sz w:val="8"/>
                <w:szCs w:val="8"/>
                <w:b w:val="1"/>
                <w:bCs w:val="1"/>
                <w:color w:val="auto"/>
                <w:w w:val="90"/>
              </w:rPr>
              <w:t>(1)</w:t>
            </w:r>
          </w:p>
        </w:tc>
        <w:tc>
          <w:tcPr>
            <w:tcW w:w="10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Exercise Price</w:t>
            </w:r>
          </w:p>
        </w:tc>
        <w:tc>
          <w:tcPr>
            <w:tcW w:w="10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10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Expiration Date</w:t>
            </w:r>
          </w:p>
        </w:tc>
        <w:tc>
          <w:tcPr>
            <w:tcW w:w="0" w:type="dxa"/>
            <w:vAlign w:val="bottom"/>
          </w:tcPr>
          <w:p>
            <w:pPr>
              <w:spacing w:after="0"/>
              <w:rPr>
                <w:sz w:val="1"/>
                <w:szCs w:val="1"/>
                <w:color w:val="auto"/>
              </w:rPr>
            </w:pPr>
          </w:p>
        </w:tc>
      </w:tr>
      <w:tr>
        <w:trPr>
          <w:trHeight w:val="250"/>
        </w:trPr>
        <w:tc>
          <w:tcPr>
            <w:tcW w:w="2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Zee Hakimoglu</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03/24/04</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03/24/14</w:t>
            </w:r>
          </w:p>
        </w:tc>
        <w:tc>
          <w:tcPr>
            <w:tcW w:w="0" w:type="dxa"/>
            <w:vAlign w:val="bottom"/>
          </w:tcPr>
          <w:p>
            <w:pPr>
              <w:spacing w:after="0"/>
              <w:rPr>
                <w:sz w:val="1"/>
                <w:szCs w:val="1"/>
                <w:color w:val="auto"/>
              </w:rPr>
            </w:pPr>
          </w:p>
        </w:tc>
      </w:tr>
      <w:tr>
        <w:trPr>
          <w:trHeight w:val="243"/>
        </w:trPr>
        <w:tc>
          <w:tcPr>
            <w:tcW w:w="2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100,000</w:t>
            </w:r>
          </w:p>
        </w:tc>
        <w:tc>
          <w:tcPr>
            <w:tcW w:w="100" w:type="dxa"/>
            <w:vAlign w:val="bottom"/>
          </w:tcPr>
          <w:p>
            <w:pPr>
              <w:spacing w:after="0"/>
              <w:rPr>
                <w:sz w:val="21"/>
                <w:szCs w:val="21"/>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5.55</w:t>
            </w:r>
          </w:p>
        </w:tc>
        <w:tc>
          <w:tcPr>
            <w:tcW w:w="100" w:type="dxa"/>
            <w:vAlign w:val="bottom"/>
          </w:tcPr>
          <w:p>
            <w:pPr>
              <w:spacing w:after="0"/>
              <w:rPr>
                <w:sz w:val="21"/>
                <w:szCs w:val="21"/>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1"/>
              </w:rPr>
              <w:t>07/26/04</w:t>
            </w:r>
          </w:p>
        </w:tc>
        <w:tc>
          <w:tcPr>
            <w:tcW w:w="10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07/26/14</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09/18/06</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09/18/16</w:t>
            </w:r>
          </w:p>
        </w:tc>
        <w:tc>
          <w:tcPr>
            <w:tcW w:w="0" w:type="dxa"/>
            <w:vAlign w:val="bottom"/>
          </w:tcPr>
          <w:p>
            <w:pPr>
              <w:spacing w:after="0"/>
              <w:rPr>
                <w:sz w:val="1"/>
                <w:szCs w:val="1"/>
                <w:color w:val="auto"/>
              </w:rPr>
            </w:pPr>
          </w:p>
        </w:tc>
      </w:tr>
      <w:tr>
        <w:trPr>
          <w:trHeight w:val="243"/>
        </w:trPr>
        <w:tc>
          <w:tcPr>
            <w:tcW w:w="2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150,000</w:t>
            </w:r>
          </w:p>
        </w:tc>
        <w:tc>
          <w:tcPr>
            <w:tcW w:w="100" w:type="dxa"/>
            <w:vAlign w:val="bottom"/>
          </w:tcPr>
          <w:p>
            <w:pPr>
              <w:spacing w:after="0"/>
              <w:rPr>
                <w:sz w:val="21"/>
                <w:szCs w:val="21"/>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6.15</w:t>
            </w:r>
          </w:p>
        </w:tc>
        <w:tc>
          <w:tcPr>
            <w:tcW w:w="100" w:type="dxa"/>
            <w:vAlign w:val="bottom"/>
          </w:tcPr>
          <w:p>
            <w:pPr>
              <w:spacing w:after="0"/>
              <w:rPr>
                <w:sz w:val="21"/>
                <w:szCs w:val="21"/>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1"/>
              </w:rPr>
              <w:t>08/14/07</w:t>
            </w:r>
          </w:p>
        </w:tc>
        <w:tc>
          <w:tcPr>
            <w:tcW w:w="10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08/14/17</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11/14/08</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11/14/18</w:t>
            </w:r>
          </w:p>
        </w:tc>
        <w:tc>
          <w:tcPr>
            <w:tcW w:w="0" w:type="dxa"/>
            <w:vAlign w:val="bottom"/>
          </w:tcPr>
          <w:p>
            <w:pPr>
              <w:spacing w:after="0"/>
              <w:rPr>
                <w:sz w:val="1"/>
                <w:szCs w:val="1"/>
                <w:color w:val="auto"/>
              </w:rPr>
            </w:pPr>
          </w:p>
        </w:tc>
      </w:tr>
      <w:tr>
        <w:trPr>
          <w:trHeight w:val="243"/>
        </w:trPr>
        <w:tc>
          <w:tcPr>
            <w:tcW w:w="2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8,611</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1,389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21"/>
                <w:szCs w:val="21"/>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1"/>
              </w:rPr>
              <w:t>05/26/10</w:t>
            </w:r>
          </w:p>
        </w:tc>
        <w:tc>
          <w:tcPr>
            <w:tcW w:w="10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05/26/20</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4,444</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5,556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5.48</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08/05/11</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08/05/21</w:t>
            </w:r>
          </w:p>
        </w:tc>
        <w:tc>
          <w:tcPr>
            <w:tcW w:w="0" w:type="dxa"/>
            <w:vAlign w:val="bottom"/>
          </w:tcPr>
          <w:p>
            <w:pPr>
              <w:spacing w:after="0"/>
              <w:rPr>
                <w:sz w:val="1"/>
                <w:szCs w:val="1"/>
                <w:color w:val="auto"/>
              </w:rPr>
            </w:pPr>
          </w:p>
        </w:tc>
      </w:tr>
      <w:tr>
        <w:trPr>
          <w:trHeight w:val="243"/>
        </w:trPr>
        <w:tc>
          <w:tcPr>
            <w:tcW w:w="2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3.92</w:t>
            </w:r>
          </w:p>
        </w:tc>
        <w:tc>
          <w:tcPr>
            <w:tcW w:w="100" w:type="dxa"/>
            <w:vAlign w:val="bottom"/>
          </w:tcPr>
          <w:p>
            <w:pPr>
              <w:spacing w:after="0"/>
              <w:rPr>
                <w:sz w:val="21"/>
                <w:szCs w:val="21"/>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1"/>
              </w:rPr>
              <w:t>05/11/12</w:t>
            </w:r>
          </w:p>
        </w:tc>
        <w:tc>
          <w:tcPr>
            <w:tcW w:w="10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05/11/22</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Narsi Narayanan</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08/27/09</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08/27/19</w:t>
            </w:r>
          </w:p>
        </w:tc>
        <w:tc>
          <w:tcPr>
            <w:tcW w:w="0" w:type="dxa"/>
            <w:vAlign w:val="bottom"/>
          </w:tcPr>
          <w:p>
            <w:pPr>
              <w:spacing w:after="0"/>
              <w:rPr>
                <w:sz w:val="1"/>
                <w:szCs w:val="1"/>
                <w:color w:val="auto"/>
              </w:rPr>
            </w:pPr>
          </w:p>
        </w:tc>
      </w:tr>
      <w:tr>
        <w:trPr>
          <w:trHeight w:val="243"/>
        </w:trPr>
        <w:tc>
          <w:tcPr>
            <w:tcW w:w="2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8,611</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1,389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21"/>
                <w:szCs w:val="21"/>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1"/>
              </w:rPr>
              <w:t>05/26/10</w:t>
            </w:r>
          </w:p>
        </w:tc>
        <w:tc>
          <w:tcPr>
            <w:tcW w:w="10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05/26/20</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4,444</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5,556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5.48</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08/05/11</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08/05/21</w:t>
            </w:r>
          </w:p>
        </w:tc>
        <w:tc>
          <w:tcPr>
            <w:tcW w:w="0" w:type="dxa"/>
            <w:vAlign w:val="bottom"/>
          </w:tcPr>
          <w:p>
            <w:pPr>
              <w:spacing w:after="0"/>
              <w:rPr>
                <w:sz w:val="1"/>
                <w:szCs w:val="1"/>
                <w:color w:val="auto"/>
              </w:rPr>
            </w:pPr>
          </w:p>
        </w:tc>
      </w:tr>
      <w:tr>
        <w:trPr>
          <w:trHeight w:val="243"/>
        </w:trPr>
        <w:tc>
          <w:tcPr>
            <w:tcW w:w="2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20,000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3.92</w:t>
            </w:r>
          </w:p>
        </w:tc>
        <w:tc>
          <w:tcPr>
            <w:tcW w:w="100" w:type="dxa"/>
            <w:vAlign w:val="bottom"/>
          </w:tcPr>
          <w:p>
            <w:pPr>
              <w:spacing w:after="0"/>
              <w:rPr>
                <w:sz w:val="21"/>
                <w:szCs w:val="21"/>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1"/>
              </w:rPr>
              <w:t>05/11/12</w:t>
            </w:r>
          </w:p>
        </w:tc>
        <w:tc>
          <w:tcPr>
            <w:tcW w:w="10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05/11/22</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Michael Braithwaite</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29,800</w:t>
            </w: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11/30/09</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11/30/19</w:t>
            </w:r>
          </w:p>
        </w:tc>
        <w:tc>
          <w:tcPr>
            <w:tcW w:w="0" w:type="dxa"/>
            <w:vAlign w:val="bottom"/>
          </w:tcPr>
          <w:p>
            <w:pPr>
              <w:spacing w:after="0"/>
              <w:rPr>
                <w:sz w:val="1"/>
                <w:szCs w:val="1"/>
                <w:color w:val="auto"/>
              </w:rPr>
            </w:pPr>
          </w:p>
        </w:tc>
      </w:tr>
      <w:tr>
        <w:trPr>
          <w:trHeight w:val="243"/>
        </w:trPr>
        <w:tc>
          <w:tcPr>
            <w:tcW w:w="2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8,611</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1,389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21"/>
                <w:szCs w:val="21"/>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1"/>
              </w:rPr>
              <w:t>05/26/10</w:t>
            </w:r>
          </w:p>
        </w:tc>
        <w:tc>
          <w:tcPr>
            <w:tcW w:w="10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05/26/20</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4,444</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5,556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5.48</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08/05/11</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08/05/21</w:t>
            </w:r>
          </w:p>
        </w:tc>
        <w:tc>
          <w:tcPr>
            <w:tcW w:w="0" w:type="dxa"/>
            <w:vAlign w:val="bottom"/>
          </w:tcPr>
          <w:p>
            <w:pPr>
              <w:spacing w:after="0"/>
              <w:rPr>
                <w:sz w:val="1"/>
                <w:szCs w:val="1"/>
                <w:color w:val="auto"/>
              </w:rPr>
            </w:pPr>
          </w:p>
        </w:tc>
      </w:tr>
      <w:tr>
        <w:trPr>
          <w:trHeight w:val="243"/>
        </w:trPr>
        <w:tc>
          <w:tcPr>
            <w:tcW w:w="2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20,000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3.92</w:t>
            </w:r>
          </w:p>
        </w:tc>
        <w:tc>
          <w:tcPr>
            <w:tcW w:w="100" w:type="dxa"/>
            <w:vAlign w:val="bottom"/>
          </w:tcPr>
          <w:p>
            <w:pPr>
              <w:spacing w:after="0"/>
              <w:rPr>
                <w:sz w:val="21"/>
                <w:szCs w:val="21"/>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1"/>
              </w:rPr>
              <w:t>05/11/12</w:t>
            </w:r>
          </w:p>
        </w:tc>
        <w:tc>
          <w:tcPr>
            <w:tcW w:w="10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05/11/22</w:t>
            </w: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Unvested options vest monthly over a three year period beginning on the date of grant</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Option Exercises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provides information on the exercise of stock options by named executive officers during the year ended December 31, 2012.</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80" w:type="dxa"/>
            <w:vAlign w:val="bottom"/>
            <w:vMerge w:val="restart"/>
          </w:tcPr>
          <w:p>
            <w:pPr>
              <w:ind w:left="1060"/>
              <w:spacing w:after="0"/>
              <w:rPr>
                <w:sz w:val="20"/>
                <w:szCs w:val="20"/>
                <w:color w:val="auto"/>
              </w:rPr>
            </w:pPr>
            <w:r>
              <w:rPr>
                <w:rFonts w:ascii="Arial" w:cs="Arial" w:eastAsia="Arial" w:hAnsi="Arial"/>
                <w:sz w:val="14"/>
                <w:szCs w:val="14"/>
                <w:b w:val="1"/>
                <w:bCs w:val="1"/>
                <w:color w:val="auto"/>
              </w:rPr>
              <w:t>Name</w:t>
            </w:r>
          </w:p>
        </w:tc>
        <w:tc>
          <w:tcPr>
            <w:tcW w:w="100" w:type="dxa"/>
            <w:vAlign w:val="bottom"/>
            <w:vMerge w:val="restart"/>
          </w:tcPr>
          <w:p>
            <w:pPr>
              <w:spacing w:after="0"/>
              <w:rPr>
                <w:sz w:val="14"/>
                <w:szCs w:val="14"/>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Number of shares</w:t>
            </w:r>
          </w:p>
        </w:tc>
        <w:tc>
          <w:tcPr>
            <w:tcW w:w="98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Value realized</w:t>
            </w:r>
          </w:p>
        </w:tc>
        <w:tc>
          <w:tcPr>
            <w:tcW w:w="0" w:type="dxa"/>
            <w:vAlign w:val="bottom"/>
          </w:tcPr>
          <w:p>
            <w:pPr>
              <w:spacing w:after="0"/>
              <w:rPr>
                <w:sz w:val="1"/>
                <w:szCs w:val="1"/>
                <w:color w:val="auto"/>
              </w:rPr>
            </w:pPr>
          </w:p>
        </w:tc>
      </w:tr>
      <w:tr>
        <w:trPr>
          <w:trHeight w:val="205"/>
        </w:trPr>
        <w:tc>
          <w:tcPr>
            <w:tcW w:w="24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acquired on exercise</w:t>
            </w:r>
          </w:p>
        </w:tc>
        <w:tc>
          <w:tcPr>
            <w:tcW w:w="10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w w:val="99"/>
              </w:rPr>
              <w:t>on exercise</w:t>
            </w:r>
            <w:r>
              <w:rPr>
                <w:rFonts w:ascii="Arial" w:cs="Arial" w:eastAsia="Arial" w:hAnsi="Arial"/>
                <w:sz w:val="8"/>
                <w:szCs w:val="8"/>
                <w:b w:val="1"/>
                <w:bCs w:val="1"/>
                <w:color w:val="auto"/>
                <w:w w:val="99"/>
              </w:rPr>
              <w:t>(1)</w:t>
            </w:r>
          </w:p>
        </w:tc>
        <w:tc>
          <w:tcPr>
            <w:tcW w:w="0" w:type="dxa"/>
            <w:vAlign w:val="bottom"/>
          </w:tcPr>
          <w:p>
            <w:pPr>
              <w:spacing w:after="0"/>
              <w:rPr>
                <w:sz w:val="1"/>
                <w:szCs w:val="1"/>
                <w:color w:val="auto"/>
              </w:rPr>
            </w:pPr>
          </w:p>
        </w:tc>
      </w:tr>
      <w:tr>
        <w:trPr>
          <w:trHeight w:val="243"/>
        </w:trPr>
        <w:tc>
          <w:tcPr>
            <w:tcW w:w="25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Michael Braithwaite</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82"/>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7"/>
        </w:trPr>
        <w:tc>
          <w:tcPr>
            <w:tcW w:w="2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Value realized on exercise is the excess of market price of underlying shares on the date of exercise over exercise price for the options.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229"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i w:val="1"/>
          <w:iCs w:val="1"/>
          <w:color w:val="auto"/>
        </w:rPr>
        <w:t xml:space="preserve">Employment Agreements. </w:t>
      </w:r>
      <w:r>
        <w:rPr>
          <w:rFonts w:ascii="Arial" w:cs="Arial" w:eastAsia="Arial" w:hAnsi="Arial"/>
          <w:sz w:val="18"/>
          <w:szCs w:val="18"/>
          <w:color w:val="auto"/>
        </w:rPr>
        <w:t>As of the year ended December 31, 2012, none of our named executive officers was party to an employment or severance</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with us, and each named executive officer's employment was on an “at-will” basis, permitting either us or the executive to terminate his or her employment for any reason or for no reason.</w:t>
      </w:r>
    </w:p>
    <w:p>
      <w:pPr>
        <w:spacing w:after="0" w:line="4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Accelerated Stock Option Vesting Upon a Change in Control</w:t>
      </w:r>
      <w:r>
        <w:rPr>
          <w:rFonts w:ascii="Arial" w:cs="Arial" w:eastAsia="Arial" w:hAnsi="Arial"/>
          <w:sz w:val="18"/>
          <w:szCs w:val="18"/>
          <w:color w:val="auto"/>
        </w:rPr>
        <w:t>. For certain option grants to executive officers and directors, in the event of a change in</w:t>
      </w:r>
      <w:r>
        <w:rPr>
          <w:rFonts w:ascii="Arial" w:cs="Arial" w:eastAsia="Arial" w:hAnsi="Arial"/>
          <w:sz w:val="18"/>
          <w:szCs w:val="18"/>
          <w:i w:val="1"/>
          <w:iCs w:val="1"/>
          <w:color w:val="auto"/>
        </w:rPr>
        <w:t xml:space="preserve"> </w:t>
      </w:r>
      <w:r>
        <w:rPr>
          <w:rFonts w:ascii="Arial" w:cs="Arial" w:eastAsia="Arial" w:hAnsi="Arial"/>
          <w:sz w:val="18"/>
          <w:szCs w:val="18"/>
          <w:color w:val="auto"/>
        </w:rPr>
        <w:t>control, all of such optionee's unvested stock options will vest and become exercisable immediately prior to the event or closing of the transaction causing the change in control.</w:t>
      </w:r>
    </w:p>
    <w:p>
      <w:pPr>
        <w:spacing w:after="0" w:line="46"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Under the option grants, a “</w:t>
      </w:r>
      <w:r>
        <w:rPr>
          <w:rFonts w:ascii="Arial" w:cs="Arial" w:eastAsia="Arial" w:hAnsi="Arial"/>
          <w:sz w:val="18"/>
          <w:szCs w:val="18"/>
          <w:i w:val="1"/>
          <w:iCs w:val="1"/>
          <w:color w:val="auto"/>
        </w:rPr>
        <w:t>Change in Control</w:t>
      </w:r>
      <w:r>
        <w:rPr>
          <w:rFonts w:ascii="Arial" w:cs="Arial" w:eastAsia="Arial" w:hAnsi="Arial"/>
          <w:sz w:val="18"/>
          <w:szCs w:val="18"/>
          <w:color w:val="auto"/>
        </w:rPr>
        <w:t>” means a change in ownership or control of the Corporation effected through either of the following transactions:</w:t>
      </w:r>
    </w:p>
    <w:p>
      <w:pPr>
        <w:spacing w:after="0" w:line="35" w:lineRule="exact"/>
        <w:rPr>
          <w:sz w:val="20"/>
          <w:szCs w:val="20"/>
          <w:color w:val="auto"/>
        </w:rPr>
      </w:pPr>
    </w:p>
    <w:p>
      <w:pPr>
        <w:jc w:val="both"/>
        <w:ind w:right="140" w:firstLine="656"/>
        <w:spacing w:after="0" w:line="302" w:lineRule="auto"/>
        <w:tabs>
          <w:tab w:leader="none" w:pos="863"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acquisition, directly or indirectly, by any person or related group of persons (other than the Corporation or a person that directly or indirectly controls, is controlled by, or is under common control with, the Corporation), of beneficial ownership (within the meaning of Rule 13d-3 of the 1934 Act) of securities possessing more than fifty percent (50%) of the total combined voting power of the Corporation's outstanding securities pursuant to a tender or exchange offer made directly to the Corporation's shareholders, which the Board does not recommend such shareholders to accept, or</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 |</w:t>
      </w:r>
    </w:p>
    <w:p>
      <w:pPr>
        <w:sectPr>
          <w:pgSz w:w="11900" w:h="16838" w:orient="portrait"/>
          <w:cols w:equalWidth="0" w:num="1">
            <w:col w:w="11420"/>
          </w:cols>
          <w:pgMar w:left="240" w:top="580" w:right="239" w:bottom="1440" w:gutter="0" w:footer="0" w:header="0"/>
        </w:sectPr>
      </w:pPr>
    </w:p>
    <w:bookmarkStart w:id="7" w:name="page8"/>
    <w:bookmarkEnd w:id="7"/>
    <w:p>
      <w:pPr>
        <w:ind w:right="100" w:firstLine="656"/>
        <w:spacing w:after="0" w:line="302" w:lineRule="auto"/>
        <w:tabs>
          <w:tab w:leader="none" w:pos="913" w:val="left"/>
        </w:tabs>
        <w:numPr>
          <w:ilvl w:val="0"/>
          <w:numId w:val="9"/>
        </w:numPr>
        <w:rPr>
          <w:rFonts w:ascii="Arial" w:cs="Arial" w:eastAsia="Arial" w:hAnsi="Arial"/>
          <w:sz w:val="16"/>
          <w:szCs w:val="16"/>
          <w:color w:val="auto"/>
        </w:rPr>
      </w:pPr>
      <w:r>
        <w:rPr>
          <w:rFonts w:ascii="Arial" w:cs="Arial" w:eastAsia="Arial" w:hAnsi="Arial"/>
          <w:sz w:val="16"/>
          <w:szCs w:val="16"/>
          <w:color w:val="auto"/>
        </w:rPr>
        <w:t>a change in the composition of the Board over a period of thirty-six (36) consecutive months or less, such that a majority of the Board members ceases, by reason of one or more contested elections for Board membership, to be comprised of individuals who either (A) have been Board members continuously since the beginning of such period or (B) have been elected or nominated for election as Board members during such period by at least a majority of the Board members described in clause (A) who were still in office at the time the Board approved such election or nomination.</w:t>
      </w:r>
    </w:p>
    <w:p>
      <w:pPr>
        <w:spacing w:after="0" w:line="1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Except as otherwise set forth in an option grant, in the event of a change in control of our company, the Board of Directors has the sole authority to elect that the vesting of each outstanding option automatically accelerate so that each such option shall, immediately prior to the effective date of the corporate transaction, become fully exercisable for all of the shares of common stock at the time subject to such option and may be exercised for any or all of those shares as fully vested shares of common stock.</w:t>
      </w:r>
    </w:p>
    <w:p>
      <w:pPr>
        <w:spacing w:after="0" w:line="52"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At our current stock price of about $8.90, all the named executive officers would each benefit from any potential accelerated vesting of unvested stock options.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summarizes the compensation paid by us to non-employee directors for the year ended December 31, 2012. Ms. Hakimoglu did not receive additional compensation for her service as a director.</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3"/>
          </w:tcPr>
          <w:p>
            <w:pPr>
              <w:ind w:left="40"/>
              <w:spacing w:after="0"/>
              <w:rPr>
                <w:sz w:val="20"/>
                <w:szCs w:val="20"/>
                <w:color w:val="auto"/>
              </w:rPr>
            </w:pPr>
            <w:r>
              <w:rPr>
                <w:rFonts w:ascii="Arial" w:cs="Arial" w:eastAsia="Arial" w:hAnsi="Arial"/>
                <w:sz w:val="14"/>
                <w:szCs w:val="14"/>
                <w:b w:val="1"/>
                <w:bCs w:val="1"/>
                <w:color w:val="auto"/>
              </w:rPr>
              <w:t>Fees Earned</w:t>
            </w: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440" w:type="dxa"/>
            <w:vAlign w:val="bottom"/>
            <w:vMerge w:val="restart"/>
          </w:tcPr>
          <w:p>
            <w:pPr>
              <w:ind w:left="1040"/>
              <w:spacing w:after="0"/>
              <w:rPr>
                <w:sz w:val="20"/>
                <w:szCs w:val="20"/>
                <w:color w:val="auto"/>
              </w:rPr>
            </w:pPr>
            <w:r>
              <w:rPr>
                <w:rFonts w:ascii="Arial" w:cs="Arial" w:eastAsia="Arial" w:hAnsi="Arial"/>
                <w:sz w:val="14"/>
                <w:szCs w:val="14"/>
                <w:b w:val="1"/>
                <w:bCs w:val="1"/>
                <w:color w:val="auto"/>
              </w:rPr>
              <w:t>Name</w:t>
            </w:r>
          </w:p>
        </w:tc>
        <w:tc>
          <w:tcPr>
            <w:tcW w:w="100" w:type="dxa"/>
            <w:vAlign w:val="bottom"/>
            <w:vMerge w:val="restart"/>
          </w:tcPr>
          <w:p>
            <w:pPr>
              <w:spacing w:after="0"/>
              <w:rPr>
                <w:sz w:val="13"/>
                <w:szCs w:val="13"/>
                <w:color w:val="auto"/>
              </w:rPr>
            </w:pPr>
          </w:p>
        </w:tc>
        <w:tc>
          <w:tcPr>
            <w:tcW w:w="1140" w:type="dxa"/>
            <w:vAlign w:val="bottom"/>
            <w:gridSpan w:val="3"/>
          </w:tcPr>
          <w:p>
            <w:pPr>
              <w:ind w:left="40"/>
              <w:spacing w:after="0" w:line="158" w:lineRule="exact"/>
              <w:rPr>
                <w:sz w:val="20"/>
                <w:szCs w:val="20"/>
                <w:color w:val="auto"/>
              </w:rPr>
            </w:pPr>
            <w:r>
              <w:rPr>
                <w:rFonts w:ascii="Arial" w:cs="Arial" w:eastAsia="Arial" w:hAnsi="Arial"/>
                <w:sz w:val="14"/>
                <w:szCs w:val="14"/>
                <w:b w:val="1"/>
                <w:bCs w:val="1"/>
                <w:color w:val="auto"/>
              </w:rPr>
              <w:t>or Paid in</w:t>
            </w:r>
          </w:p>
        </w:tc>
        <w:tc>
          <w:tcPr>
            <w:tcW w:w="140" w:type="dxa"/>
            <w:vAlign w:val="bottom"/>
          </w:tcPr>
          <w:p>
            <w:pPr>
              <w:spacing w:after="0"/>
              <w:rPr>
                <w:sz w:val="13"/>
                <w:szCs w:val="13"/>
                <w:color w:val="auto"/>
              </w:rPr>
            </w:pPr>
          </w:p>
        </w:tc>
        <w:tc>
          <w:tcPr>
            <w:tcW w:w="1180" w:type="dxa"/>
            <w:vAlign w:val="bottom"/>
            <w:gridSpan w:val="3"/>
          </w:tcPr>
          <w:p>
            <w:pPr>
              <w:ind w:left="140"/>
              <w:spacing w:after="0" w:line="158" w:lineRule="exact"/>
              <w:rPr>
                <w:sz w:val="20"/>
                <w:szCs w:val="20"/>
                <w:color w:val="auto"/>
              </w:rPr>
            </w:pPr>
            <w:r>
              <w:rPr>
                <w:rFonts w:ascii="Arial" w:cs="Arial" w:eastAsia="Arial" w:hAnsi="Arial"/>
                <w:sz w:val="14"/>
                <w:szCs w:val="14"/>
                <w:b w:val="1"/>
                <w:bCs w:val="1"/>
                <w:color w:val="auto"/>
              </w:rPr>
              <w:t>Option</w:t>
            </w:r>
          </w:p>
        </w:tc>
        <w:tc>
          <w:tcPr>
            <w:tcW w:w="78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4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4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90"/>
              </w:rPr>
              <w:t>Cash</w:t>
            </w:r>
            <w:r>
              <w:rPr>
                <w:rFonts w:ascii="Arial" w:cs="Arial" w:eastAsia="Arial" w:hAnsi="Arial"/>
                <w:sz w:val="8"/>
                <w:szCs w:val="8"/>
                <w:b w:val="1"/>
                <w:bCs w:val="1"/>
                <w:color w:val="auto"/>
                <w:w w:val="90"/>
              </w:rPr>
              <w:t>(1)</w:t>
            </w: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Awards</w:t>
            </w:r>
            <w:r>
              <w:rPr>
                <w:rFonts w:ascii="Arial" w:cs="Arial" w:eastAsia="Arial" w:hAnsi="Arial"/>
                <w:sz w:val="8"/>
                <w:szCs w:val="8"/>
                <w:b w:val="1"/>
                <w:bCs w:val="1"/>
                <w:color w:val="auto"/>
              </w:rPr>
              <w:t>(2)(3)</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Brad R. Baldwin</w:t>
            </w:r>
          </w:p>
        </w:tc>
        <w:tc>
          <w:tcPr>
            <w:tcW w:w="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24,000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3"/>
            <w:shd w:val="clear" w:color="auto" w:fill="CCEEFF"/>
          </w:tcPr>
          <w:p>
            <w:pPr>
              <w:ind w:left="600"/>
              <w:spacing w:after="0"/>
              <w:rPr>
                <w:sz w:val="20"/>
                <w:szCs w:val="20"/>
                <w:color w:val="auto"/>
              </w:rPr>
            </w:pPr>
            <w:r>
              <w:rPr>
                <w:rFonts w:ascii="Arial" w:cs="Arial" w:eastAsia="Arial" w:hAnsi="Arial"/>
                <w:sz w:val="18"/>
                <w:szCs w:val="18"/>
                <w:color w:val="auto"/>
              </w:rPr>
              <w:t>—  $</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24,000</w:t>
            </w:r>
          </w:p>
        </w:tc>
        <w:tc>
          <w:tcPr>
            <w:tcW w:w="0" w:type="dxa"/>
            <w:vAlign w:val="bottom"/>
          </w:tcPr>
          <w:p>
            <w:pPr>
              <w:spacing w:after="0"/>
              <w:rPr>
                <w:sz w:val="1"/>
                <w:szCs w:val="1"/>
                <w:color w:val="auto"/>
              </w:rPr>
            </w:pPr>
          </w:p>
        </w:tc>
      </w:tr>
      <w:tr>
        <w:trPr>
          <w:trHeight w:val="243"/>
        </w:trPr>
        <w:tc>
          <w:tcPr>
            <w:tcW w:w="2540" w:type="dxa"/>
            <w:vAlign w:val="bottom"/>
            <w:gridSpan w:val="2"/>
          </w:tcPr>
          <w:p>
            <w:pPr>
              <w:ind w:left="40"/>
              <w:spacing w:after="0"/>
              <w:rPr>
                <w:sz w:val="20"/>
                <w:szCs w:val="20"/>
                <w:color w:val="auto"/>
              </w:rPr>
            </w:pPr>
            <w:r>
              <w:rPr>
                <w:rFonts w:ascii="Arial" w:cs="Arial" w:eastAsia="Arial" w:hAnsi="Arial"/>
                <w:sz w:val="18"/>
                <w:szCs w:val="18"/>
                <w:color w:val="auto"/>
              </w:rPr>
              <w:t>Larry R. Hendricks</w:t>
            </w:r>
          </w:p>
        </w:tc>
        <w:tc>
          <w:tcPr>
            <w:tcW w:w="4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24,000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gridSpan w:val="3"/>
          </w:tcPr>
          <w:p>
            <w:pPr>
              <w:ind w:left="60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24,000</w:t>
            </w:r>
          </w:p>
        </w:tc>
        <w:tc>
          <w:tcPr>
            <w:tcW w:w="0" w:type="dxa"/>
            <w:vAlign w:val="bottom"/>
          </w:tcPr>
          <w:p>
            <w:pPr>
              <w:spacing w:after="0"/>
              <w:rPr>
                <w:sz w:val="1"/>
                <w:szCs w:val="1"/>
                <w:color w:val="auto"/>
              </w:rPr>
            </w:pPr>
          </w:p>
        </w:tc>
      </w:tr>
      <w:tr>
        <w:trPr>
          <w:trHeight w:val="27"/>
        </w:trPr>
        <w:tc>
          <w:tcPr>
            <w:tcW w:w="2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Scott M. Huntsman</w:t>
            </w:r>
          </w:p>
        </w:tc>
        <w:tc>
          <w:tcPr>
            <w:tcW w:w="4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24,000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3"/>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24,000</w:t>
            </w:r>
          </w:p>
        </w:tc>
        <w:tc>
          <w:tcPr>
            <w:tcW w:w="0" w:type="dxa"/>
            <w:vAlign w:val="bottom"/>
          </w:tcPr>
          <w:p>
            <w:pPr>
              <w:spacing w:after="0"/>
              <w:rPr>
                <w:sz w:val="1"/>
                <w:szCs w:val="1"/>
                <w:color w:val="auto"/>
              </w:rPr>
            </w:pPr>
          </w:p>
        </w:tc>
      </w:tr>
      <w:tr>
        <w:trPr>
          <w:trHeight w:val="341"/>
        </w:trPr>
        <w:tc>
          <w:tcPr>
            <w:tcW w:w="2540" w:type="dxa"/>
            <w:vAlign w:val="bottom"/>
            <w:gridSpan w:val="2"/>
          </w:tcPr>
          <w:p>
            <w:pPr>
              <w:ind w:left="40"/>
              <w:spacing w:after="0"/>
              <w:rPr>
                <w:sz w:val="20"/>
                <w:szCs w:val="20"/>
                <w:color w:val="auto"/>
              </w:rPr>
            </w:pPr>
            <w:r>
              <w:rPr>
                <w:rFonts w:ascii="Arial" w:cs="Arial" w:eastAsia="Arial" w:hAnsi="Arial"/>
                <w:sz w:val="18"/>
                <w:szCs w:val="18"/>
                <w:color w:val="auto"/>
              </w:rPr>
              <w:t>E. Bryan Bagley</w:t>
            </w:r>
            <w:r>
              <w:rPr>
                <w:rFonts w:ascii="Arial" w:cs="Arial" w:eastAsia="Arial" w:hAnsi="Arial"/>
                <w:sz w:val="25"/>
                <w:szCs w:val="25"/>
                <w:color w:val="auto"/>
                <w:vertAlign w:val="superscript"/>
              </w:rPr>
              <w:t>(4)</w:t>
            </w:r>
          </w:p>
        </w:tc>
        <w:tc>
          <w:tcPr>
            <w:tcW w:w="4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22,000</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gridSpan w:val="3"/>
          </w:tcPr>
          <w:p>
            <w:pPr>
              <w:ind w:left="60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22,000</w:t>
            </w: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base annual director's fee for the year ended December 31, 2011 was $24,000.</w:t>
      </w:r>
    </w:p>
    <w:p>
      <w:pPr>
        <w:spacing w:after="0" w:line="225" w:lineRule="exact"/>
        <w:rPr>
          <w:rFonts w:ascii="Arial" w:cs="Arial" w:eastAsia="Arial" w:hAnsi="Arial"/>
          <w:sz w:val="18"/>
          <w:szCs w:val="18"/>
          <w:color w:val="auto"/>
        </w:rPr>
      </w:pPr>
    </w:p>
    <w:p>
      <w:pPr>
        <w:ind w:left="660" w:right="20" w:hanging="652"/>
        <w:spacing w:after="0" w:line="259"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The amounts in the “Option Awards” column reflect the aggregate grant date fair value of awards of stock options granted pursuant to our long-term incentive plans during the periods reported above, computed in accordance with FASB ASC Topic 718, </w:t>
      </w:r>
      <w:r>
        <w:rPr>
          <w:rFonts w:ascii="Arial" w:cs="Arial" w:eastAsia="Arial" w:hAnsi="Arial"/>
          <w:sz w:val="18"/>
          <w:szCs w:val="18"/>
          <w:i w:val="1"/>
          <w:iCs w:val="1"/>
          <w:color w:val="auto"/>
        </w:rPr>
        <w:t>Compensation - Stock Compensation</w:t>
      </w:r>
      <w:r>
        <w:rPr>
          <w:rFonts w:ascii="Arial" w:cs="Arial" w:eastAsia="Arial" w:hAnsi="Arial"/>
          <w:sz w:val="18"/>
          <w:szCs w:val="18"/>
          <w:color w:val="auto"/>
        </w:rPr>
        <w:t>. The assumptions made in the valuation of our option awards are disclosed in Note 9 - Share Based Payments in our Notes to Consolidated Financial Statements contained in our Original 10-K.</w:t>
      </w:r>
    </w:p>
    <w:p>
      <w:pPr>
        <w:spacing w:after="0" w:line="186" w:lineRule="exact"/>
        <w:rPr>
          <w:rFonts w:ascii="Arial" w:cs="Arial" w:eastAsia="Arial" w:hAnsi="Arial"/>
          <w:sz w:val="18"/>
          <w:szCs w:val="18"/>
          <w:color w:val="auto"/>
        </w:rPr>
      </w:pPr>
    </w:p>
    <w:p>
      <w:pPr>
        <w:ind w:left="660" w:right="160" w:hanging="652"/>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As of the end of December 31, 2012, each non-employee director had outstanding options to purchase the following number of company shares of common stock: Mr. Baldwin, 63,000; Mr. Hendricks, 63,000; and Mr. Huntsman, 63,000.</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Mr. Bagley resigned from the Board of Directors effective November 6, 2012.</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All non-employee directors are paid a fixed fee at the rate of $2,000 per month and receive the same option grants. No options were granted to directors in 2012. The fee is not dependent on the number of meetings attended by any directors. Directors are not paid additional compensation for chairing a committee. All directors are reimbursed by us for their out-of-pocket travel and related expenses incurred in attending all Board of Directors and committee meetings.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5 |</w:t>
      </w:r>
    </w:p>
    <w:p>
      <w:pPr>
        <w:sectPr>
          <w:pgSz w:w="11900" w:h="16838" w:orient="portrait"/>
          <w:cols w:equalWidth="0" w:num="1">
            <w:col w:w="11360"/>
          </w:cols>
          <w:pgMar w:left="240" w:top="584" w:right="299" w:bottom="1440" w:gutter="0" w:footer="0" w:header="0"/>
        </w:sectPr>
      </w:pPr>
    </w:p>
    <w:bookmarkStart w:id="8" w:name="page9"/>
    <w:bookmarkEnd w:id="8"/>
    <w:p>
      <w:pPr>
        <w:ind w:right="740"/>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121"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The following table sets forth certain information regarding ownership of our common stock as of April 29, 2013 by (i) each director, (ii) the named executive officers, (iii) all of our named executive officers and directors as a group, and (iv) each person known to us to be the beneficial owner of more than 5% of our outstanding common stock.</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20" w:type="dxa"/>
            <w:vAlign w:val="bottom"/>
            <w:tcBorders>
              <w:bottom w:val="single" w:sz="8" w:color="auto"/>
            </w:tcBorders>
            <w:gridSpan w:val="3"/>
          </w:tcPr>
          <w:p>
            <w:pPr>
              <w:jc w:val="right"/>
              <w:ind w:right="232"/>
              <w:spacing w:after="0"/>
              <w:rPr>
                <w:sz w:val="20"/>
                <w:szCs w:val="20"/>
                <w:color w:val="auto"/>
              </w:rPr>
            </w:pPr>
            <w:r>
              <w:rPr>
                <w:rFonts w:ascii="Arial" w:cs="Arial" w:eastAsia="Arial" w:hAnsi="Arial"/>
                <w:sz w:val="14"/>
                <w:szCs w:val="14"/>
                <w:b w:val="1"/>
                <w:bCs w:val="1"/>
                <w:color w:val="auto"/>
              </w:rPr>
              <w:t>Shares Beneficially Owned</w:t>
            </w:r>
          </w:p>
        </w:tc>
      </w:tr>
      <w:tr>
        <w:trPr>
          <w:trHeight w:val="264"/>
        </w:trPr>
        <w:tc>
          <w:tcPr>
            <w:tcW w:w="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c>
          <w:tcPr>
            <w:tcW w:w="30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Name of Beneficial Owner</w:t>
            </w:r>
            <w:r>
              <w:rPr>
                <w:rFonts w:ascii="Arial" w:cs="Arial" w:eastAsia="Arial" w:hAnsi="Arial"/>
                <w:sz w:val="8"/>
                <w:szCs w:val="8"/>
                <w:b w:val="1"/>
                <w:bCs w:val="1"/>
                <w:color w:val="auto"/>
              </w:rPr>
              <w:t>1</w:t>
            </w:r>
          </w:p>
        </w:tc>
        <w:tc>
          <w:tcPr>
            <w:tcW w:w="120" w:type="dxa"/>
            <w:vAlign w:val="bottom"/>
          </w:tcPr>
          <w:p>
            <w:pPr>
              <w:spacing w:after="0"/>
              <w:rPr>
                <w:sz w:val="22"/>
                <w:szCs w:val="22"/>
                <w:color w:val="auto"/>
              </w:rPr>
            </w:pPr>
          </w:p>
        </w:tc>
        <w:tc>
          <w:tcPr>
            <w:tcW w:w="11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w w:val="97"/>
              </w:rPr>
              <w:t>Number</w:t>
            </w:r>
            <w:r>
              <w:rPr>
                <w:rFonts w:ascii="Arial" w:cs="Arial" w:eastAsia="Arial" w:hAnsi="Arial"/>
                <w:sz w:val="8"/>
                <w:szCs w:val="8"/>
                <w:b w:val="1"/>
                <w:bCs w:val="1"/>
                <w:color w:val="auto"/>
                <w:w w:val="97"/>
              </w:rPr>
              <w:t>2</w:t>
            </w:r>
          </w:p>
        </w:tc>
        <w:tc>
          <w:tcPr>
            <w:tcW w:w="120" w:type="dxa"/>
            <w:vAlign w:val="bottom"/>
          </w:tcPr>
          <w:p>
            <w:pPr>
              <w:spacing w:after="0"/>
              <w:rPr>
                <w:sz w:val="22"/>
                <w:szCs w:val="22"/>
                <w:color w:val="auto"/>
              </w:rPr>
            </w:pPr>
          </w:p>
        </w:tc>
        <w:tc>
          <w:tcPr>
            <w:tcW w:w="102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Percent</w:t>
            </w:r>
            <w:r>
              <w:rPr>
                <w:rFonts w:ascii="Arial" w:cs="Arial" w:eastAsia="Arial" w:hAnsi="Arial"/>
                <w:sz w:val="8"/>
                <w:szCs w:val="8"/>
                <w:b w:val="1"/>
                <w:bCs w:val="1"/>
                <w:color w:val="auto"/>
              </w:rPr>
              <w:t>2</w:t>
            </w:r>
          </w:p>
        </w:tc>
      </w:tr>
      <w:tr>
        <w:trPr>
          <w:trHeight w:val="203"/>
        </w:trPr>
        <w:tc>
          <w:tcPr>
            <w:tcW w:w="4400" w:type="dxa"/>
            <w:vAlign w:val="bottom"/>
            <w:gridSpan w:val="5"/>
          </w:tcPr>
          <w:p>
            <w:pPr>
              <w:ind w:left="40"/>
              <w:spacing w:after="0"/>
              <w:rPr>
                <w:sz w:val="20"/>
                <w:szCs w:val="20"/>
                <w:color w:val="auto"/>
              </w:rPr>
            </w:pPr>
            <w:r>
              <w:rPr>
                <w:rFonts w:ascii="Arial" w:cs="Arial" w:eastAsia="Arial" w:hAnsi="Arial"/>
                <w:sz w:val="16"/>
                <w:szCs w:val="16"/>
                <w:b w:val="1"/>
                <w:bCs w:val="1"/>
                <w:color w:val="auto"/>
              </w:rPr>
              <w:t>Directors and Executive Officers:</w:t>
            </w: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240" w:type="dxa"/>
            <w:vAlign w:val="bottom"/>
            <w:tcBorders>
              <w:top w:val="single" w:sz="8" w:color="auto"/>
            </w:tcBorders>
          </w:tcPr>
          <w:p>
            <w:pPr>
              <w:spacing w:after="0"/>
              <w:rPr>
                <w:sz w:val="4"/>
                <w:szCs w:val="4"/>
                <w:color w:val="auto"/>
              </w:rPr>
            </w:pPr>
          </w:p>
        </w:tc>
        <w:tc>
          <w:tcPr>
            <w:tcW w:w="1060" w:type="dxa"/>
            <w:vAlign w:val="bottom"/>
            <w:tcBorders>
              <w:top w:val="single" w:sz="8" w:color="auto"/>
            </w:tcBorders>
          </w:tcPr>
          <w:p>
            <w:pPr>
              <w:spacing w:after="0"/>
              <w:rPr>
                <w:sz w:val="4"/>
                <w:szCs w:val="4"/>
                <w:color w:val="auto"/>
              </w:rPr>
            </w:pPr>
          </w:p>
        </w:tc>
        <w:tc>
          <w:tcPr>
            <w:tcW w:w="1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tcPr>
          <w:p>
            <w:pPr>
              <w:spacing w:after="0"/>
              <w:rPr>
                <w:sz w:val="4"/>
                <w:szCs w:val="4"/>
                <w:color w:val="auto"/>
              </w:rPr>
            </w:pPr>
          </w:p>
        </w:tc>
      </w:tr>
      <w:tr>
        <w:trPr>
          <w:trHeight w:val="270"/>
        </w:trPr>
        <w:tc>
          <w:tcPr>
            <w:tcW w:w="4400" w:type="dxa"/>
            <w:vAlign w:val="bottom"/>
            <w:gridSpan w:val="5"/>
            <w:shd w:val="clear" w:color="auto" w:fill="CCEEFF"/>
          </w:tcPr>
          <w:p>
            <w:pPr>
              <w:ind w:left="40"/>
              <w:spacing w:after="0" w:line="270" w:lineRule="exact"/>
              <w:rPr>
                <w:sz w:val="20"/>
                <w:szCs w:val="20"/>
                <w:color w:val="auto"/>
              </w:rPr>
            </w:pPr>
            <w:r>
              <w:rPr>
                <w:rFonts w:ascii="Arial" w:cs="Arial" w:eastAsia="Arial" w:hAnsi="Arial"/>
                <w:sz w:val="18"/>
                <w:szCs w:val="18"/>
                <w:color w:val="auto"/>
              </w:rPr>
              <w:t>Zee Hakimoglu</w:t>
            </w:r>
            <w:r>
              <w:rPr>
                <w:rFonts w:ascii="Arial" w:cs="Arial" w:eastAsia="Arial" w:hAnsi="Arial"/>
                <w:sz w:val="25"/>
                <w:szCs w:val="25"/>
                <w:color w:val="auto"/>
                <w:vertAlign w:val="superscript"/>
              </w:rPr>
              <w:t>3</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602,514</w:t>
            </w: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70"/>
        </w:trPr>
        <w:tc>
          <w:tcPr>
            <w:tcW w:w="4400" w:type="dxa"/>
            <w:vAlign w:val="bottom"/>
            <w:gridSpan w:val="5"/>
          </w:tcPr>
          <w:p>
            <w:pPr>
              <w:ind w:left="40"/>
              <w:spacing w:after="0" w:line="270" w:lineRule="exact"/>
              <w:rPr>
                <w:sz w:val="20"/>
                <w:szCs w:val="20"/>
                <w:color w:val="auto"/>
              </w:rPr>
            </w:pPr>
            <w:r>
              <w:rPr>
                <w:rFonts w:ascii="Arial" w:cs="Arial" w:eastAsia="Arial" w:hAnsi="Arial"/>
                <w:sz w:val="18"/>
                <w:szCs w:val="18"/>
                <w:color w:val="auto"/>
              </w:rPr>
              <w:t>Brad Baldwin</w:t>
            </w:r>
            <w:r>
              <w:rPr>
                <w:rFonts w:ascii="Arial" w:cs="Arial" w:eastAsia="Arial" w:hAnsi="Arial"/>
                <w:sz w:val="25"/>
                <w:szCs w:val="25"/>
                <w:color w:val="auto"/>
                <w:vertAlign w:val="superscript"/>
              </w:rPr>
              <w:t>4</w:t>
            </w:r>
          </w:p>
        </w:tc>
        <w:tc>
          <w:tcPr>
            <w:tcW w:w="1180" w:type="dxa"/>
            <w:vAlign w:val="bottom"/>
          </w:tcPr>
          <w:p>
            <w:pPr>
              <w:jc w:val="right"/>
              <w:spacing w:after="0"/>
              <w:rPr>
                <w:sz w:val="20"/>
                <w:szCs w:val="20"/>
                <w:color w:val="auto"/>
              </w:rPr>
            </w:pPr>
            <w:r>
              <w:rPr>
                <w:rFonts w:ascii="Arial" w:cs="Arial" w:eastAsia="Arial" w:hAnsi="Arial"/>
                <w:sz w:val="18"/>
                <w:szCs w:val="18"/>
                <w:color w:val="auto"/>
              </w:rPr>
              <w:t>187,721</w:t>
            </w:r>
          </w:p>
        </w:tc>
        <w:tc>
          <w:tcPr>
            <w:tcW w:w="1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70"/>
        </w:trPr>
        <w:tc>
          <w:tcPr>
            <w:tcW w:w="4400" w:type="dxa"/>
            <w:vAlign w:val="bottom"/>
            <w:gridSpan w:val="5"/>
            <w:shd w:val="clear" w:color="auto" w:fill="CCEEFF"/>
          </w:tcPr>
          <w:p>
            <w:pPr>
              <w:ind w:left="40"/>
              <w:spacing w:after="0" w:line="270" w:lineRule="exact"/>
              <w:rPr>
                <w:sz w:val="20"/>
                <w:szCs w:val="20"/>
                <w:color w:val="auto"/>
              </w:rPr>
            </w:pPr>
            <w:r>
              <w:rPr>
                <w:rFonts w:ascii="Arial" w:cs="Arial" w:eastAsia="Arial" w:hAnsi="Arial"/>
                <w:sz w:val="18"/>
                <w:szCs w:val="18"/>
                <w:color w:val="auto"/>
              </w:rPr>
              <w:t>Larry Hendricks</w:t>
            </w:r>
            <w:r>
              <w:rPr>
                <w:rFonts w:ascii="Arial" w:cs="Arial" w:eastAsia="Arial" w:hAnsi="Arial"/>
                <w:sz w:val="25"/>
                <w:szCs w:val="25"/>
                <w:color w:val="auto"/>
                <w:vertAlign w:val="superscript"/>
              </w:rPr>
              <w:t>5</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85,855</w:t>
            </w: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r>
      <w:tr>
        <w:trPr>
          <w:trHeight w:val="270"/>
        </w:trPr>
        <w:tc>
          <w:tcPr>
            <w:tcW w:w="4400" w:type="dxa"/>
            <w:vAlign w:val="bottom"/>
            <w:gridSpan w:val="5"/>
          </w:tcPr>
          <w:p>
            <w:pPr>
              <w:ind w:left="40"/>
              <w:spacing w:after="0" w:line="270" w:lineRule="exact"/>
              <w:rPr>
                <w:sz w:val="20"/>
                <w:szCs w:val="20"/>
                <w:color w:val="auto"/>
              </w:rPr>
            </w:pPr>
            <w:r>
              <w:rPr>
                <w:rFonts w:ascii="Arial" w:cs="Arial" w:eastAsia="Arial" w:hAnsi="Arial"/>
                <w:sz w:val="18"/>
                <w:szCs w:val="18"/>
                <w:color w:val="auto"/>
              </w:rPr>
              <w:t>Scott Huntsman</w:t>
            </w:r>
            <w:r>
              <w:rPr>
                <w:rFonts w:ascii="Arial" w:cs="Arial" w:eastAsia="Arial" w:hAnsi="Arial"/>
                <w:sz w:val="25"/>
                <w:szCs w:val="25"/>
                <w:color w:val="auto"/>
                <w:vertAlign w:val="superscript"/>
              </w:rPr>
              <w:t>5</w:t>
            </w:r>
          </w:p>
        </w:tc>
        <w:tc>
          <w:tcPr>
            <w:tcW w:w="1180" w:type="dxa"/>
            <w:vAlign w:val="bottom"/>
          </w:tcPr>
          <w:p>
            <w:pPr>
              <w:jc w:val="right"/>
              <w:spacing w:after="0"/>
              <w:rPr>
                <w:sz w:val="20"/>
                <w:szCs w:val="20"/>
                <w:color w:val="auto"/>
              </w:rPr>
            </w:pPr>
            <w:r>
              <w:rPr>
                <w:rFonts w:ascii="Arial" w:cs="Arial" w:eastAsia="Arial" w:hAnsi="Arial"/>
                <w:sz w:val="18"/>
                <w:szCs w:val="18"/>
                <w:color w:val="auto"/>
              </w:rPr>
              <w:t>97,555</w:t>
            </w:r>
          </w:p>
        </w:tc>
        <w:tc>
          <w:tcPr>
            <w:tcW w:w="1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0"/>
        </w:trPr>
        <w:tc>
          <w:tcPr>
            <w:tcW w:w="4400" w:type="dxa"/>
            <w:vAlign w:val="bottom"/>
            <w:gridSpan w:val="5"/>
            <w:shd w:val="clear" w:color="auto" w:fill="CCEEFF"/>
          </w:tcPr>
          <w:p>
            <w:pPr>
              <w:ind w:left="40"/>
              <w:spacing w:after="0" w:line="270" w:lineRule="exact"/>
              <w:rPr>
                <w:sz w:val="20"/>
                <w:szCs w:val="20"/>
                <w:color w:val="auto"/>
              </w:rPr>
            </w:pPr>
            <w:r>
              <w:rPr>
                <w:rFonts w:ascii="Arial" w:cs="Arial" w:eastAsia="Arial" w:hAnsi="Arial"/>
                <w:sz w:val="18"/>
                <w:szCs w:val="18"/>
                <w:color w:val="auto"/>
              </w:rPr>
              <w:t>Narsi Narayanan</w:t>
            </w:r>
            <w:r>
              <w:rPr>
                <w:rFonts w:ascii="Arial" w:cs="Arial" w:eastAsia="Arial" w:hAnsi="Arial"/>
                <w:sz w:val="25"/>
                <w:szCs w:val="25"/>
                <w:color w:val="auto"/>
                <w:vertAlign w:val="superscript"/>
              </w:rPr>
              <w:t>6</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53,333</w:t>
            </w: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70"/>
        </w:trPr>
        <w:tc>
          <w:tcPr>
            <w:tcW w:w="4400" w:type="dxa"/>
            <w:vAlign w:val="bottom"/>
            <w:tcBorders>
              <w:bottom w:val="single" w:sz="8" w:color="CCEEFF"/>
            </w:tcBorders>
            <w:gridSpan w:val="5"/>
          </w:tcPr>
          <w:p>
            <w:pPr>
              <w:ind w:left="40"/>
              <w:spacing w:after="0" w:line="270" w:lineRule="exact"/>
              <w:rPr>
                <w:sz w:val="20"/>
                <w:szCs w:val="20"/>
                <w:color w:val="auto"/>
              </w:rPr>
            </w:pPr>
            <w:r>
              <w:rPr>
                <w:rFonts w:ascii="Arial" w:cs="Arial" w:eastAsia="Arial" w:hAnsi="Arial"/>
                <w:sz w:val="18"/>
                <w:szCs w:val="18"/>
                <w:color w:val="auto"/>
              </w:rPr>
              <w:t>Michael Braithwaite</w:t>
            </w:r>
            <w:r>
              <w:rPr>
                <w:rFonts w:ascii="Arial" w:cs="Arial" w:eastAsia="Arial" w:hAnsi="Arial"/>
                <w:sz w:val="25"/>
                <w:szCs w:val="25"/>
                <w:color w:val="auto"/>
                <w:vertAlign w:val="superscript"/>
              </w:rPr>
              <w:t>7</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43,933</w:t>
            </w:r>
          </w:p>
        </w:tc>
        <w:tc>
          <w:tcPr>
            <w:tcW w:w="120" w:type="dxa"/>
            <w:vAlign w:val="bottom"/>
            <w:tcBorders>
              <w:bottom w:val="single" w:sz="8" w:color="CCEEFF"/>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r>
      <w:tr>
        <w:trPr>
          <w:trHeight w:val="264"/>
        </w:trPr>
        <w:tc>
          <w:tcPr>
            <w:tcW w:w="440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w w:val="94"/>
              </w:rPr>
              <w:t>All directors and executive officers as a group (6 persons)</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1,070,911</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w:t>
            </w:r>
          </w:p>
        </w:tc>
      </w:tr>
      <w:tr>
        <w:trPr>
          <w:trHeight w:val="196"/>
        </w:trPr>
        <w:tc>
          <w:tcPr>
            <w:tcW w:w="4400" w:type="dxa"/>
            <w:vAlign w:val="bottom"/>
            <w:gridSpan w:val="5"/>
          </w:tcPr>
          <w:p>
            <w:pPr>
              <w:ind w:left="40"/>
              <w:spacing w:after="0"/>
              <w:rPr>
                <w:sz w:val="20"/>
                <w:szCs w:val="20"/>
                <w:color w:val="auto"/>
              </w:rPr>
            </w:pPr>
            <w:r>
              <w:rPr>
                <w:rFonts w:ascii="Arial" w:cs="Arial" w:eastAsia="Arial" w:hAnsi="Arial"/>
                <w:sz w:val="16"/>
                <w:szCs w:val="16"/>
                <w:b w:val="1"/>
                <w:bCs w:val="1"/>
                <w:color w:val="auto"/>
              </w:rPr>
              <w:t>5% Shareholders:</w:t>
            </w:r>
          </w:p>
        </w:tc>
        <w:tc>
          <w:tcPr>
            <w:tcW w:w="11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240" w:type="dxa"/>
            <w:vAlign w:val="bottom"/>
            <w:tcBorders>
              <w:top w:val="single" w:sz="8" w:color="auto"/>
            </w:tcBorders>
          </w:tcPr>
          <w:p>
            <w:pPr>
              <w:spacing w:after="0"/>
              <w:rPr>
                <w:sz w:val="4"/>
                <w:szCs w:val="4"/>
                <w:color w:val="auto"/>
              </w:rPr>
            </w:pPr>
          </w:p>
        </w:tc>
        <w:tc>
          <w:tcPr>
            <w:tcW w:w="1060" w:type="dxa"/>
            <w:vAlign w:val="bottom"/>
          </w:tcPr>
          <w:p>
            <w:pPr>
              <w:spacing w:after="0"/>
              <w:rPr>
                <w:sz w:val="4"/>
                <w:szCs w:val="4"/>
                <w:color w:val="auto"/>
              </w:rPr>
            </w:pPr>
          </w:p>
        </w:tc>
        <w:tc>
          <w:tcPr>
            <w:tcW w:w="1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tcPr>
          <w:p>
            <w:pPr>
              <w:spacing w:after="0"/>
              <w:rPr>
                <w:sz w:val="4"/>
                <w:szCs w:val="4"/>
                <w:color w:val="auto"/>
              </w:rPr>
            </w:pPr>
          </w:p>
        </w:tc>
      </w:tr>
      <w:tr>
        <w:trPr>
          <w:trHeight w:val="270"/>
        </w:trPr>
        <w:tc>
          <w:tcPr>
            <w:tcW w:w="4400" w:type="dxa"/>
            <w:vAlign w:val="bottom"/>
            <w:gridSpan w:val="5"/>
            <w:shd w:val="clear" w:color="auto" w:fill="CCEEFF"/>
          </w:tcPr>
          <w:p>
            <w:pPr>
              <w:ind w:left="40"/>
              <w:spacing w:after="0" w:line="270" w:lineRule="exact"/>
              <w:rPr>
                <w:sz w:val="20"/>
                <w:szCs w:val="20"/>
                <w:color w:val="auto"/>
              </w:rPr>
            </w:pPr>
            <w:r>
              <w:rPr>
                <w:rFonts w:ascii="Arial" w:cs="Arial" w:eastAsia="Arial" w:hAnsi="Arial"/>
                <w:sz w:val="18"/>
                <w:szCs w:val="18"/>
                <w:color w:val="auto"/>
              </w:rPr>
              <w:t>Edward Dallin Bagley</w:t>
            </w:r>
            <w:r>
              <w:rPr>
                <w:rFonts w:ascii="Arial" w:cs="Arial" w:eastAsia="Arial" w:hAnsi="Arial"/>
                <w:sz w:val="25"/>
                <w:szCs w:val="25"/>
                <w:color w:val="auto"/>
                <w:vertAlign w:val="superscript"/>
              </w:rPr>
              <w:t>8</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2,752,681</w:t>
            </w: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w:t>
            </w:r>
          </w:p>
        </w:tc>
      </w:tr>
      <w:tr>
        <w:trPr>
          <w:trHeight w:val="341"/>
        </w:trPr>
        <w:tc>
          <w:tcPr>
            <w:tcW w:w="4400" w:type="dxa"/>
            <w:vAlign w:val="bottom"/>
            <w:gridSpan w:val="5"/>
          </w:tcPr>
          <w:p>
            <w:pPr>
              <w:ind w:left="40"/>
              <w:spacing w:after="0"/>
              <w:rPr>
                <w:sz w:val="20"/>
                <w:szCs w:val="20"/>
                <w:color w:val="auto"/>
              </w:rPr>
            </w:pPr>
            <w:r>
              <w:rPr>
                <w:rFonts w:ascii="Arial" w:cs="Arial" w:eastAsia="Arial" w:hAnsi="Arial"/>
                <w:sz w:val="18"/>
                <w:szCs w:val="18"/>
                <w:color w:val="auto"/>
              </w:rPr>
              <w:t>Royce &amp; Associates Inc.</w:t>
            </w:r>
            <w:r>
              <w:rPr>
                <w:rFonts w:ascii="Arial" w:cs="Arial" w:eastAsia="Arial" w:hAnsi="Arial"/>
                <w:sz w:val="25"/>
                <w:szCs w:val="25"/>
                <w:color w:val="auto"/>
                <w:vertAlign w:val="superscript"/>
              </w:rPr>
              <w:t>9</w:t>
            </w:r>
          </w:p>
        </w:tc>
        <w:tc>
          <w:tcPr>
            <w:tcW w:w="1180" w:type="dxa"/>
            <w:vAlign w:val="bottom"/>
          </w:tcPr>
          <w:p>
            <w:pPr>
              <w:jc w:val="right"/>
              <w:spacing w:after="0"/>
              <w:rPr>
                <w:sz w:val="20"/>
                <w:szCs w:val="20"/>
                <w:color w:val="auto"/>
              </w:rPr>
            </w:pPr>
            <w:r>
              <w:rPr>
                <w:rFonts w:ascii="Arial" w:cs="Arial" w:eastAsia="Arial" w:hAnsi="Arial"/>
                <w:sz w:val="18"/>
                <w:szCs w:val="18"/>
                <w:color w:val="auto"/>
              </w:rPr>
              <w:t>694,284</w:t>
            </w:r>
          </w:p>
        </w:tc>
        <w:tc>
          <w:tcPr>
            <w:tcW w:w="1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6.8%</w:t>
            </w:r>
          </w:p>
        </w:tc>
      </w:tr>
    </w:tbl>
    <w:p>
      <w:pPr>
        <w:spacing w:after="0" w:line="130" w:lineRule="exact"/>
        <w:rPr>
          <w:sz w:val="20"/>
          <w:szCs w:val="20"/>
          <w:color w:val="auto"/>
        </w:rPr>
      </w:pPr>
    </w:p>
    <w:p>
      <w:pPr>
        <w:ind w:left="660" w:right="220" w:hanging="652"/>
        <w:spacing w:after="0" w:line="264"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Except as otherwise indicated, each person named in the table has sole voting and investment power with respect to all common stock beneficially owned, subject to applicable community property law. Except as otherwise indicated, each person may be reached at our corporate offices c/o ClearOne, Inc., 5225 Wiley Post Way, Suite 500, Salt Lake City, Utah 84116.</w:t>
      </w:r>
    </w:p>
    <w:p>
      <w:pPr>
        <w:spacing w:after="0" w:line="73" w:lineRule="exact"/>
        <w:rPr>
          <w:rFonts w:ascii="Arial" w:cs="Arial" w:eastAsia="Arial" w:hAnsi="Arial"/>
          <w:sz w:val="18"/>
          <w:szCs w:val="18"/>
          <w:color w:val="auto"/>
        </w:rPr>
      </w:pPr>
    </w:p>
    <w:p>
      <w:pPr>
        <w:ind w:left="660" w:right="140" w:hanging="652"/>
        <w:spacing w:after="0" w:line="297"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percentages shown are calculated based on 9,105,029 shares of common stock outstanding on April 29, 2013. The numbers and percentages shown include the shares of common stock actually owned as of April 29, 2013 and the shares of common stock that the identified person or group had the right to acquire within 60 days of such date. In calculating the percentage of ownership, all shares of common stock that each identified person or group had the right to acquire within 60 days of April 29, 2013 upon the exercise of options are deemed to be outstanding for the purpose of computing the percentage of the shares of common stock owned by the persons or groups listed above.</w:t>
      </w:r>
    </w:p>
    <w:p>
      <w:pPr>
        <w:spacing w:after="0" w:line="50" w:lineRule="exact"/>
        <w:rPr>
          <w:rFonts w:ascii="Arial" w:cs="Arial" w:eastAsia="Arial" w:hAnsi="Arial"/>
          <w:sz w:val="16"/>
          <w:szCs w:val="16"/>
          <w:color w:val="auto"/>
        </w:rPr>
      </w:pPr>
    </w:p>
    <w:p>
      <w:pPr>
        <w:ind w:left="660" w:hanging="65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525,138 shares of common stock issuable upon exercise of stock options.</w:t>
      </w:r>
    </w:p>
    <w:p>
      <w:pPr>
        <w:spacing w:after="0" w:line="117" w:lineRule="exact"/>
        <w:rPr>
          <w:rFonts w:ascii="Arial" w:cs="Arial" w:eastAsia="Arial" w:hAnsi="Arial"/>
          <w:sz w:val="18"/>
          <w:szCs w:val="18"/>
          <w:color w:val="auto"/>
        </w:rPr>
      </w:pPr>
    </w:p>
    <w:p>
      <w:pPr>
        <w:ind w:left="660" w:right="160" w:hanging="652"/>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88,166 shares held in the Baldwin Family Trust; 27,500 owned jointly with his spouse; 11,000 shares owned directly, which are held in an IRA under the name of Mr. Baldwin, and 61,055 shares of common stock issuable upon exercise of stock options.</w:t>
      </w:r>
    </w:p>
    <w:p>
      <w:pPr>
        <w:spacing w:after="0" w:line="62" w:lineRule="exact"/>
        <w:rPr>
          <w:rFonts w:ascii="Arial" w:cs="Arial" w:eastAsia="Arial" w:hAnsi="Arial"/>
          <w:sz w:val="18"/>
          <w:szCs w:val="18"/>
          <w:color w:val="auto"/>
        </w:rPr>
      </w:pPr>
    </w:p>
    <w:p>
      <w:pPr>
        <w:ind w:left="660" w:hanging="65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61,055 shares of common stock issuable upon exercise of stock options.</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53,333 shares of common stock issuable upon exercise of stock options.</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43,133 shares of common stock issuable upon exercise of stock options.</w:t>
      </w:r>
    </w:p>
    <w:p>
      <w:pPr>
        <w:spacing w:after="0" w:line="117" w:lineRule="exact"/>
        <w:rPr>
          <w:rFonts w:ascii="Arial" w:cs="Arial" w:eastAsia="Arial" w:hAnsi="Arial"/>
          <w:sz w:val="18"/>
          <w:szCs w:val="18"/>
          <w:color w:val="auto"/>
        </w:rPr>
      </w:pPr>
    </w:p>
    <w:p>
      <w:pPr>
        <w:ind w:left="660" w:right="20" w:hanging="652"/>
        <w:spacing w:after="0" w:line="272"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Amounts for Mr. Edward D. Bagley include 126,166 shares held by Edward D. Bagley's spouse with respect to which he disclaims beneficial ownership and 834 shares of common stock issuable upon exercise of stock options. Mr. Edward D. Bagley has sole voting and dispositive power over 2,626,515 shares (including the shares that may be acquired pursuant to the exercise of stock options) and shared voting and dispositive power over the 126,166 shares held by Mr. Edward D. Bagley's spouse. This information is based solely upon a Schedule 13D/A, as filed by Mr. Edward D. Bagley with the SEC on March 14, 2013. E. Bryan Bagley, who resigned as Director effective November 6, 2012 is the son of Edward D. Bagley, and each of them has previously disclaimed beneficial ownership of common stock beneficially owned by the other. The amounts for Mr. Edward D. Bagley does not include any shares held by E. Bryan Bagley.</w:t>
      </w:r>
    </w:p>
    <w:p>
      <w:pPr>
        <w:spacing w:after="0" w:line="69" w:lineRule="exact"/>
        <w:rPr>
          <w:rFonts w:ascii="Arial" w:cs="Arial" w:eastAsia="Arial" w:hAnsi="Arial"/>
          <w:sz w:val="17"/>
          <w:szCs w:val="17"/>
          <w:color w:val="auto"/>
        </w:rPr>
      </w:pPr>
    </w:p>
    <w:p>
      <w:pPr>
        <w:ind w:left="660" w:hanging="652"/>
        <w:spacing w:after="0" w:line="259"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Represents 694,284 shares of our common stock beneficially owned by Royce &amp; Associates, Inc. in its capacity as investment advisor on behalf of its clients. Royce &amp; Associates, Inc. has sole voting and dispositive power over all of such shares. The address of Royce &amp; Associates, Inc. is 1414 Avenue of the Americas, New York, NY 10019. This information is based upon a Schedule 13G/A, as filed and amended with the SEC as of January 7, 2013.</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 |</w:t>
      </w:r>
    </w:p>
    <w:p>
      <w:pPr>
        <w:sectPr>
          <w:pgSz w:w="11900" w:h="16838" w:orient="portrait"/>
          <w:cols w:equalWidth="0" w:num="1">
            <w:col w:w="11420"/>
          </w:cols>
          <w:pgMar w:left="240" w:top="580"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Equity Compensation Plans</w:t>
      </w:r>
    </w:p>
    <w:p>
      <w:pPr>
        <w:spacing w:after="0" w:line="121"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Please refer to the section titled "Securities Authorized for Issuance under Equity Compensation Plans" contained in Item 5 in our Original 10-K for details regarding our compensation plans under which our equity securities are authorized for issuance.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We recognize that transactions between us and any of our directors or executives can present potential or actual conflicts of interest and create the appearance that our decisions are based on considerations other than the best interests of our company and shareholders. Therefore, as a general matter and in accordance with our Code of Ethics, it is our preference to avoid such transactions. Nevertheless, we recognize that there are situations where such transactions may be in, or may not be inconsistent with, the best interests of our company. Under the terms of its charter, our Audit and Compliance Committee reviews and, if appropriate, approves or ratifies any such transactions. Pursuant to the charter, the committee will review any transaction in which we are or will be a participant and the amount involved exceeds $120,000, and in which any of our directors or executives had, has or will have a direct or indirect material interest. After its review, the Committee will only approve or ratify those transactions that are in, or are not inconsistent with, the best interests of our company and our shareholders, as the committee determines in good faith.</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 Indemnification of Officers and Directors</w:t>
      </w:r>
    </w:p>
    <w:p>
      <w:pPr>
        <w:spacing w:after="0" w:line="2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Please refer to the section titled “Former Officers Indemnification” under Note 8 - Contingencies and Commitments in our Notes to Consolidated Financial Statements contained in our Original 10-K for full details., which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Board of Directors has determined, after considering all the relevant facts and circumstances, that Messrs. Baldwin, Hendricks, and Huntsman are independent directors, as “independence” is defined by the listing standards of NASDAQ, because they have no relationship with us that would interfere with their exercise of independent judgment.</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Board of Directors has an Audit and Compliance Committee, a Compensation Committee, and a Nominating Committee, each consisting entirely of independent directors.</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29"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We retained McGladrey LLP and Jones Simkins, P.C. as our auditor and independent certified public accountants for the years ended December 31, 2012 and 2011, respectively.</w:t>
      </w:r>
    </w:p>
    <w:p>
      <w:pPr>
        <w:spacing w:after="0" w:line="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aggregate fees billed by the principal accountants to our company:</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4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gridSpan w:val="4"/>
          </w:tcPr>
          <w:p>
            <w:pPr>
              <w:jc w:val="right"/>
              <w:ind w:right="253"/>
              <w:spacing w:after="0"/>
              <w:rPr>
                <w:sz w:val="20"/>
                <w:szCs w:val="20"/>
                <w:color w:val="auto"/>
              </w:rPr>
            </w:pPr>
            <w:r>
              <w:rPr>
                <w:rFonts w:ascii="Arial" w:cs="Arial" w:eastAsia="Arial" w:hAnsi="Arial"/>
                <w:sz w:val="14"/>
                <w:szCs w:val="14"/>
                <w:b w:val="1"/>
                <w:bCs w:val="1"/>
                <w:color w:val="auto"/>
                <w:w w:val="98"/>
              </w:rPr>
              <w:t>Year ended December 31,</w:t>
            </w:r>
          </w:p>
        </w:tc>
      </w:tr>
      <w:tr>
        <w:trPr>
          <w:trHeight w:val="264"/>
        </w:trPr>
        <w:tc>
          <w:tcPr>
            <w:tcW w:w="44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2011</w:t>
            </w:r>
          </w:p>
        </w:tc>
      </w:tr>
      <w:tr>
        <w:trPr>
          <w:trHeight w:val="270"/>
        </w:trPr>
        <w:tc>
          <w:tcPr>
            <w:tcW w:w="44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Audit Fees</w:t>
            </w:r>
            <w:r>
              <w:rPr>
                <w:rFonts w:ascii="Arial" w:cs="Arial" w:eastAsia="Arial" w:hAnsi="Arial"/>
                <w:sz w:val="25"/>
                <w:szCs w:val="25"/>
                <w:color w:val="auto"/>
                <w:vertAlign w:val="superscript"/>
              </w:rPr>
              <w:t>1</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179,466</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191,632</w:t>
            </w:r>
          </w:p>
        </w:tc>
      </w:tr>
      <w:tr>
        <w:trPr>
          <w:trHeight w:val="243"/>
        </w:trPr>
        <w:tc>
          <w:tcPr>
            <w:tcW w:w="4420" w:type="dxa"/>
            <w:vAlign w:val="bottom"/>
          </w:tcPr>
          <w:p>
            <w:pPr>
              <w:ind w:left="40"/>
              <w:spacing w:after="0"/>
              <w:rPr>
                <w:sz w:val="20"/>
                <w:szCs w:val="20"/>
                <w:color w:val="auto"/>
              </w:rPr>
            </w:pPr>
            <w:r>
              <w:rPr>
                <w:rFonts w:ascii="Arial" w:cs="Arial" w:eastAsia="Arial" w:hAnsi="Arial"/>
                <w:sz w:val="18"/>
                <w:szCs w:val="18"/>
                <w:color w:val="auto"/>
              </w:rPr>
              <w:t>Audit-related Fees</w:t>
            </w:r>
          </w:p>
        </w:tc>
        <w:tc>
          <w:tcPr>
            <w:tcW w:w="240" w:type="dxa"/>
            <w:vAlign w:val="bottom"/>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4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44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Tax fees</w:t>
            </w:r>
            <w:r>
              <w:rPr>
                <w:rFonts w:ascii="Arial" w:cs="Arial" w:eastAsia="Arial" w:hAnsi="Arial"/>
                <w:sz w:val="25"/>
                <w:szCs w:val="25"/>
                <w:color w:val="auto"/>
                <w:vertAlign w:val="superscript"/>
              </w:rPr>
              <w:t>2</w:t>
            </w:r>
          </w:p>
        </w:tc>
        <w:tc>
          <w:tcPr>
            <w:tcW w:w="24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46,479</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41,629</w:t>
            </w:r>
          </w:p>
        </w:tc>
      </w:tr>
      <w:tr>
        <w:trPr>
          <w:trHeight w:val="270"/>
        </w:trPr>
        <w:tc>
          <w:tcPr>
            <w:tcW w:w="4420" w:type="dxa"/>
            <w:vAlign w:val="bottom"/>
          </w:tcPr>
          <w:p>
            <w:pPr>
              <w:ind w:left="40"/>
              <w:spacing w:after="0" w:line="270" w:lineRule="exact"/>
              <w:rPr>
                <w:sz w:val="20"/>
                <w:szCs w:val="20"/>
                <w:color w:val="auto"/>
              </w:rPr>
            </w:pPr>
            <w:r>
              <w:rPr>
                <w:rFonts w:ascii="Arial" w:cs="Arial" w:eastAsia="Arial" w:hAnsi="Arial"/>
                <w:sz w:val="18"/>
                <w:szCs w:val="18"/>
                <w:color w:val="auto"/>
              </w:rPr>
              <w:t>All other fees</w:t>
            </w:r>
            <w:r>
              <w:rPr>
                <w:rFonts w:ascii="Arial" w:cs="Arial" w:eastAsia="Arial" w:hAnsi="Arial"/>
                <w:sz w:val="25"/>
                <w:szCs w:val="25"/>
                <w:color w:val="auto"/>
                <w:vertAlign w:val="superscript"/>
              </w:rPr>
              <w:t>3</w:t>
            </w:r>
          </w:p>
        </w:tc>
        <w:tc>
          <w:tcPr>
            <w:tcW w:w="240" w:type="dxa"/>
            <w:vAlign w:val="bottom"/>
          </w:tcPr>
          <w:p>
            <w:pPr>
              <w:spacing w:after="0"/>
              <w:rPr>
                <w:sz w:val="23"/>
                <w:szCs w:val="23"/>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44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225,945</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233,261</w:t>
            </w:r>
          </w:p>
        </w:tc>
      </w:tr>
      <w:tr>
        <w:trPr>
          <w:trHeight w:val="20"/>
        </w:trPr>
        <w:tc>
          <w:tcPr>
            <w:tcW w:w="4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right="8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Represents fees billed for professional services rendered for the audit and reviews of our financial statements filed with the SEC on Forms 10-K and 10-Q.</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Represents fees billed for tax filing, preparation, and tax advisory services.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Represents fees billed for all other non-audit services, such as consulting on potential acquisitions or dispositions.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 |</w:t>
      </w:r>
    </w:p>
    <w:p>
      <w:pPr>
        <w:sectPr>
          <w:pgSz w:w="11900" w:h="16838" w:orient="portrait"/>
          <w:cols w:equalWidth="0" w:num="1">
            <w:col w:w="11420"/>
          </w:cols>
          <w:pgMar w:left="240" w:top="580"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Pre-Approval Policies and Procedures</w:t>
      </w:r>
    </w:p>
    <w:p>
      <w:pPr>
        <w:spacing w:after="0" w:line="94"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The Audit and Compliance Committee ensures that we engage our independent registered public accounting firm to provide only audit and non-audit services that are compatible with maintaining the independence of our public accountants. The Audit and Compliance Committee approves or pre-approves all services provided by our public accountants. Permitted services include audit and audit-related services, tax and other non-audit related services. Certain services are identified as restricted. Restricted services are those services that may not be provided by our external public accountants, whether identified in statute or determined to be incompatible with the role of an independent auditor. All fees identified in the preceding table were approved by the Audit and Compliance Committee. During 2011, the Audit and Compliance Committee reviewed all non-audit services provided by our independent registered public accounting firm, and concluded that the provision of such non-audit services was compatible with maintaining the independence of the external public accountants.</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PART IV</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229" w:lineRule="exact"/>
        <w:rPr>
          <w:sz w:val="20"/>
          <w:szCs w:val="20"/>
          <w:color w:val="auto"/>
        </w:rPr>
      </w:pPr>
    </w:p>
    <w:p>
      <w:pPr>
        <w:ind w:left="260" w:right="460" w:hanging="252"/>
        <w:spacing w:after="0" w:line="277" w:lineRule="auto"/>
        <w:tabs>
          <w:tab w:leader="none" w:pos="197" w:val="left"/>
        </w:tabs>
        <w:numPr>
          <w:ilvl w:val="0"/>
          <w:numId w:val="13"/>
        </w:numPr>
        <w:rPr>
          <w:rFonts w:ascii="Arial" w:cs="Arial" w:eastAsia="Arial" w:hAnsi="Arial"/>
          <w:sz w:val="18"/>
          <w:szCs w:val="18"/>
          <w:color w:val="auto"/>
        </w:rPr>
      </w:pPr>
      <w:r>
        <w:rPr>
          <w:rFonts w:ascii="Arial" w:cs="Arial" w:eastAsia="Arial" w:hAnsi="Arial"/>
          <w:sz w:val="18"/>
          <w:szCs w:val="18"/>
          <w:color w:val="auto"/>
        </w:rPr>
        <w:t>Financial Statements: Financial statements set forth under Part II, Item 8 of the Original 10-K are filed in a separate section of the Original 10-K. See "Index to Consolidated Financial Statements" on page F-1 of the Original 10-K.</w:t>
      </w:r>
    </w:p>
    <w:p>
      <w:pPr>
        <w:spacing w:after="0" w:line="278" w:lineRule="exact"/>
        <w:rPr>
          <w:rFonts w:ascii="Arial" w:cs="Arial" w:eastAsia="Arial" w:hAnsi="Arial"/>
          <w:sz w:val="18"/>
          <w:szCs w:val="18"/>
          <w:color w:val="auto"/>
        </w:rPr>
      </w:pPr>
    </w:p>
    <w:p>
      <w:pPr>
        <w:ind w:left="260" w:right="860" w:hanging="252"/>
        <w:spacing w:after="0" w:line="277" w:lineRule="auto"/>
        <w:tabs>
          <w:tab w:leader="none" w:pos="197" w:val="left"/>
        </w:tabs>
        <w:numPr>
          <w:ilvl w:val="0"/>
          <w:numId w:val="13"/>
        </w:numPr>
        <w:rPr>
          <w:rFonts w:ascii="Arial" w:cs="Arial" w:eastAsia="Arial" w:hAnsi="Arial"/>
          <w:sz w:val="18"/>
          <w:szCs w:val="18"/>
          <w:color w:val="auto"/>
        </w:rPr>
      </w:pPr>
      <w:r>
        <w:rPr>
          <w:rFonts w:ascii="Arial" w:cs="Arial" w:eastAsia="Arial" w:hAnsi="Arial"/>
          <w:sz w:val="18"/>
          <w:szCs w:val="18"/>
          <w:color w:val="auto"/>
        </w:rPr>
        <w:t>Financial Statement Schedules: All schedules are omitted since they either are not required, not applicable or the information is presented in the accompanying consolidated financial statements and notes thereto.</w:t>
      </w:r>
    </w:p>
    <w:p>
      <w:pPr>
        <w:spacing w:after="0" w:line="278" w:lineRule="exact"/>
        <w:rPr>
          <w:rFonts w:ascii="Arial" w:cs="Arial" w:eastAsia="Arial" w:hAnsi="Arial"/>
          <w:sz w:val="18"/>
          <w:szCs w:val="18"/>
          <w:color w:val="auto"/>
        </w:rPr>
      </w:pPr>
    </w:p>
    <w:p>
      <w:pPr>
        <w:ind w:left="180" w:hanging="172"/>
        <w:spacing w:after="0"/>
        <w:tabs>
          <w:tab w:leader="none" w:pos="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Exhibits: The exhibits listed under the Index of exhibits in the next page are filed or incorporated by reference as part of this Form 10-K/A.</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8 |</w:t>
      </w:r>
    </w:p>
    <w:p>
      <w:pPr>
        <w:sectPr>
          <w:pgSz w:w="11900" w:h="16838" w:orient="portrait"/>
          <w:cols w:equalWidth="0" w:num="1">
            <w:col w:w="11400"/>
          </w:cols>
          <w:pgMar w:left="240" w:top="580" w:right="259" w:bottom="1440" w:gutter="0" w:footer="0" w:header="0"/>
        </w:sectPr>
      </w:pPr>
    </w:p>
    <w:bookmarkStart w:id="11" w:name="page12"/>
    <w:bookmarkEnd w:id="11"/>
    <w:p>
      <w:pPr>
        <w:jc w:val="center"/>
        <w:ind w:right="-139"/>
        <w:spacing w:after="0"/>
        <w:rPr>
          <w:sz w:val="20"/>
          <w:szCs w:val="20"/>
          <w:color w:val="auto"/>
        </w:rPr>
      </w:pPr>
      <w:r>
        <w:rPr>
          <w:rFonts w:ascii="Arial" w:cs="Arial" w:eastAsia="Arial" w:hAnsi="Arial"/>
          <w:sz w:val="18"/>
          <w:szCs w:val="18"/>
          <w:b w:val="1"/>
          <w:bCs w:val="1"/>
          <w:u w:val="single" w:color="auto"/>
          <w:color w:val="auto"/>
        </w:rPr>
        <w:t>INDEX TO EXHIBITS</w:t>
      </w:r>
    </w:p>
    <w:p>
      <w:pPr>
        <w:spacing w:after="0" w:line="200" w:lineRule="exact"/>
        <w:rPr>
          <w:sz w:val="20"/>
          <w:szCs w:val="20"/>
          <w:color w:val="auto"/>
        </w:rPr>
      </w:pPr>
    </w:p>
    <w:p>
      <w:pPr>
        <w:spacing w:after="0" w:line="278"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100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w:t>
            </w:r>
          </w:p>
        </w:tc>
        <w:tc>
          <w:tcPr>
            <w:tcW w:w="380" w:type="dxa"/>
            <w:vAlign w:val="bottom"/>
          </w:tcPr>
          <w:p>
            <w:pPr>
              <w:spacing w:after="0"/>
              <w:rPr>
                <w:sz w:val="14"/>
                <w:szCs w:val="14"/>
                <w:color w:val="auto"/>
              </w:rPr>
            </w:pPr>
          </w:p>
        </w:tc>
        <w:tc>
          <w:tcPr>
            <w:tcW w:w="6640" w:type="dxa"/>
            <w:vAlign w:val="bottom"/>
            <w:vMerge w:val="restart"/>
          </w:tcPr>
          <w:p>
            <w:pPr>
              <w:ind w:left="2540"/>
              <w:spacing w:after="0"/>
              <w:rPr>
                <w:sz w:val="20"/>
                <w:szCs w:val="20"/>
                <w:color w:val="auto"/>
              </w:rPr>
            </w:pPr>
            <w:r>
              <w:rPr>
                <w:rFonts w:ascii="Arial" w:cs="Arial" w:eastAsia="Arial" w:hAnsi="Arial"/>
                <w:sz w:val="14"/>
                <w:szCs w:val="14"/>
                <w:b w:val="1"/>
                <w:bCs w:val="1"/>
                <w:color w:val="auto"/>
              </w:rPr>
              <w:t>Exhibit Description</w:t>
            </w:r>
          </w:p>
        </w:tc>
        <w:tc>
          <w:tcPr>
            <w:tcW w:w="100" w:type="dxa"/>
            <w:vAlign w:val="bottom"/>
            <w:vMerge w:val="restart"/>
          </w:tcPr>
          <w:p>
            <w:pPr>
              <w:spacing w:after="0"/>
              <w:rPr>
                <w:sz w:val="14"/>
                <w:szCs w:val="14"/>
                <w:color w:val="auto"/>
              </w:rPr>
            </w:pPr>
          </w:p>
        </w:tc>
        <w:tc>
          <w:tcPr>
            <w:tcW w:w="5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100" w:type="dxa"/>
            <w:vAlign w:val="bottom"/>
            <w:vMerge w:val="restart"/>
          </w:tcPr>
          <w:p>
            <w:pPr>
              <w:spacing w:after="0"/>
              <w:rPr>
                <w:sz w:val="14"/>
                <w:szCs w:val="14"/>
                <w:color w:val="auto"/>
              </w:rPr>
            </w:pPr>
          </w:p>
        </w:tc>
        <w:tc>
          <w:tcPr>
            <w:tcW w:w="112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Exhibit</w:t>
            </w:r>
          </w:p>
        </w:tc>
        <w:tc>
          <w:tcPr>
            <w:tcW w:w="100" w:type="dxa"/>
            <w:vAlign w:val="bottom"/>
            <w:vMerge w:val="restart"/>
          </w:tcPr>
          <w:p>
            <w:pPr>
              <w:spacing w:after="0"/>
              <w:rPr>
                <w:sz w:val="14"/>
                <w:szCs w:val="14"/>
                <w:color w:val="auto"/>
              </w:rPr>
            </w:pPr>
          </w:p>
        </w:tc>
        <w:tc>
          <w:tcPr>
            <w:tcW w:w="11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Filing Date</w:t>
            </w:r>
          </w:p>
        </w:tc>
        <w:tc>
          <w:tcPr>
            <w:tcW w:w="0" w:type="dxa"/>
            <w:vAlign w:val="bottom"/>
          </w:tcPr>
          <w:p>
            <w:pPr>
              <w:spacing w:after="0"/>
              <w:rPr>
                <w:sz w:val="1"/>
                <w:szCs w:val="1"/>
                <w:color w:val="auto"/>
              </w:rPr>
            </w:pPr>
          </w:p>
        </w:tc>
      </w:tr>
      <w:tr>
        <w:trPr>
          <w:trHeight w:val="205"/>
        </w:trPr>
        <w:tc>
          <w:tcPr>
            <w:tcW w:w="8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664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56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880" w:type="dxa"/>
            <w:vAlign w:val="bottom"/>
          </w:tcPr>
          <w:p>
            <w:pPr>
              <w:ind w:left="20"/>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19"/>
                <w:szCs w:val="19"/>
                <w:color w:val="auto"/>
              </w:rPr>
            </w:pPr>
          </w:p>
        </w:tc>
        <w:tc>
          <w:tcPr>
            <w:tcW w:w="7120" w:type="dxa"/>
            <w:vAlign w:val="bottom"/>
            <w:gridSpan w:val="3"/>
          </w:tcPr>
          <w:p>
            <w:pPr>
              <w:ind w:left="40"/>
              <w:spacing w:after="0"/>
              <w:rPr>
                <w:sz w:val="20"/>
                <w:szCs w:val="20"/>
                <w:color w:val="auto"/>
              </w:rPr>
            </w:pPr>
            <w:r>
              <w:rPr>
                <w:rFonts w:ascii="Arial" w:cs="Arial" w:eastAsia="Arial" w:hAnsi="Arial"/>
                <w:sz w:val="16"/>
                <w:szCs w:val="16"/>
                <w:color w:val="auto"/>
                <w:w w:val="93"/>
              </w:rPr>
              <w:t>Agreement and Plan of Merger, dated as of November 3, 2009, by and among ClearOne Communications,</w:t>
            </w:r>
          </w:p>
        </w:tc>
        <w:tc>
          <w:tcPr>
            <w:tcW w:w="660" w:type="dxa"/>
            <w:vAlign w:val="bottom"/>
            <w:gridSpan w:val="2"/>
          </w:tcPr>
          <w:p>
            <w:pPr>
              <w:jc w:val="center"/>
              <w:ind w:right="100"/>
              <w:spacing w:after="0"/>
              <w:rPr>
                <w:sz w:val="20"/>
                <w:szCs w:val="20"/>
                <w:color w:val="auto"/>
              </w:rPr>
            </w:pPr>
            <w:r>
              <w:rPr>
                <w:rFonts w:ascii="Arial" w:cs="Arial" w:eastAsia="Arial" w:hAnsi="Arial"/>
                <w:sz w:val="16"/>
                <w:szCs w:val="16"/>
                <w:color w:val="auto"/>
                <w:w w:val="96"/>
              </w:rPr>
              <w:t>8-K</w:t>
            </w:r>
          </w:p>
        </w:tc>
        <w:tc>
          <w:tcPr>
            <w:tcW w:w="1120" w:type="dxa"/>
            <w:vAlign w:val="bottom"/>
          </w:tcPr>
          <w:p>
            <w:pPr>
              <w:jc w:val="center"/>
              <w:spacing w:after="0"/>
              <w:rPr>
                <w:sz w:val="20"/>
                <w:szCs w:val="20"/>
                <w:color w:val="auto"/>
              </w:rPr>
            </w:pPr>
            <w:r>
              <w:rPr>
                <w:rFonts w:ascii="Arial" w:cs="Arial" w:eastAsia="Arial" w:hAnsi="Arial"/>
                <w:sz w:val="16"/>
                <w:szCs w:val="16"/>
                <w:color w:val="auto"/>
                <w:w w:val="89"/>
              </w:rPr>
              <w:t>2.2</w:t>
            </w:r>
          </w:p>
        </w:tc>
        <w:tc>
          <w:tcPr>
            <w:tcW w:w="10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89"/>
              </w:rPr>
              <w:t>11/09/09</w:t>
            </w: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120" w:type="dxa"/>
            <w:vAlign w:val="bottom"/>
            <w:gridSpan w:val="3"/>
          </w:tcPr>
          <w:p>
            <w:pPr>
              <w:ind w:left="40"/>
              <w:spacing w:after="0"/>
              <w:rPr>
                <w:sz w:val="20"/>
                <w:szCs w:val="20"/>
                <w:color w:val="auto"/>
              </w:rPr>
            </w:pPr>
            <w:r>
              <w:rPr>
                <w:rFonts w:ascii="Arial" w:cs="Arial" w:eastAsia="Arial" w:hAnsi="Arial"/>
                <w:sz w:val="16"/>
                <w:szCs w:val="16"/>
                <w:color w:val="auto"/>
                <w:w w:val="98"/>
              </w:rPr>
              <w:t>Inc., Alta-Wasatch Acquisition Corporation, NetStreams, Inc., Austin Ventures VIII, L.P., and Kevin A.</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120" w:type="dxa"/>
            <w:vAlign w:val="bottom"/>
            <w:gridSpan w:val="3"/>
          </w:tcPr>
          <w:p>
            <w:pPr>
              <w:ind w:left="40"/>
              <w:spacing w:after="0"/>
              <w:rPr>
                <w:sz w:val="20"/>
                <w:szCs w:val="20"/>
                <w:color w:val="auto"/>
              </w:rPr>
            </w:pPr>
            <w:r>
              <w:rPr>
                <w:rFonts w:ascii="Arial" w:cs="Arial" w:eastAsia="Arial" w:hAnsi="Arial"/>
                <w:sz w:val="16"/>
                <w:szCs w:val="16"/>
                <w:color w:val="auto"/>
              </w:rPr>
              <w:t>Reinis.</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880" w:type="dxa"/>
            <w:vAlign w:val="bottom"/>
          </w:tcPr>
          <w:p>
            <w:pPr>
              <w:ind w:left="20"/>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22"/>
                <w:szCs w:val="22"/>
                <w:color w:val="auto"/>
              </w:rPr>
            </w:pPr>
          </w:p>
        </w:tc>
        <w:tc>
          <w:tcPr>
            <w:tcW w:w="7120" w:type="dxa"/>
            <w:vAlign w:val="bottom"/>
            <w:gridSpan w:val="3"/>
          </w:tcPr>
          <w:p>
            <w:pPr>
              <w:ind w:left="40"/>
              <w:spacing w:after="0"/>
              <w:rPr>
                <w:sz w:val="20"/>
                <w:szCs w:val="20"/>
                <w:color w:val="auto"/>
              </w:rPr>
            </w:pPr>
            <w:r>
              <w:rPr>
                <w:rFonts w:ascii="Arial" w:cs="Arial" w:eastAsia="Arial" w:hAnsi="Arial"/>
                <w:sz w:val="16"/>
                <w:szCs w:val="16"/>
                <w:color w:val="auto"/>
              </w:rPr>
              <w:t>Bylaws</w:t>
            </w:r>
          </w:p>
        </w:tc>
        <w:tc>
          <w:tcPr>
            <w:tcW w:w="660" w:type="dxa"/>
            <w:vAlign w:val="bottom"/>
            <w:gridSpan w:val="2"/>
          </w:tcPr>
          <w:p>
            <w:pPr>
              <w:jc w:val="center"/>
              <w:ind w:right="80"/>
              <w:spacing w:after="0"/>
              <w:rPr>
                <w:sz w:val="20"/>
                <w:szCs w:val="20"/>
                <w:color w:val="auto"/>
              </w:rPr>
            </w:pPr>
            <w:r>
              <w:rPr>
                <w:rFonts w:ascii="Arial" w:cs="Arial" w:eastAsia="Arial" w:hAnsi="Arial"/>
                <w:sz w:val="16"/>
                <w:szCs w:val="16"/>
                <w:color w:val="auto"/>
              </w:rPr>
              <w:t>10-K</w:t>
            </w:r>
          </w:p>
        </w:tc>
        <w:tc>
          <w:tcPr>
            <w:tcW w:w="1120" w:type="dxa"/>
            <w:vAlign w:val="bottom"/>
          </w:tcPr>
          <w:p>
            <w:pPr>
              <w:jc w:val="center"/>
              <w:spacing w:after="0"/>
              <w:rPr>
                <w:sz w:val="20"/>
                <w:szCs w:val="20"/>
                <w:color w:val="auto"/>
              </w:rPr>
            </w:pPr>
            <w:r>
              <w:rPr>
                <w:rFonts w:ascii="Arial" w:cs="Arial" w:eastAsia="Arial" w:hAnsi="Arial"/>
                <w:sz w:val="16"/>
                <w:szCs w:val="16"/>
                <w:color w:val="auto"/>
                <w:w w:val="89"/>
              </w:rPr>
              <w:t>3.2</w:t>
            </w:r>
          </w:p>
        </w:tc>
        <w:tc>
          <w:tcPr>
            <w:tcW w:w="100" w:type="dxa"/>
            <w:vAlign w:val="bottom"/>
          </w:tcPr>
          <w:p>
            <w:pPr>
              <w:spacing w:after="0"/>
              <w:rPr>
                <w:sz w:val="22"/>
                <w:szCs w:val="22"/>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89"/>
              </w:rPr>
              <w:t>03/31/11</w:t>
            </w:r>
          </w:p>
        </w:tc>
        <w:tc>
          <w:tcPr>
            <w:tcW w:w="0" w:type="dxa"/>
            <w:vAlign w:val="bottom"/>
          </w:tcPr>
          <w:p>
            <w:pPr>
              <w:spacing w:after="0"/>
              <w:rPr>
                <w:sz w:val="1"/>
                <w:szCs w:val="1"/>
                <w:color w:val="auto"/>
              </w:rPr>
            </w:pPr>
          </w:p>
        </w:tc>
      </w:tr>
      <w:tr>
        <w:trPr>
          <w:trHeight w:val="266"/>
        </w:trPr>
        <w:tc>
          <w:tcPr>
            <w:tcW w:w="880" w:type="dxa"/>
            <w:vAlign w:val="bottom"/>
          </w:tcPr>
          <w:p>
            <w:pPr>
              <w:ind w:left="20"/>
              <w:spacing w:after="0"/>
              <w:rPr>
                <w:sz w:val="20"/>
                <w:szCs w:val="20"/>
                <w:color w:val="auto"/>
              </w:rPr>
            </w:pPr>
            <w:r>
              <w:rPr>
                <w:rFonts w:ascii="Arial" w:cs="Arial" w:eastAsia="Arial" w:hAnsi="Arial"/>
                <w:sz w:val="16"/>
                <w:szCs w:val="16"/>
                <w:color w:val="auto"/>
              </w:rPr>
              <w:t>10.1*</w:t>
            </w:r>
          </w:p>
        </w:tc>
        <w:tc>
          <w:tcPr>
            <w:tcW w:w="120" w:type="dxa"/>
            <w:vAlign w:val="bottom"/>
          </w:tcPr>
          <w:p>
            <w:pPr>
              <w:spacing w:after="0"/>
              <w:rPr>
                <w:sz w:val="23"/>
                <w:szCs w:val="23"/>
                <w:color w:val="auto"/>
              </w:rPr>
            </w:pPr>
          </w:p>
        </w:tc>
        <w:tc>
          <w:tcPr>
            <w:tcW w:w="7120" w:type="dxa"/>
            <w:vAlign w:val="bottom"/>
            <w:gridSpan w:val="3"/>
          </w:tcPr>
          <w:p>
            <w:pPr>
              <w:ind w:left="40"/>
              <w:spacing w:after="0"/>
              <w:rPr>
                <w:sz w:val="20"/>
                <w:szCs w:val="20"/>
                <w:color w:val="auto"/>
              </w:rPr>
            </w:pPr>
            <w:r>
              <w:rPr>
                <w:rFonts w:ascii="Arial" w:cs="Arial" w:eastAsia="Arial" w:hAnsi="Arial"/>
                <w:sz w:val="16"/>
                <w:szCs w:val="16"/>
                <w:color w:val="auto"/>
                <w:w w:val="95"/>
              </w:rPr>
              <w:t>Employment Separation Agreement between ClearOne Communications, Inc. and Frances Flood, dated</w:t>
            </w:r>
          </w:p>
        </w:tc>
        <w:tc>
          <w:tcPr>
            <w:tcW w:w="660" w:type="dxa"/>
            <w:vAlign w:val="bottom"/>
            <w:gridSpan w:val="2"/>
          </w:tcPr>
          <w:p>
            <w:pPr>
              <w:jc w:val="center"/>
              <w:ind w:right="80"/>
              <w:spacing w:after="0"/>
              <w:rPr>
                <w:sz w:val="20"/>
                <w:szCs w:val="20"/>
                <w:color w:val="auto"/>
              </w:rPr>
            </w:pPr>
            <w:r>
              <w:rPr>
                <w:rFonts w:ascii="Arial" w:cs="Arial" w:eastAsia="Arial" w:hAnsi="Arial"/>
                <w:sz w:val="16"/>
                <w:szCs w:val="16"/>
                <w:color w:val="auto"/>
              </w:rPr>
              <w:t>10-K</w:t>
            </w:r>
          </w:p>
        </w:tc>
        <w:tc>
          <w:tcPr>
            <w:tcW w:w="1120" w:type="dxa"/>
            <w:vAlign w:val="bottom"/>
          </w:tcPr>
          <w:p>
            <w:pPr>
              <w:jc w:val="center"/>
              <w:spacing w:after="0"/>
              <w:rPr>
                <w:sz w:val="20"/>
                <w:szCs w:val="20"/>
                <w:color w:val="auto"/>
              </w:rPr>
            </w:pPr>
            <w:r>
              <w:rPr>
                <w:rFonts w:ascii="Arial" w:cs="Arial" w:eastAsia="Arial" w:hAnsi="Arial"/>
                <w:sz w:val="16"/>
                <w:szCs w:val="16"/>
                <w:color w:val="auto"/>
                <w:w w:val="89"/>
              </w:rPr>
              <w:t>10.1</w:t>
            </w:r>
          </w:p>
        </w:tc>
        <w:tc>
          <w:tcPr>
            <w:tcW w:w="100" w:type="dxa"/>
            <w:vAlign w:val="bottom"/>
          </w:tcPr>
          <w:p>
            <w:pPr>
              <w:spacing w:after="0"/>
              <w:rPr>
                <w:sz w:val="23"/>
                <w:szCs w:val="23"/>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93"/>
              </w:rPr>
              <w:t>08/18/05</w:t>
            </w:r>
          </w:p>
        </w:tc>
        <w:tc>
          <w:tcPr>
            <w:tcW w:w="0" w:type="dxa"/>
            <w:vAlign w:val="bottom"/>
          </w:tcPr>
          <w:p>
            <w:pPr>
              <w:spacing w:after="0"/>
              <w:rPr>
                <w:sz w:val="1"/>
                <w:szCs w:val="1"/>
                <w:color w:val="auto"/>
              </w:rPr>
            </w:pPr>
          </w:p>
        </w:tc>
      </w:tr>
      <w:tr>
        <w:trPr>
          <w:trHeight w:val="206"/>
        </w:trPr>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120" w:type="dxa"/>
            <w:vAlign w:val="bottom"/>
            <w:gridSpan w:val="3"/>
          </w:tcPr>
          <w:p>
            <w:pPr>
              <w:ind w:left="40"/>
              <w:spacing w:after="0"/>
              <w:rPr>
                <w:sz w:val="20"/>
                <w:szCs w:val="20"/>
                <w:color w:val="auto"/>
              </w:rPr>
            </w:pPr>
            <w:r>
              <w:rPr>
                <w:rFonts w:ascii="Arial" w:cs="Arial" w:eastAsia="Arial" w:hAnsi="Arial"/>
                <w:sz w:val="16"/>
                <w:szCs w:val="16"/>
                <w:color w:val="auto"/>
              </w:rPr>
              <w:t>December 5, 2003</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880" w:type="dxa"/>
            <w:vAlign w:val="bottom"/>
          </w:tcPr>
          <w:p>
            <w:pPr>
              <w:ind w:left="20"/>
              <w:spacing w:after="0"/>
              <w:rPr>
                <w:sz w:val="20"/>
                <w:szCs w:val="20"/>
                <w:color w:val="auto"/>
              </w:rPr>
            </w:pPr>
            <w:r>
              <w:rPr>
                <w:rFonts w:ascii="Arial" w:cs="Arial" w:eastAsia="Arial" w:hAnsi="Arial"/>
                <w:sz w:val="16"/>
                <w:szCs w:val="16"/>
                <w:color w:val="auto"/>
              </w:rPr>
              <w:t>10.2*</w:t>
            </w:r>
          </w:p>
        </w:tc>
        <w:tc>
          <w:tcPr>
            <w:tcW w:w="120" w:type="dxa"/>
            <w:vAlign w:val="bottom"/>
          </w:tcPr>
          <w:p>
            <w:pPr>
              <w:spacing w:after="0"/>
              <w:rPr>
                <w:sz w:val="21"/>
                <w:szCs w:val="21"/>
                <w:color w:val="auto"/>
              </w:rPr>
            </w:pPr>
          </w:p>
        </w:tc>
        <w:tc>
          <w:tcPr>
            <w:tcW w:w="7120" w:type="dxa"/>
            <w:vAlign w:val="bottom"/>
            <w:gridSpan w:val="3"/>
          </w:tcPr>
          <w:p>
            <w:pPr>
              <w:ind w:left="40"/>
              <w:spacing w:after="0"/>
              <w:rPr>
                <w:sz w:val="20"/>
                <w:szCs w:val="20"/>
                <w:color w:val="auto"/>
              </w:rPr>
            </w:pPr>
            <w:r>
              <w:rPr>
                <w:rFonts w:ascii="Arial" w:cs="Arial" w:eastAsia="Arial" w:hAnsi="Arial"/>
                <w:sz w:val="16"/>
                <w:szCs w:val="16"/>
                <w:color w:val="auto"/>
                <w:w w:val="95"/>
              </w:rPr>
              <w:t>Employment Termination Agreement between ClearOne Communications, Inc. and Susie Strohm, dated</w:t>
            </w:r>
          </w:p>
        </w:tc>
        <w:tc>
          <w:tcPr>
            <w:tcW w:w="660" w:type="dxa"/>
            <w:vAlign w:val="bottom"/>
            <w:gridSpan w:val="2"/>
          </w:tcPr>
          <w:p>
            <w:pPr>
              <w:jc w:val="center"/>
              <w:ind w:right="80"/>
              <w:spacing w:after="0"/>
              <w:rPr>
                <w:sz w:val="20"/>
                <w:szCs w:val="20"/>
                <w:color w:val="auto"/>
              </w:rPr>
            </w:pPr>
            <w:r>
              <w:rPr>
                <w:rFonts w:ascii="Arial" w:cs="Arial" w:eastAsia="Arial" w:hAnsi="Arial"/>
                <w:sz w:val="16"/>
                <w:szCs w:val="16"/>
                <w:color w:val="auto"/>
              </w:rPr>
              <w:t>10-K</w:t>
            </w:r>
          </w:p>
        </w:tc>
        <w:tc>
          <w:tcPr>
            <w:tcW w:w="1120" w:type="dxa"/>
            <w:vAlign w:val="bottom"/>
          </w:tcPr>
          <w:p>
            <w:pPr>
              <w:jc w:val="center"/>
              <w:spacing w:after="0"/>
              <w:rPr>
                <w:sz w:val="20"/>
                <w:szCs w:val="20"/>
                <w:color w:val="auto"/>
              </w:rPr>
            </w:pPr>
            <w:r>
              <w:rPr>
                <w:rFonts w:ascii="Arial" w:cs="Arial" w:eastAsia="Arial" w:hAnsi="Arial"/>
                <w:sz w:val="16"/>
                <w:szCs w:val="16"/>
                <w:color w:val="auto"/>
                <w:w w:val="89"/>
              </w:rPr>
              <w:t>10.1</w:t>
            </w:r>
          </w:p>
        </w:tc>
        <w:tc>
          <w:tcPr>
            <w:tcW w:w="10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93"/>
              </w:rPr>
              <w:t>08/18/05</w:t>
            </w:r>
          </w:p>
        </w:tc>
        <w:tc>
          <w:tcPr>
            <w:tcW w:w="0" w:type="dxa"/>
            <w:vAlign w:val="bottom"/>
          </w:tcPr>
          <w:p>
            <w:pPr>
              <w:spacing w:after="0"/>
              <w:rPr>
                <w:sz w:val="1"/>
                <w:szCs w:val="1"/>
                <w:color w:val="auto"/>
              </w:rPr>
            </w:pPr>
          </w:p>
        </w:tc>
      </w:tr>
      <w:tr>
        <w:trPr>
          <w:trHeight w:val="206"/>
        </w:trPr>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120" w:type="dxa"/>
            <w:vAlign w:val="bottom"/>
            <w:gridSpan w:val="3"/>
          </w:tcPr>
          <w:p>
            <w:pPr>
              <w:ind w:left="40"/>
              <w:spacing w:after="0"/>
              <w:rPr>
                <w:sz w:val="20"/>
                <w:szCs w:val="20"/>
                <w:color w:val="auto"/>
              </w:rPr>
            </w:pPr>
            <w:r>
              <w:rPr>
                <w:rFonts w:ascii="Arial" w:cs="Arial" w:eastAsia="Arial" w:hAnsi="Arial"/>
                <w:sz w:val="16"/>
                <w:szCs w:val="16"/>
                <w:color w:val="auto"/>
              </w:rPr>
              <w:t>December 5, 2003</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880" w:type="dxa"/>
            <w:vAlign w:val="bottom"/>
          </w:tcPr>
          <w:p>
            <w:pPr>
              <w:ind w:left="20"/>
              <w:spacing w:after="0"/>
              <w:rPr>
                <w:sz w:val="20"/>
                <w:szCs w:val="20"/>
                <w:color w:val="auto"/>
              </w:rPr>
            </w:pPr>
            <w:r>
              <w:rPr>
                <w:rFonts w:ascii="Arial" w:cs="Arial" w:eastAsia="Arial" w:hAnsi="Arial"/>
                <w:sz w:val="16"/>
                <w:szCs w:val="16"/>
                <w:color w:val="auto"/>
              </w:rPr>
              <w:t>10.3</w:t>
            </w:r>
          </w:p>
        </w:tc>
        <w:tc>
          <w:tcPr>
            <w:tcW w:w="120" w:type="dxa"/>
            <w:vAlign w:val="bottom"/>
          </w:tcPr>
          <w:p>
            <w:pPr>
              <w:spacing w:after="0"/>
              <w:rPr>
                <w:sz w:val="22"/>
                <w:szCs w:val="22"/>
                <w:color w:val="auto"/>
              </w:rPr>
            </w:pPr>
          </w:p>
        </w:tc>
        <w:tc>
          <w:tcPr>
            <w:tcW w:w="380" w:type="dxa"/>
            <w:vAlign w:val="bottom"/>
          </w:tcPr>
          <w:p>
            <w:pPr>
              <w:ind w:left="40"/>
              <w:spacing w:after="0"/>
              <w:rPr>
                <w:sz w:val="20"/>
                <w:szCs w:val="20"/>
                <w:color w:val="auto"/>
              </w:rPr>
            </w:pPr>
            <w:r>
              <w:rPr>
                <w:rFonts w:ascii="Arial" w:cs="Arial" w:eastAsia="Arial" w:hAnsi="Arial"/>
                <w:sz w:val="16"/>
                <w:szCs w:val="16"/>
                <w:color w:val="auto"/>
                <w:w w:val="89"/>
              </w:rPr>
              <w:t>1997</w:t>
            </w:r>
          </w:p>
        </w:tc>
        <w:tc>
          <w:tcPr>
            <w:tcW w:w="6740" w:type="dxa"/>
            <w:vAlign w:val="bottom"/>
            <w:gridSpan w:val="2"/>
          </w:tcPr>
          <w:p>
            <w:pPr>
              <w:ind w:left="20"/>
              <w:spacing w:after="0"/>
              <w:rPr>
                <w:sz w:val="20"/>
                <w:szCs w:val="20"/>
                <w:color w:val="auto"/>
              </w:rPr>
            </w:pPr>
            <w:r>
              <w:rPr>
                <w:rFonts w:ascii="Arial" w:cs="Arial" w:eastAsia="Arial" w:hAnsi="Arial"/>
                <w:sz w:val="16"/>
                <w:szCs w:val="16"/>
                <w:color w:val="auto"/>
              </w:rPr>
              <w:t>Employee Stock Purchase Plan</w:t>
            </w:r>
          </w:p>
        </w:tc>
        <w:tc>
          <w:tcPr>
            <w:tcW w:w="660" w:type="dxa"/>
            <w:vAlign w:val="bottom"/>
            <w:gridSpan w:val="2"/>
          </w:tcPr>
          <w:p>
            <w:pPr>
              <w:jc w:val="center"/>
              <w:ind w:right="80"/>
              <w:spacing w:after="0"/>
              <w:rPr>
                <w:sz w:val="20"/>
                <w:szCs w:val="20"/>
                <w:color w:val="auto"/>
              </w:rPr>
            </w:pPr>
            <w:r>
              <w:rPr>
                <w:rFonts w:ascii="Arial" w:cs="Arial" w:eastAsia="Arial" w:hAnsi="Arial"/>
                <w:sz w:val="16"/>
                <w:szCs w:val="16"/>
                <w:color w:val="auto"/>
                <w:w w:val="88"/>
              </w:rPr>
              <w:t>S-8</w:t>
            </w:r>
          </w:p>
        </w:tc>
        <w:tc>
          <w:tcPr>
            <w:tcW w:w="1120" w:type="dxa"/>
            <w:vAlign w:val="bottom"/>
          </w:tcPr>
          <w:p>
            <w:pPr>
              <w:jc w:val="center"/>
              <w:spacing w:after="0"/>
              <w:rPr>
                <w:sz w:val="20"/>
                <w:szCs w:val="20"/>
                <w:color w:val="auto"/>
              </w:rPr>
            </w:pPr>
            <w:r>
              <w:rPr>
                <w:rFonts w:ascii="Arial" w:cs="Arial" w:eastAsia="Arial" w:hAnsi="Arial"/>
                <w:sz w:val="16"/>
                <w:szCs w:val="16"/>
                <w:color w:val="auto"/>
                <w:w w:val="89"/>
              </w:rPr>
              <w:t>4.9</w:t>
            </w:r>
          </w:p>
        </w:tc>
        <w:tc>
          <w:tcPr>
            <w:tcW w:w="100" w:type="dxa"/>
            <w:vAlign w:val="bottom"/>
          </w:tcPr>
          <w:p>
            <w:pPr>
              <w:spacing w:after="0"/>
              <w:rPr>
                <w:sz w:val="22"/>
                <w:szCs w:val="22"/>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93"/>
              </w:rPr>
              <w:t>10/06/06</w:t>
            </w:r>
          </w:p>
        </w:tc>
        <w:tc>
          <w:tcPr>
            <w:tcW w:w="0" w:type="dxa"/>
            <w:vAlign w:val="bottom"/>
          </w:tcPr>
          <w:p>
            <w:pPr>
              <w:spacing w:after="0"/>
              <w:rPr>
                <w:sz w:val="1"/>
                <w:szCs w:val="1"/>
                <w:color w:val="auto"/>
              </w:rPr>
            </w:pPr>
          </w:p>
        </w:tc>
      </w:tr>
      <w:tr>
        <w:trPr>
          <w:trHeight w:val="270"/>
        </w:trPr>
        <w:tc>
          <w:tcPr>
            <w:tcW w:w="880" w:type="dxa"/>
            <w:vAlign w:val="bottom"/>
          </w:tcPr>
          <w:p>
            <w:pPr>
              <w:ind w:left="20"/>
              <w:spacing w:after="0"/>
              <w:rPr>
                <w:sz w:val="20"/>
                <w:szCs w:val="20"/>
                <w:color w:val="auto"/>
              </w:rPr>
            </w:pPr>
            <w:r>
              <w:rPr>
                <w:rFonts w:ascii="Arial" w:cs="Arial" w:eastAsia="Arial" w:hAnsi="Arial"/>
                <w:sz w:val="16"/>
                <w:szCs w:val="16"/>
                <w:color w:val="auto"/>
              </w:rPr>
              <w:t>10.4</w:t>
            </w:r>
          </w:p>
        </w:tc>
        <w:tc>
          <w:tcPr>
            <w:tcW w:w="120" w:type="dxa"/>
            <w:vAlign w:val="bottom"/>
          </w:tcPr>
          <w:p>
            <w:pPr>
              <w:spacing w:after="0"/>
              <w:rPr>
                <w:sz w:val="23"/>
                <w:szCs w:val="23"/>
                <w:color w:val="auto"/>
              </w:rPr>
            </w:pPr>
          </w:p>
        </w:tc>
        <w:tc>
          <w:tcPr>
            <w:tcW w:w="380" w:type="dxa"/>
            <w:vAlign w:val="bottom"/>
          </w:tcPr>
          <w:p>
            <w:pPr>
              <w:ind w:left="40"/>
              <w:spacing w:after="0"/>
              <w:rPr>
                <w:sz w:val="20"/>
                <w:szCs w:val="20"/>
                <w:color w:val="auto"/>
              </w:rPr>
            </w:pPr>
            <w:r>
              <w:rPr>
                <w:rFonts w:ascii="Arial" w:cs="Arial" w:eastAsia="Arial" w:hAnsi="Arial"/>
                <w:sz w:val="16"/>
                <w:szCs w:val="16"/>
                <w:color w:val="auto"/>
                <w:w w:val="89"/>
              </w:rPr>
              <w:t>1998</w:t>
            </w:r>
          </w:p>
        </w:tc>
        <w:tc>
          <w:tcPr>
            <w:tcW w:w="6740" w:type="dxa"/>
            <w:vAlign w:val="bottom"/>
            <w:gridSpan w:val="2"/>
          </w:tcPr>
          <w:p>
            <w:pPr>
              <w:ind w:left="20"/>
              <w:spacing w:after="0"/>
              <w:rPr>
                <w:sz w:val="20"/>
                <w:szCs w:val="20"/>
                <w:color w:val="auto"/>
              </w:rPr>
            </w:pPr>
            <w:r>
              <w:rPr>
                <w:rFonts w:ascii="Arial" w:cs="Arial" w:eastAsia="Arial" w:hAnsi="Arial"/>
                <w:sz w:val="16"/>
                <w:szCs w:val="16"/>
                <w:color w:val="auto"/>
              </w:rPr>
              <w:t>Stock Option Plan</w:t>
            </w:r>
          </w:p>
        </w:tc>
        <w:tc>
          <w:tcPr>
            <w:tcW w:w="660" w:type="dxa"/>
            <w:vAlign w:val="bottom"/>
            <w:gridSpan w:val="2"/>
          </w:tcPr>
          <w:p>
            <w:pPr>
              <w:jc w:val="center"/>
              <w:ind w:right="80"/>
              <w:spacing w:after="0"/>
              <w:rPr>
                <w:sz w:val="20"/>
                <w:szCs w:val="20"/>
                <w:color w:val="auto"/>
              </w:rPr>
            </w:pPr>
            <w:r>
              <w:rPr>
                <w:rFonts w:ascii="Arial" w:cs="Arial" w:eastAsia="Arial" w:hAnsi="Arial"/>
                <w:sz w:val="16"/>
                <w:szCs w:val="16"/>
                <w:color w:val="auto"/>
                <w:w w:val="88"/>
              </w:rPr>
              <w:t>S-8</w:t>
            </w:r>
          </w:p>
        </w:tc>
        <w:tc>
          <w:tcPr>
            <w:tcW w:w="1120" w:type="dxa"/>
            <w:vAlign w:val="bottom"/>
          </w:tcPr>
          <w:p>
            <w:pPr>
              <w:jc w:val="center"/>
              <w:spacing w:after="0"/>
              <w:rPr>
                <w:sz w:val="20"/>
                <w:szCs w:val="20"/>
                <w:color w:val="auto"/>
              </w:rPr>
            </w:pPr>
            <w:r>
              <w:rPr>
                <w:rFonts w:ascii="Arial" w:cs="Arial" w:eastAsia="Arial" w:hAnsi="Arial"/>
                <w:sz w:val="16"/>
                <w:szCs w:val="16"/>
                <w:color w:val="auto"/>
                <w:w w:val="89"/>
              </w:rPr>
              <w:t>4.8</w:t>
            </w:r>
          </w:p>
        </w:tc>
        <w:tc>
          <w:tcPr>
            <w:tcW w:w="100" w:type="dxa"/>
            <w:vAlign w:val="bottom"/>
          </w:tcPr>
          <w:p>
            <w:pPr>
              <w:spacing w:after="0"/>
              <w:rPr>
                <w:sz w:val="23"/>
                <w:szCs w:val="23"/>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93"/>
              </w:rPr>
              <w:t>10/06/06</w:t>
            </w:r>
          </w:p>
        </w:tc>
        <w:tc>
          <w:tcPr>
            <w:tcW w:w="0" w:type="dxa"/>
            <w:vAlign w:val="bottom"/>
          </w:tcPr>
          <w:p>
            <w:pPr>
              <w:spacing w:after="0"/>
              <w:rPr>
                <w:sz w:val="1"/>
                <w:szCs w:val="1"/>
                <w:color w:val="auto"/>
              </w:rPr>
            </w:pPr>
          </w:p>
        </w:tc>
      </w:tr>
      <w:tr>
        <w:trPr>
          <w:trHeight w:val="270"/>
        </w:trPr>
        <w:tc>
          <w:tcPr>
            <w:tcW w:w="880" w:type="dxa"/>
            <w:vAlign w:val="bottom"/>
          </w:tcPr>
          <w:p>
            <w:pPr>
              <w:ind w:left="20"/>
              <w:spacing w:after="0"/>
              <w:rPr>
                <w:sz w:val="20"/>
                <w:szCs w:val="20"/>
                <w:color w:val="auto"/>
              </w:rPr>
            </w:pPr>
            <w:r>
              <w:rPr>
                <w:rFonts w:ascii="Arial" w:cs="Arial" w:eastAsia="Arial" w:hAnsi="Arial"/>
                <w:sz w:val="16"/>
                <w:szCs w:val="16"/>
                <w:color w:val="auto"/>
              </w:rPr>
              <w:t>10.5</w:t>
            </w:r>
          </w:p>
        </w:tc>
        <w:tc>
          <w:tcPr>
            <w:tcW w:w="120" w:type="dxa"/>
            <w:vAlign w:val="bottom"/>
          </w:tcPr>
          <w:p>
            <w:pPr>
              <w:spacing w:after="0"/>
              <w:rPr>
                <w:sz w:val="23"/>
                <w:szCs w:val="23"/>
                <w:color w:val="auto"/>
              </w:rPr>
            </w:pPr>
          </w:p>
        </w:tc>
        <w:tc>
          <w:tcPr>
            <w:tcW w:w="380" w:type="dxa"/>
            <w:vAlign w:val="bottom"/>
          </w:tcPr>
          <w:p>
            <w:pPr>
              <w:ind w:left="40"/>
              <w:spacing w:after="0"/>
              <w:rPr>
                <w:sz w:val="20"/>
                <w:szCs w:val="20"/>
                <w:color w:val="auto"/>
              </w:rPr>
            </w:pPr>
            <w:r>
              <w:rPr>
                <w:rFonts w:ascii="Arial" w:cs="Arial" w:eastAsia="Arial" w:hAnsi="Arial"/>
                <w:sz w:val="16"/>
                <w:szCs w:val="16"/>
                <w:color w:val="auto"/>
                <w:w w:val="89"/>
              </w:rPr>
              <w:t>2007</w:t>
            </w:r>
          </w:p>
        </w:tc>
        <w:tc>
          <w:tcPr>
            <w:tcW w:w="6740" w:type="dxa"/>
            <w:vAlign w:val="bottom"/>
            <w:gridSpan w:val="2"/>
          </w:tcPr>
          <w:p>
            <w:pPr>
              <w:ind w:left="20"/>
              <w:spacing w:after="0"/>
              <w:rPr>
                <w:sz w:val="20"/>
                <w:szCs w:val="20"/>
                <w:color w:val="auto"/>
              </w:rPr>
            </w:pPr>
            <w:r>
              <w:rPr>
                <w:rFonts w:ascii="Arial" w:cs="Arial" w:eastAsia="Arial" w:hAnsi="Arial"/>
                <w:sz w:val="16"/>
                <w:szCs w:val="16"/>
                <w:color w:val="auto"/>
              </w:rPr>
              <w:t>Equity Incentive Plan</w:t>
            </w:r>
          </w:p>
        </w:tc>
        <w:tc>
          <w:tcPr>
            <w:tcW w:w="660" w:type="dxa"/>
            <w:vAlign w:val="bottom"/>
            <w:gridSpan w:val="2"/>
          </w:tcPr>
          <w:p>
            <w:pPr>
              <w:jc w:val="center"/>
              <w:ind w:right="80"/>
              <w:spacing w:after="0"/>
              <w:rPr>
                <w:sz w:val="20"/>
                <w:szCs w:val="20"/>
                <w:color w:val="auto"/>
              </w:rPr>
            </w:pPr>
            <w:r>
              <w:rPr>
                <w:rFonts w:ascii="Arial" w:cs="Arial" w:eastAsia="Arial" w:hAnsi="Arial"/>
                <w:sz w:val="16"/>
                <w:szCs w:val="16"/>
                <w:color w:val="auto"/>
                <w:w w:val="88"/>
              </w:rPr>
              <w:t>S-8</w:t>
            </w:r>
          </w:p>
        </w:tc>
        <w:tc>
          <w:tcPr>
            <w:tcW w:w="1120" w:type="dxa"/>
            <w:vAlign w:val="bottom"/>
          </w:tcPr>
          <w:p>
            <w:pPr>
              <w:jc w:val="center"/>
              <w:spacing w:after="0"/>
              <w:rPr>
                <w:sz w:val="20"/>
                <w:szCs w:val="20"/>
                <w:color w:val="auto"/>
              </w:rPr>
            </w:pPr>
            <w:r>
              <w:rPr>
                <w:rFonts w:ascii="Arial" w:cs="Arial" w:eastAsia="Arial" w:hAnsi="Arial"/>
                <w:sz w:val="16"/>
                <w:szCs w:val="16"/>
                <w:color w:val="auto"/>
                <w:w w:val="89"/>
              </w:rPr>
              <w:t>4.7</w:t>
            </w:r>
          </w:p>
        </w:tc>
        <w:tc>
          <w:tcPr>
            <w:tcW w:w="100" w:type="dxa"/>
            <w:vAlign w:val="bottom"/>
          </w:tcPr>
          <w:p>
            <w:pPr>
              <w:spacing w:after="0"/>
              <w:rPr>
                <w:sz w:val="23"/>
                <w:szCs w:val="23"/>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93"/>
              </w:rPr>
              <w:t>01/22/08</w:t>
            </w:r>
          </w:p>
        </w:tc>
        <w:tc>
          <w:tcPr>
            <w:tcW w:w="0" w:type="dxa"/>
            <w:vAlign w:val="bottom"/>
          </w:tcPr>
          <w:p>
            <w:pPr>
              <w:spacing w:after="0"/>
              <w:rPr>
                <w:sz w:val="1"/>
                <w:szCs w:val="1"/>
                <w:color w:val="auto"/>
              </w:rPr>
            </w:pPr>
          </w:p>
        </w:tc>
      </w:tr>
      <w:tr>
        <w:trPr>
          <w:trHeight w:val="266"/>
        </w:trPr>
        <w:tc>
          <w:tcPr>
            <w:tcW w:w="880" w:type="dxa"/>
            <w:vAlign w:val="bottom"/>
          </w:tcPr>
          <w:p>
            <w:pPr>
              <w:ind w:left="20"/>
              <w:spacing w:after="0"/>
              <w:rPr>
                <w:sz w:val="20"/>
                <w:szCs w:val="20"/>
                <w:color w:val="auto"/>
              </w:rPr>
            </w:pPr>
            <w:r>
              <w:rPr>
                <w:rFonts w:ascii="Arial" w:cs="Arial" w:eastAsia="Arial" w:hAnsi="Arial"/>
                <w:sz w:val="16"/>
                <w:szCs w:val="16"/>
                <w:color w:val="auto"/>
              </w:rPr>
              <w:t>10.6</w:t>
            </w:r>
          </w:p>
        </w:tc>
        <w:tc>
          <w:tcPr>
            <w:tcW w:w="120" w:type="dxa"/>
            <w:vAlign w:val="bottom"/>
          </w:tcPr>
          <w:p>
            <w:pPr>
              <w:spacing w:after="0"/>
              <w:rPr>
                <w:sz w:val="23"/>
                <w:szCs w:val="23"/>
                <w:color w:val="auto"/>
              </w:rPr>
            </w:pPr>
          </w:p>
        </w:tc>
        <w:tc>
          <w:tcPr>
            <w:tcW w:w="7120" w:type="dxa"/>
            <w:vAlign w:val="bottom"/>
            <w:gridSpan w:val="3"/>
          </w:tcPr>
          <w:p>
            <w:pPr>
              <w:ind w:left="40"/>
              <w:spacing w:after="0"/>
              <w:rPr>
                <w:sz w:val="20"/>
                <w:szCs w:val="20"/>
                <w:color w:val="auto"/>
              </w:rPr>
            </w:pPr>
            <w:r>
              <w:rPr>
                <w:rFonts w:ascii="Arial" w:cs="Arial" w:eastAsia="Arial" w:hAnsi="Arial"/>
                <w:sz w:val="16"/>
                <w:szCs w:val="16"/>
                <w:color w:val="auto"/>
                <w:w w:val="94"/>
              </w:rPr>
              <w:t>Office Lease between Edgewater Corporate Park, LLC and ClearOne Communications, Inc. dated June 5,</w:t>
            </w:r>
          </w:p>
        </w:tc>
        <w:tc>
          <w:tcPr>
            <w:tcW w:w="660" w:type="dxa"/>
            <w:vAlign w:val="bottom"/>
            <w:gridSpan w:val="2"/>
          </w:tcPr>
          <w:p>
            <w:pPr>
              <w:jc w:val="center"/>
              <w:ind w:right="80"/>
              <w:spacing w:after="0"/>
              <w:rPr>
                <w:sz w:val="20"/>
                <w:szCs w:val="20"/>
                <w:color w:val="auto"/>
              </w:rPr>
            </w:pPr>
            <w:r>
              <w:rPr>
                <w:rFonts w:ascii="Arial" w:cs="Arial" w:eastAsia="Arial" w:hAnsi="Arial"/>
                <w:sz w:val="16"/>
                <w:szCs w:val="16"/>
                <w:color w:val="auto"/>
              </w:rPr>
              <w:t>10-K</w:t>
            </w:r>
          </w:p>
        </w:tc>
        <w:tc>
          <w:tcPr>
            <w:tcW w:w="1120" w:type="dxa"/>
            <w:vAlign w:val="bottom"/>
          </w:tcPr>
          <w:p>
            <w:pPr>
              <w:jc w:val="center"/>
              <w:spacing w:after="0"/>
              <w:rPr>
                <w:sz w:val="20"/>
                <w:szCs w:val="20"/>
                <w:color w:val="auto"/>
              </w:rPr>
            </w:pPr>
            <w:r>
              <w:rPr>
                <w:rFonts w:ascii="Arial" w:cs="Arial" w:eastAsia="Arial" w:hAnsi="Arial"/>
                <w:sz w:val="16"/>
                <w:szCs w:val="16"/>
                <w:color w:val="auto"/>
                <w:w w:val="89"/>
              </w:rPr>
              <w:t>10.19</w:t>
            </w:r>
          </w:p>
        </w:tc>
        <w:tc>
          <w:tcPr>
            <w:tcW w:w="100" w:type="dxa"/>
            <w:vAlign w:val="bottom"/>
          </w:tcPr>
          <w:p>
            <w:pPr>
              <w:spacing w:after="0"/>
              <w:rPr>
                <w:sz w:val="23"/>
                <w:szCs w:val="23"/>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93"/>
              </w:rPr>
              <w:t>09/14/06</w:t>
            </w:r>
          </w:p>
        </w:tc>
        <w:tc>
          <w:tcPr>
            <w:tcW w:w="0" w:type="dxa"/>
            <w:vAlign w:val="bottom"/>
          </w:tcPr>
          <w:p>
            <w:pPr>
              <w:spacing w:after="0"/>
              <w:rPr>
                <w:sz w:val="1"/>
                <w:szCs w:val="1"/>
                <w:color w:val="auto"/>
              </w:rPr>
            </w:pPr>
          </w:p>
        </w:tc>
      </w:tr>
      <w:tr>
        <w:trPr>
          <w:trHeight w:val="206"/>
        </w:trPr>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ind w:left="40"/>
              <w:spacing w:after="0"/>
              <w:rPr>
                <w:sz w:val="20"/>
                <w:szCs w:val="20"/>
                <w:color w:val="auto"/>
              </w:rPr>
            </w:pPr>
            <w:r>
              <w:rPr>
                <w:rFonts w:ascii="Arial" w:cs="Arial" w:eastAsia="Arial" w:hAnsi="Arial"/>
                <w:sz w:val="16"/>
                <w:szCs w:val="16"/>
                <w:color w:val="auto"/>
                <w:w w:val="89"/>
              </w:rPr>
              <w:t>2006</w:t>
            </w:r>
          </w:p>
        </w:tc>
        <w:tc>
          <w:tcPr>
            <w:tcW w:w="6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880" w:type="dxa"/>
            <w:vAlign w:val="bottom"/>
          </w:tcPr>
          <w:p>
            <w:pPr>
              <w:ind w:left="20"/>
              <w:spacing w:after="0"/>
              <w:rPr>
                <w:sz w:val="20"/>
                <w:szCs w:val="20"/>
                <w:color w:val="auto"/>
              </w:rPr>
            </w:pPr>
            <w:r>
              <w:rPr>
                <w:rFonts w:ascii="Arial" w:cs="Arial" w:eastAsia="Arial" w:hAnsi="Arial"/>
                <w:sz w:val="16"/>
                <w:szCs w:val="16"/>
                <w:color w:val="auto"/>
              </w:rPr>
              <w:t>10.7</w:t>
            </w:r>
          </w:p>
        </w:tc>
        <w:tc>
          <w:tcPr>
            <w:tcW w:w="120" w:type="dxa"/>
            <w:vAlign w:val="bottom"/>
          </w:tcPr>
          <w:p>
            <w:pPr>
              <w:spacing w:after="0"/>
              <w:rPr>
                <w:sz w:val="21"/>
                <w:szCs w:val="21"/>
                <w:color w:val="auto"/>
              </w:rPr>
            </w:pPr>
          </w:p>
        </w:tc>
        <w:tc>
          <w:tcPr>
            <w:tcW w:w="7120" w:type="dxa"/>
            <w:vAlign w:val="bottom"/>
            <w:gridSpan w:val="3"/>
          </w:tcPr>
          <w:p>
            <w:pPr>
              <w:ind w:left="40"/>
              <w:spacing w:after="0"/>
              <w:rPr>
                <w:sz w:val="20"/>
                <w:szCs w:val="20"/>
                <w:color w:val="auto"/>
              </w:rPr>
            </w:pPr>
            <w:r>
              <w:rPr>
                <w:rFonts w:ascii="Arial" w:cs="Arial" w:eastAsia="Arial" w:hAnsi="Arial"/>
                <w:sz w:val="16"/>
                <w:szCs w:val="16"/>
                <w:color w:val="auto"/>
                <w:w w:val="94"/>
              </w:rPr>
              <w:t>Margin Loan Agreement between ClearOne Communications, Inc. and UBS Financial Services, Inc. dated</w:t>
            </w:r>
          </w:p>
        </w:tc>
        <w:tc>
          <w:tcPr>
            <w:tcW w:w="660" w:type="dxa"/>
            <w:vAlign w:val="bottom"/>
            <w:gridSpan w:val="2"/>
          </w:tcPr>
          <w:p>
            <w:pPr>
              <w:jc w:val="center"/>
              <w:ind w:right="100"/>
              <w:spacing w:after="0"/>
              <w:rPr>
                <w:sz w:val="20"/>
                <w:szCs w:val="20"/>
                <w:color w:val="auto"/>
              </w:rPr>
            </w:pPr>
            <w:r>
              <w:rPr>
                <w:rFonts w:ascii="Arial" w:cs="Arial" w:eastAsia="Arial" w:hAnsi="Arial"/>
                <w:sz w:val="16"/>
                <w:szCs w:val="16"/>
                <w:color w:val="auto"/>
                <w:w w:val="96"/>
              </w:rPr>
              <w:t>8-K</w:t>
            </w:r>
          </w:p>
        </w:tc>
        <w:tc>
          <w:tcPr>
            <w:tcW w:w="1120" w:type="dxa"/>
            <w:vAlign w:val="bottom"/>
          </w:tcPr>
          <w:p>
            <w:pPr>
              <w:jc w:val="center"/>
              <w:spacing w:after="0"/>
              <w:rPr>
                <w:sz w:val="20"/>
                <w:szCs w:val="20"/>
                <w:color w:val="auto"/>
              </w:rPr>
            </w:pPr>
            <w:r>
              <w:rPr>
                <w:rFonts w:ascii="Arial" w:cs="Arial" w:eastAsia="Arial" w:hAnsi="Arial"/>
                <w:sz w:val="16"/>
                <w:szCs w:val="16"/>
                <w:color w:val="auto"/>
                <w:w w:val="89"/>
              </w:rPr>
              <w:t>10.2</w:t>
            </w:r>
          </w:p>
        </w:tc>
        <w:tc>
          <w:tcPr>
            <w:tcW w:w="10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89"/>
              </w:rPr>
              <w:t>09/11/08</w:t>
            </w:r>
          </w:p>
        </w:tc>
        <w:tc>
          <w:tcPr>
            <w:tcW w:w="0" w:type="dxa"/>
            <w:vAlign w:val="bottom"/>
          </w:tcPr>
          <w:p>
            <w:pPr>
              <w:spacing w:after="0"/>
              <w:rPr>
                <w:sz w:val="1"/>
                <w:szCs w:val="1"/>
                <w:color w:val="auto"/>
              </w:rPr>
            </w:pPr>
          </w:p>
        </w:tc>
      </w:tr>
      <w:tr>
        <w:trPr>
          <w:trHeight w:val="206"/>
        </w:trPr>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120" w:type="dxa"/>
            <w:vAlign w:val="bottom"/>
            <w:gridSpan w:val="3"/>
          </w:tcPr>
          <w:p>
            <w:pPr>
              <w:ind w:left="40"/>
              <w:spacing w:after="0"/>
              <w:rPr>
                <w:sz w:val="20"/>
                <w:szCs w:val="20"/>
                <w:color w:val="auto"/>
              </w:rPr>
            </w:pPr>
            <w:r>
              <w:rPr>
                <w:rFonts w:ascii="Arial" w:cs="Arial" w:eastAsia="Arial" w:hAnsi="Arial"/>
                <w:sz w:val="16"/>
                <w:szCs w:val="16"/>
                <w:color w:val="auto"/>
              </w:rPr>
              <w:t>September 10, 2008</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880" w:type="dxa"/>
            <w:vAlign w:val="bottom"/>
          </w:tcPr>
          <w:p>
            <w:pPr>
              <w:ind w:left="20"/>
              <w:spacing w:after="0"/>
              <w:rPr>
                <w:sz w:val="20"/>
                <w:szCs w:val="20"/>
                <w:color w:val="auto"/>
              </w:rPr>
            </w:pPr>
            <w:r>
              <w:rPr>
                <w:rFonts w:ascii="Arial" w:cs="Arial" w:eastAsia="Arial" w:hAnsi="Arial"/>
                <w:sz w:val="16"/>
                <w:szCs w:val="16"/>
                <w:color w:val="auto"/>
              </w:rPr>
              <w:t>10.8</w:t>
            </w:r>
          </w:p>
        </w:tc>
        <w:tc>
          <w:tcPr>
            <w:tcW w:w="120" w:type="dxa"/>
            <w:vAlign w:val="bottom"/>
          </w:tcPr>
          <w:p>
            <w:pPr>
              <w:spacing w:after="0"/>
              <w:rPr>
                <w:sz w:val="21"/>
                <w:szCs w:val="21"/>
                <w:color w:val="auto"/>
              </w:rPr>
            </w:pPr>
          </w:p>
        </w:tc>
        <w:tc>
          <w:tcPr>
            <w:tcW w:w="7120" w:type="dxa"/>
            <w:vAlign w:val="bottom"/>
            <w:gridSpan w:val="3"/>
          </w:tcPr>
          <w:p>
            <w:pPr>
              <w:ind w:left="40"/>
              <w:spacing w:after="0"/>
              <w:rPr>
                <w:sz w:val="20"/>
                <w:szCs w:val="20"/>
                <w:color w:val="auto"/>
              </w:rPr>
            </w:pPr>
            <w:r>
              <w:rPr>
                <w:rFonts w:ascii="Arial" w:cs="Arial" w:eastAsia="Arial" w:hAnsi="Arial"/>
                <w:sz w:val="16"/>
                <w:szCs w:val="16"/>
                <w:color w:val="auto"/>
                <w:w w:val="96"/>
              </w:rPr>
              <w:t>Manufacturing Services Agreement between Flextronics Industrial, Ltd. and ClearOne Communications,</w:t>
            </w:r>
          </w:p>
        </w:tc>
        <w:tc>
          <w:tcPr>
            <w:tcW w:w="660" w:type="dxa"/>
            <w:vAlign w:val="bottom"/>
            <w:gridSpan w:val="2"/>
          </w:tcPr>
          <w:p>
            <w:pPr>
              <w:jc w:val="center"/>
              <w:ind w:right="80"/>
              <w:spacing w:after="0"/>
              <w:rPr>
                <w:sz w:val="20"/>
                <w:szCs w:val="20"/>
                <w:color w:val="auto"/>
              </w:rPr>
            </w:pPr>
            <w:r>
              <w:rPr>
                <w:rFonts w:ascii="Arial" w:cs="Arial" w:eastAsia="Arial" w:hAnsi="Arial"/>
                <w:sz w:val="16"/>
                <w:szCs w:val="16"/>
                <w:color w:val="auto"/>
              </w:rPr>
              <w:t>10-K</w:t>
            </w:r>
          </w:p>
        </w:tc>
        <w:tc>
          <w:tcPr>
            <w:tcW w:w="1120" w:type="dxa"/>
            <w:vAlign w:val="bottom"/>
          </w:tcPr>
          <w:p>
            <w:pPr>
              <w:jc w:val="center"/>
              <w:spacing w:after="0"/>
              <w:rPr>
                <w:sz w:val="20"/>
                <w:szCs w:val="20"/>
                <w:color w:val="auto"/>
              </w:rPr>
            </w:pPr>
            <w:r>
              <w:rPr>
                <w:rFonts w:ascii="Arial" w:cs="Arial" w:eastAsia="Arial" w:hAnsi="Arial"/>
                <w:sz w:val="16"/>
                <w:szCs w:val="16"/>
                <w:color w:val="auto"/>
                <w:w w:val="89"/>
              </w:rPr>
              <w:t>10.21</w:t>
            </w:r>
          </w:p>
        </w:tc>
        <w:tc>
          <w:tcPr>
            <w:tcW w:w="10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93"/>
              </w:rPr>
              <w:t>10/13/09</w:t>
            </w:r>
          </w:p>
        </w:tc>
        <w:tc>
          <w:tcPr>
            <w:tcW w:w="0" w:type="dxa"/>
            <w:vAlign w:val="bottom"/>
          </w:tcPr>
          <w:p>
            <w:pPr>
              <w:spacing w:after="0"/>
              <w:rPr>
                <w:sz w:val="1"/>
                <w:szCs w:val="1"/>
                <w:color w:val="auto"/>
              </w:rPr>
            </w:pPr>
          </w:p>
        </w:tc>
      </w:tr>
      <w:tr>
        <w:trPr>
          <w:trHeight w:val="206"/>
        </w:trPr>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120" w:type="dxa"/>
            <w:vAlign w:val="bottom"/>
            <w:gridSpan w:val="3"/>
          </w:tcPr>
          <w:p>
            <w:pPr>
              <w:ind w:left="40"/>
              <w:spacing w:after="0"/>
              <w:rPr>
                <w:sz w:val="20"/>
                <w:szCs w:val="20"/>
                <w:color w:val="auto"/>
              </w:rPr>
            </w:pPr>
            <w:r>
              <w:rPr>
                <w:rFonts w:ascii="Arial" w:cs="Arial" w:eastAsia="Arial" w:hAnsi="Arial"/>
                <w:sz w:val="16"/>
                <w:szCs w:val="16"/>
                <w:color w:val="auto"/>
              </w:rPr>
              <w:t>Inc. dated November 3, 2008</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50" w:lineRule="exact"/>
        <w:rPr>
          <w:sz w:val="20"/>
          <w:szCs w:val="20"/>
          <w:color w:val="auto"/>
        </w:rPr>
      </w:pPr>
    </w:p>
    <w:p>
      <w:pPr>
        <w:sectPr>
          <w:pgSz w:w="11900" w:h="16838" w:orient="portrait"/>
          <w:cols w:equalWidth="0" w:num="1">
            <w:col w:w="11280"/>
          </w:cols>
          <w:pgMar w:left="240" w:top="580" w:right="379" w:bottom="1440" w:gutter="0" w:footer="0" w:header="0"/>
        </w:sectPr>
      </w:pPr>
    </w:p>
    <w:tbl>
      <w:tblPr>
        <w:tblLayout w:type="fixed"/>
        <w:tblInd w:w="180" w:type="dxa"/>
        <w:tblCellMar>
          <w:top w:w="0" w:type="dxa"/>
          <w:left w:w="0" w:type="dxa"/>
          <w:bottom w:w="0" w:type="dxa"/>
          <w:right w:w="0" w:type="dxa"/>
        </w:tblCellMar>
      </w:tblPr>
      <w:tr>
        <w:trPr>
          <w:trHeight w:val="203"/>
        </w:trPr>
        <w:tc>
          <w:tcPr>
            <w:tcW w:w="860" w:type="dxa"/>
            <w:vAlign w:val="bottom"/>
          </w:tcPr>
          <w:p>
            <w:pPr>
              <w:spacing w:after="0"/>
              <w:rPr>
                <w:sz w:val="20"/>
                <w:szCs w:val="20"/>
                <w:color w:val="auto"/>
              </w:rPr>
            </w:pPr>
            <w:r>
              <w:rPr>
                <w:rFonts w:ascii="Arial" w:cs="Arial" w:eastAsia="Arial" w:hAnsi="Arial"/>
                <w:sz w:val="16"/>
                <w:szCs w:val="16"/>
                <w:color w:val="auto"/>
              </w:rPr>
              <w:t>10.9</w:t>
            </w:r>
          </w:p>
        </w:tc>
        <w:tc>
          <w:tcPr>
            <w:tcW w:w="7040" w:type="dxa"/>
            <w:vAlign w:val="bottom"/>
          </w:tcPr>
          <w:p>
            <w:pPr>
              <w:ind w:left="160"/>
              <w:spacing w:after="0"/>
              <w:rPr>
                <w:sz w:val="20"/>
                <w:szCs w:val="20"/>
                <w:color w:val="auto"/>
              </w:rPr>
            </w:pPr>
            <w:r>
              <w:rPr>
                <w:rFonts w:ascii="Arial" w:cs="Arial" w:eastAsia="Arial" w:hAnsi="Arial"/>
                <w:sz w:val="16"/>
                <w:szCs w:val="16"/>
                <w:color w:val="auto"/>
                <w:w w:val="97"/>
              </w:rPr>
              <w:t>Joinder to Loan and Security Agreement, dated as of November 3, 2009, by and between ClearOne</w:t>
            </w:r>
          </w:p>
        </w:tc>
        <w:tc>
          <w:tcPr>
            <w:tcW w:w="660" w:type="dxa"/>
            <w:vAlign w:val="bottom"/>
          </w:tcPr>
          <w:p>
            <w:pPr>
              <w:jc w:val="center"/>
              <w:ind w:left="219"/>
              <w:spacing w:after="0"/>
              <w:rPr>
                <w:sz w:val="20"/>
                <w:szCs w:val="20"/>
                <w:color w:val="auto"/>
              </w:rPr>
            </w:pPr>
            <w:r>
              <w:rPr>
                <w:rFonts w:ascii="Arial" w:cs="Arial" w:eastAsia="Arial" w:hAnsi="Arial"/>
                <w:sz w:val="16"/>
                <w:szCs w:val="16"/>
                <w:color w:val="auto"/>
                <w:w w:val="96"/>
              </w:rPr>
              <w:t>8-K</w:t>
            </w:r>
          </w:p>
        </w:tc>
      </w:tr>
      <w:tr>
        <w:trPr>
          <w:trHeight w:val="206"/>
        </w:trPr>
        <w:tc>
          <w:tcPr>
            <w:tcW w:w="860" w:type="dxa"/>
            <w:vAlign w:val="bottom"/>
          </w:tcPr>
          <w:p>
            <w:pPr>
              <w:spacing w:after="0"/>
              <w:rPr>
                <w:sz w:val="17"/>
                <w:szCs w:val="17"/>
                <w:color w:val="auto"/>
              </w:rPr>
            </w:pPr>
          </w:p>
        </w:tc>
        <w:tc>
          <w:tcPr>
            <w:tcW w:w="7040" w:type="dxa"/>
            <w:vAlign w:val="bottom"/>
          </w:tcPr>
          <w:p>
            <w:pPr>
              <w:ind w:left="160"/>
              <w:spacing w:after="0"/>
              <w:rPr>
                <w:sz w:val="20"/>
                <w:szCs w:val="20"/>
                <w:color w:val="auto"/>
              </w:rPr>
            </w:pPr>
            <w:r>
              <w:rPr>
                <w:rFonts w:ascii="Arial" w:cs="Arial" w:eastAsia="Arial" w:hAnsi="Arial"/>
                <w:sz w:val="16"/>
                <w:szCs w:val="16"/>
                <w:color w:val="auto"/>
              </w:rPr>
              <w:t>Communications, Inc. and Square 1 Bank.</w:t>
            </w:r>
          </w:p>
        </w:tc>
        <w:tc>
          <w:tcPr>
            <w:tcW w:w="660" w:type="dxa"/>
            <w:vAlign w:val="bottom"/>
          </w:tcPr>
          <w:p>
            <w:pPr>
              <w:spacing w:after="0"/>
              <w:rPr>
                <w:sz w:val="17"/>
                <w:szCs w:val="17"/>
                <w:color w:val="auto"/>
              </w:rPr>
            </w:pPr>
          </w:p>
        </w:tc>
      </w:tr>
      <w:tr>
        <w:trPr>
          <w:trHeight w:val="253"/>
        </w:trPr>
        <w:tc>
          <w:tcPr>
            <w:tcW w:w="860" w:type="dxa"/>
            <w:vAlign w:val="bottom"/>
          </w:tcPr>
          <w:p>
            <w:pPr>
              <w:spacing w:after="0"/>
              <w:rPr>
                <w:sz w:val="20"/>
                <w:szCs w:val="20"/>
                <w:color w:val="auto"/>
              </w:rPr>
            </w:pPr>
            <w:r>
              <w:rPr>
                <w:rFonts w:ascii="Arial" w:cs="Arial" w:eastAsia="Arial" w:hAnsi="Arial"/>
                <w:sz w:val="16"/>
                <w:szCs w:val="16"/>
                <w:color w:val="auto"/>
              </w:rPr>
              <w:t>10.10</w:t>
            </w:r>
          </w:p>
        </w:tc>
        <w:tc>
          <w:tcPr>
            <w:tcW w:w="7040" w:type="dxa"/>
            <w:vAlign w:val="bottom"/>
          </w:tcPr>
          <w:p>
            <w:pPr>
              <w:ind w:left="160"/>
              <w:spacing w:after="0"/>
              <w:rPr>
                <w:sz w:val="20"/>
                <w:szCs w:val="20"/>
                <w:color w:val="auto"/>
              </w:rPr>
            </w:pPr>
            <w:r>
              <w:rPr>
                <w:rFonts w:ascii="Arial" w:cs="Arial" w:eastAsia="Arial" w:hAnsi="Arial"/>
                <w:sz w:val="16"/>
                <w:szCs w:val="16"/>
                <w:color w:val="auto"/>
                <w:w w:val="94"/>
              </w:rPr>
              <w:t>Seventh Amendment to Loan and Security Agreement, dated as of November 3, 2009, by and between</w:t>
            </w:r>
          </w:p>
        </w:tc>
        <w:tc>
          <w:tcPr>
            <w:tcW w:w="660" w:type="dxa"/>
            <w:vAlign w:val="bottom"/>
          </w:tcPr>
          <w:p>
            <w:pPr>
              <w:jc w:val="center"/>
              <w:ind w:left="219"/>
              <w:spacing w:after="0"/>
              <w:rPr>
                <w:sz w:val="20"/>
                <w:szCs w:val="20"/>
                <w:color w:val="auto"/>
              </w:rPr>
            </w:pPr>
            <w:r>
              <w:rPr>
                <w:rFonts w:ascii="Arial" w:cs="Arial" w:eastAsia="Arial" w:hAnsi="Arial"/>
                <w:sz w:val="16"/>
                <w:szCs w:val="16"/>
                <w:color w:val="auto"/>
                <w:w w:val="96"/>
              </w:rPr>
              <w:t>8-K</w:t>
            </w:r>
          </w:p>
        </w:tc>
      </w:tr>
      <w:tr>
        <w:trPr>
          <w:trHeight w:val="206"/>
        </w:trPr>
        <w:tc>
          <w:tcPr>
            <w:tcW w:w="860" w:type="dxa"/>
            <w:vAlign w:val="bottom"/>
          </w:tcPr>
          <w:p>
            <w:pPr>
              <w:spacing w:after="0"/>
              <w:rPr>
                <w:sz w:val="17"/>
                <w:szCs w:val="17"/>
                <w:color w:val="auto"/>
              </w:rPr>
            </w:pPr>
          </w:p>
        </w:tc>
        <w:tc>
          <w:tcPr>
            <w:tcW w:w="7040" w:type="dxa"/>
            <w:vAlign w:val="bottom"/>
          </w:tcPr>
          <w:p>
            <w:pPr>
              <w:ind w:left="160"/>
              <w:spacing w:after="0"/>
              <w:rPr>
                <w:sz w:val="20"/>
                <w:szCs w:val="20"/>
                <w:color w:val="auto"/>
              </w:rPr>
            </w:pPr>
            <w:r>
              <w:rPr>
                <w:rFonts w:ascii="Arial" w:cs="Arial" w:eastAsia="Arial" w:hAnsi="Arial"/>
                <w:sz w:val="16"/>
                <w:szCs w:val="16"/>
                <w:color w:val="auto"/>
              </w:rPr>
              <w:t>Square 1 Bank, ClearOne Communications, Inc., NetStreams Inc., and NetStreams, LLC.</w:t>
            </w:r>
          </w:p>
        </w:tc>
        <w:tc>
          <w:tcPr>
            <w:tcW w:w="660" w:type="dxa"/>
            <w:vAlign w:val="bottom"/>
          </w:tcPr>
          <w:p>
            <w:pPr>
              <w:spacing w:after="0"/>
              <w:rPr>
                <w:sz w:val="17"/>
                <w:szCs w:val="17"/>
                <w:color w:val="auto"/>
              </w:rPr>
            </w:pPr>
          </w:p>
        </w:tc>
      </w:tr>
      <w:tr>
        <w:trPr>
          <w:trHeight w:val="257"/>
        </w:trPr>
        <w:tc>
          <w:tcPr>
            <w:tcW w:w="860" w:type="dxa"/>
            <w:vAlign w:val="bottom"/>
          </w:tcPr>
          <w:p>
            <w:pPr>
              <w:spacing w:after="0"/>
              <w:rPr>
                <w:sz w:val="20"/>
                <w:szCs w:val="20"/>
                <w:color w:val="auto"/>
              </w:rPr>
            </w:pPr>
            <w:r>
              <w:rPr>
                <w:rFonts w:ascii="Arial" w:cs="Arial" w:eastAsia="Arial" w:hAnsi="Arial"/>
                <w:sz w:val="16"/>
                <w:szCs w:val="16"/>
                <w:color w:val="auto"/>
              </w:rPr>
              <w:t>14.1</w:t>
            </w:r>
          </w:p>
        </w:tc>
        <w:tc>
          <w:tcPr>
            <w:tcW w:w="7040" w:type="dxa"/>
            <w:vAlign w:val="bottom"/>
          </w:tcPr>
          <w:p>
            <w:pPr>
              <w:ind w:left="160"/>
              <w:spacing w:after="0"/>
              <w:rPr>
                <w:sz w:val="20"/>
                <w:szCs w:val="20"/>
                <w:color w:val="auto"/>
              </w:rPr>
            </w:pPr>
            <w:r>
              <w:rPr>
                <w:rFonts w:ascii="Arial" w:cs="Arial" w:eastAsia="Arial" w:hAnsi="Arial"/>
                <w:sz w:val="16"/>
                <w:szCs w:val="16"/>
                <w:color w:val="auto"/>
              </w:rPr>
              <w:t>Code of Ethics, approved by the Board of Directors on August 23, 2006</w:t>
            </w:r>
          </w:p>
        </w:tc>
        <w:tc>
          <w:tcPr>
            <w:tcW w:w="660" w:type="dxa"/>
            <w:vAlign w:val="bottom"/>
          </w:tcPr>
          <w:p>
            <w:pPr>
              <w:jc w:val="center"/>
              <w:ind w:left="239"/>
              <w:spacing w:after="0"/>
              <w:rPr>
                <w:sz w:val="20"/>
                <w:szCs w:val="20"/>
                <w:color w:val="auto"/>
              </w:rPr>
            </w:pPr>
            <w:r>
              <w:rPr>
                <w:rFonts w:ascii="Arial" w:cs="Arial" w:eastAsia="Arial" w:hAnsi="Arial"/>
                <w:sz w:val="16"/>
                <w:szCs w:val="16"/>
                <w:color w:val="auto"/>
              </w:rPr>
              <w:t>10-K</w:t>
            </w:r>
          </w:p>
        </w:tc>
      </w:tr>
      <w:tr>
        <w:trPr>
          <w:trHeight w:val="270"/>
        </w:trPr>
        <w:tc>
          <w:tcPr>
            <w:tcW w:w="860" w:type="dxa"/>
            <w:vAlign w:val="bottom"/>
          </w:tcPr>
          <w:p>
            <w:pPr>
              <w:spacing w:after="0"/>
              <w:rPr>
                <w:sz w:val="20"/>
                <w:szCs w:val="20"/>
                <w:color w:val="auto"/>
              </w:rPr>
            </w:pPr>
            <w:r>
              <w:rPr>
                <w:rFonts w:ascii="Arial" w:cs="Arial" w:eastAsia="Arial" w:hAnsi="Arial"/>
                <w:sz w:val="16"/>
                <w:szCs w:val="16"/>
                <w:color w:val="auto"/>
              </w:rPr>
              <w:t>3.1</w:t>
            </w:r>
          </w:p>
        </w:tc>
        <w:tc>
          <w:tcPr>
            <w:tcW w:w="7040" w:type="dxa"/>
            <w:vAlign w:val="bottom"/>
          </w:tcPr>
          <w:p>
            <w:pPr>
              <w:ind w:left="160"/>
              <w:spacing w:after="0"/>
              <w:rPr>
                <w:sz w:val="20"/>
                <w:szCs w:val="20"/>
                <w:color w:val="auto"/>
              </w:rPr>
            </w:pPr>
            <w:r>
              <w:rPr>
                <w:rFonts w:ascii="Arial" w:cs="Arial" w:eastAsia="Arial" w:hAnsi="Arial"/>
                <w:sz w:val="16"/>
                <w:szCs w:val="16"/>
                <w:color w:val="auto"/>
              </w:rPr>
              <w:t>Amended and Restated Articles of Incorporation of ClearOne, Inc.</w:t>
            </w:r>
          </w:p>
        </w:tc>
        <w:tc>
          <w:tcPr>
            <w:tcW w:w="660" w:type="dxa"/>
            <w:vAlign w:val="bottom"/>
          </w:tcPr>
          <w:p>
            <w:pPr>
              <w:ind w:left="240"/>
              <w:spacing w:after="0"/>
              <w:rPr>
                <w:sz w:val="20"/>
                <w:szCs w:val="20"/>
                <w:color w:val="auto"/>
              </w:rPr>
            </w:pPr>
            <w:r>
              <w:rPr>
                <w:rFonts w:ascii="Arial" w:cs="Arial" w:eastAsia="Arial" w:hAnsi="Arial"/>
                <w:sz w:val="16"/>
                <w:szCs w:val="16"/>
                <w:color w:val="auto"/>
              </w:rPr>
              <w:t>10-K</w:t>
            </w:r>
          </w:p>
        </w:tc>
      </w:tr>
      <w:tr>
        <w:trPr>
          <w:trHeight w:val="270"/>
        </w:trPr>
        <w:tc>
          <w:tcPr>
            <w:tcW w:w="860" w:type="dxa"/>
            <w:vAlign w:val="bottom"/>
          </w:tcPr>
          <w:p>
            <w:pPr>
              <w:spacing w:after="0"/>
              <w:rPr>
                <w:sz w:val="20"/>
                <w:szCs w:val="20"/>
                <w:color w:val="auto"/>
              </w:rPr>
            </w:pPr>
            <w:r>
              <w:rPr>
                <w:rFonts w:ascii="Arial" w:cs="Arial" w:eastAsia="Arial" w:hAnsi="Arial"/>
                <w:sz w:val="16"/>
                <w:szCs w:val="16"/>
                <w:color w:val="auto"/>
              </w:rPr>
              <w:t>21.1</w:t>
            </w:r>
          </w:p>
        </w:tc>
        <w:tc>
          <w:tcPr>
            <w:tcW w:w="7040" w:type="dxa"/>
            <w:vAlign w:val="bottom"/>
          </w:tcPr>
          <w:p>
            <w:pPr>
              <w:ind w:left="160"/>
              <w:spacing w:after="0"/>
              <w:rPr>
                <w:sz w:val="20"/>
                <w:szCs w:val="20"/>
                <w:color w:val="auto"/>
              </w:rPr>
            </w:pPr>
            <w:r>
              <w:rPr>
                <w:rFonts w:ascii="Arial" w:cs="Arial" w:eastAsia="Arial" w:hAnsi="Arial"/>
                <w:sz w:val="16"/>
                <w:szCs w:val="16"/>
                <w:color w:val="auto"/>
              </w:rPr>
              <w:t>Subsidiaries of the registrant</w:t>
            </w:r>
          </w:p>
        </w:tc>
        <w:tc>
          <w:tcPr>
            <w:tcW w:w="660" w:type="dxa"/>
            <w:vAlign w:val="bottom"/>
          </w:tcPr>
          <w:p>
            <w:pPr>
              <w:ind w:left="240"/>
              <w:spacing w:after="0"/>
              <w:rPr>
                <w:sz w:val="20"/>
                <w:szCs w:val="20"/>
                <w:color w:val="auto"/>
              </w:rPr>
            </w:pPr>
            <w:r>
              <w:rPr>
                <w:rFonts w:ascii="Arial" w:cs="Arial" w:eastAsia="Arial" w:hAnsi="Arial"/>
                <w:sz w:val="16"/>
                <w:szCs w:val="16"/>
                <w:color w:val="auto"/>
              </w:rPr>
              <w:t>10-K</w:t>
            </w:r>
          </w:p>
        </w:tc>
      </w:tr>
      <w:tr>
        <w:trPr>
          <w:trHeight w:val="270"/>
        </w:trPr>
        <w:tc>
          <w:tcPr>
            <w:tcW w:w="860" w:type="dxa"/>
            <w:vAlign w:val="bottom"/>
          </w:tcPr>
          <w:p>
            <w:pPr>
              <w:spacing w:after="0"/>
              <w:rPr>
                <w:sz w:val="20"/>
                <w:szCs w:val="20"/>
                <w:color w:val="auto"/>
              </w:rPr>
            </w:pPr>
            <w:r>
              <w:rPr>
                <w:rFonts w:ascii="Arial" w:cs="Arial" w:eastAsia="Arial" w:hAnsi="Arial"/>
                <w:sz w:val="16"/>
                <w:szCs w:val="16"/>
                <w:color w:val="auto"/>
              </w:rPr>
              <w:t>23.1</w:t>
            </w:r>
          </w:p>
        </w:tc>
        <w:tc>
          <w:tcPr>
            <w:tcW w:w="7040" w:type="dxa"/>
            <w:vAlign w:val="bottom"/>
          </w:tcPr>
          <w:p>
            <w:pPr>
              <w:ind w:left="160"/>
              <w:spacing w:after="0"/>
              <w:rPr>
                <w:sz w:val="20"/>
                <w:szCs w:val="20"/>
                <w:color w:val="auto"/>
              </w:rPr>
            </w:pPr>
            <w:r>
              <w:rPr>
                <w:rFonts w:ascii="Arial" w:cs="Arial" w:eastAsia="Arial" w:hAnsi="Arial"/>
                <w:sz w:val="16"/>
                <w:szCs w:val="16"/>
                <w:color w:val="auto"/>
              </w:rPr>
              <w:t>Consent of McGladrey LLP, Independent Registered Public Accounting Firm</w:t>
            </w:r>
          </w:p>
        </w:tc>
        <w:tc>
          <w:tcPr>
            <w:tcW w:w="660" w:type="dxa"/>
            <w:vAlign w:val="bottom"/>
          </w:tcPr>
          <w:p>
            <w:pPr>
              <w:ind w:left="240"/>
              <w:spacing w:after="0"/>
              <w:rPr>
                <w:sz w:val="20"/>
                <w:szCs w:val="20"/>
                <w:color w:val="auto"/>
              </w:rPr>
            </w:pPr>
            <w:r>
              <w:rPr>
                <w:rFonts w:ascii="Arial" w:cs="Arial" w:eastAsia="Arial" w:hAnsi="Arial"/>
                <w:sz w:val="16"/>
                <w:szCs w:val="16"/>
                <w:color w:val="auto"/>
              </w:rPr>
              <w:t>10-K</w:t>
            </w:r>
          </w:p>
        </w:tc>
      </w:tr>
      <w:tr>
        <w:trPr>
          <w:trHeight w:val="270"/>
        </w:trPr>
        <w:tc>
          <w:tcPr>
            <w:tcW w:w="860" w:type="dxa"/>
            <w:vAlign w:val="bottom"/>
          </w:tcPr>
          <w:p>
            <w:pPr>
              <w:spacing w:after="0"/>
              <w:rPr>
                <w:sz w:val="20"/>
                <w:szCs w:val="20"/>
                <w:color w:val="auto"/>
              </w:rPr>
            </w:pPr>
            <w:r>
              <w:rPr>
                <w:rFonts w:ascii="Arial" w:cs="Arial" w:eastAsia="Arial" w:hAnsi="Arial"/>
                <w:sz w:val="16"/>
                <w:szCs w:val="16"/>
                <w:color w:val="auto"/>
              </w:rPr>
              <w:t>23.2</w:t>
            </w:r>
          </w:p>
        </w:tc>
        <w:tc>
          <w:tcPr>
            <w:tcW w:w="7040" w:type="dxa"/>
            <w:vAlign w:val="bottom"/>
          </w:tcPr>
          <w:p>
            <w:pPr>
              <w:ind w:left="160"/>
              <w:spacing w:after="0"/>
              <w:rPr>
                <w:sz w:val="20"/>
                <w:szCs w:val="20"/>
                <w:color w:val="auto"/>
              </w:rPr>
            </w:pPr>
            <w:r>
              <w:rPr>
                <w:rFonts w:ascii="Arial" w:cs="Arial" w:eastAsia="Arial" w:hAnsi="Arial"/>
                <w:sz w:val="16"/>
                <w:szCs w:val="16"/>
                <w:color w:val="auto"/>
              </w:rPr>
              <w:t>Consent of Jones Simkins P.C., Independent Registered Public Accounting Firm</w:t>
            </w:r>
          </w:p>
        </w:tc>
        <w:tc>
          <w:tcPr>
            <w:tcW w:w="660" w:type="dxa"/>
            <w:vAlign w:val="bottom"/>
          </w:tcPr>
          <w:p>
            <w:pPr>
              <w:ind w:left="240"/>
              <w:spacing w:after="0"/>
              <w:rPr>
                <w:sz w:val="20"/>
                <w:szCs w:val="20"/>
                <w:color w:val="auto"/>
              </w:rPr>
            </w:pPr>
            <w:r>
              <w:rPr>
                <w:rFonts w:ascii="Arial" w:cs="Arial" w:eastAsia="Arial" w:hAnsi="Arial"/>
                <w:sz w:val="16"/>
                <w:szCs w:val="16"/>
                <w:color w:val="auto"/>
              </w:rPr>
              <w:t>10-K</w:t>
            </w:r>
          </w:p>
        </w:tc>
      </w:tr>
      <w:tr>
        <w:trPr>
          <w:trHeight w:val="270"/>
        </w:trPr>
        <w:tc>
          <w:tcPr>
            <w:tcW w:w="860" w:type="dxa"/>
            <w:vAlign w:val="bottom"/>
          </w:tcPr>
          <w:p>
            <w:pPr>
              <w:spacing w:after="0"/>
              <w:rPr>
                <w:sz w:val="20"/>
                <w:szCs w:val="20"/>
                <w:color w:val="auto"/>
              </w:rPr>
            </w:pPr>
            <w:r>
              <w:rPr>
                <w:rFonts w:ascii="Arial" w:cs="Arial" w:eastAsia="Arial" w:hAnsi="Arial"/>
                <w:sz w:val="16"/>
                <w:szCs w:val="16"/>
                <w:color w:val="auto"/>
              </w:rPr>
              <w:t>31.1</w:t>
            </w:r>
          </w:p>
        </w:tc>
        <w:tc>
          <w:tcPr>
            <w:tcW w:w="7040" w:type="dxa"/>
            <w:vAlign w:val="bottom"/>
          </w:tcPr>
          <w:p>
            <w:pPr>
              <w:ind w:left="160"/>
              <w:spacing w:after="0"/>
              <w:rPr>
                <w:sz w:val="20"/>
                <w:szCs w:val="20"/>
                <w:color w:val="auto"/>
              </w:rPr>
            </w:pPr>
            <w:r>
              <w:rPr>
                <w:rFonts w:ascii="Arial" w:cs="Arial" w:eastAsia="Arial" w:hAnsi="Arial"/>
                <w:sz w:val="16"/>
                <w:szCs w:val="16"/>
                <w:color w:val="auto"/>
              </w:rPr>
              <w:t>Section 302 Certification of Chief Executive Officer</w:t>
            </w:r>
          </w:p>
        </w:tc>
        <w:tc>
          <w:tcPr>
            <w:tcW w:w="660" w:type="dxa"/>
            <w:vAlign w:val="bottom"/>
          </w:tcPr>
          <w:p>
            <w:pPr>
              <w:ind w:left="240"/>
              <w:spacing w:after="0"/>
              <w:rPr>
                <w:sz w:val="20"/>
                <w:szCs w:val="20"/>
                <w:color w:val="auto"/>
              </w:rPr>
            </w:pPr>
            <w:r>
              <w:rPr>
                <w:rFonts w:ascii="Arial" w:cs="Arial" w:eastAsia="Arial" w:hAnsi="Arial"/>
                <w:sz w:val="16"/>
                <w:szCs w:val="16"/>
                <w:color w:val="auto"/>
              </w:rPr>
              <w:t>10-K</w:t>
            </w:r>
          </w:p>
        </w:tc>
      </w:tr>
      <w:tr>
        <w:trPr>
          <w:trHeight w:val="270"/>
        </w:trPr>
        <w:tc>
          <w:tcPr>
            <w:tcW w:w="860" w:type="dxa"/>
            <w:vAlign w:val="bottom"/>
          </w:tcPr>
          <w:p>
            <w:pPr>
              <w:spacing w:after="0"/>
              <w:rPr>
                <w:sz w:val="20"/>
                <w:szCs w:val="20"/>
                <w:color w:val="auto"/>
              </w:rPr>
            </w:pPr>
            <w:r>
              <w:rPr>
                <w:rFonts w:ascii="Arial" w:cs="Arial" w:eastAsia="Arial" w:hAnsi="Arial"/>
                <w:sz w:val="16"/>
                <w:szCs w:val="16"/>
                <w:color w:val="auto"/>
              </w:rPr>
              <w:t>31.2</w:t>
            </w:r>
          </w:p>
        </w:tc>
        <w:tc>
          <w:tcPr>
            <w:tcW w:w="7040" w:type="dxa"/>
            <w:vAlign w:val="bottom"/>
          </w:tcPr>
          <w:p>
            <w:pPr>
              <w:ind w:left="160"/>
              <w:spacing w:after="0"/>
              <w:rPr>
                <w:sz w:val="20"/>
                <w:szCs w:val="20"/>
                <w:color w:val="auto"/>
              </w:rPr>
            </w:pPr>
            <w:r>
              <w:rPr>
                <w:rFonts w:ascii="Arial" w:cs="Arial" w:eastAsia="Arial" w:hAnsi="Arial"/>
                <w:sz w:val="16"/>
                <w:szCs w:val="16"/>
                <w:color w:val="auto"/>
              </w:rPr>
              <w:t>Section 302 Certification of Chief Financial Officer</w:t>
            </w:r>
          </w:p>
        </w:tc>
        <w:tc>
          <w:tcPr>
            <w:tcW w:w="660" w:type="dxa"/>
            <w:vAlign w:val="bottom"/>
          </w:tcPr>
          <w:p>
            <w:pPr>
              <w:ind w:left="240"/>
              <w:spacing w:after="0"/>
              <w:rPr>
                <w:sz w:val="20"/>
                <w:szCs w:val="20"/>
                <w:color w:val="auto"/>
              </w:rPr>
            </w:pPr>
            <w:r>
              <w:rPr>
                <w:rFonts w:ascii="Arial" w:cs="Arial" w:eastAsia="Arial" w:hAnsi="Arial"/>
                <w:sz w:val="16"/>
                <w:szCs w:val="16"/>
                <w:color w:val="auto"/>
              </w:rPr>
              <w:t>10-K</w:t>
            </w:r>
          </w:p>
        </w:tc>
      </w:tr>
      <w:tr>
        <w:trPr>
          <w:trHeight w:val="270"/>
        </w:trPr>
        <w:tc>
          <w:tcPr>
            <w:tcW w:w="860" w:type="dxa"/>
            <w:vAlign w:val="bottom"/>
          </w:tcPr>
          <w:p>
            <w:pPr>
              <w:spacing w:after="0"/>
              <w:rPr>
                <w:sz w:val="20"/>
                <w:szCs w:val="20"/>
                <w:color w:val="auto"/>
              </w:rPr>
            </w:pPr>
            <w:r>
              <w:rPr>
                <w:rFonts w:ascii="Arial" w:cs="Arial" w:eastAsia="Arial" w:hAnsi="Arial"/>
                <w:sz w:val="16"/>
                <w:szCs w:val="16"/>
                <w:color w:val="auto"/>
              </w:rPr>
              <w:t>31.3†</w:t>
            </w:r>
          </w:p>
        </w:tc>
        <w:tc>
          <w:tcPr>
            <w:tcW w:w="7040" w:type="dxa"/>
            <w:vAlign w:val="bottom"/>
          </w:tcPr>
          <w:p>
            <w:pPr>
              <w:ind w:left="160"/>
              <w:spacing w:after="0"/>
              <w:rPr>
                <w:sz w:val="20"/>
                <w:szCs w:val="20"/>
                <w:color w:val="auto"/>
              </w:rPr>
            </w:pPr>
            <w:r>
              <w:rPr>
                <w:rFonts w:ascii="Arial" w:cs="Arial" w:eastAsia="Arial" w:hAnsi="Arial"/>
                <w:sz w:val="16"/>
                <w:szCs w:val="16"/>
                <w:color w:val="auto"/>
              </w:rPr>
              <w:t>Section 302 Certification of Chief Executive Officer</w:t>
            </w:r>
          </w:p>
        </w:tc>
        <w:tc>
          <w:tcPr>
            <w:tcW w:w="660" w:type="dxa"/>
            <w:vAlign w:val="bottom"/>
          </w:tcPr>
          <w:p>
            <w:pPr>
              <w:spacing w:after="0"/>
              <w:rPr>
                <w:sz w:val="23"/>
                <w:szCs w:val="23"/>
                <w:color w:val="auto"/>
              </w:rPr>
            </w:pPr>
          </w:p>
        </w:tc>
      </w:tr>
      <w:tr>
        <w:trPr>
          <w:trHeight w:val="270"/>
        </w:trPr>
        <w:tc>
          <w:tcPr>
            <w:tcW w:w="860" w:type="dxa"/>
            <w:vAlign w:val="bottom"/>
          </w:tcPr>
          <w:p>
            <w:pPr>
              <w:spacing w:after="0"/>
              <w:rPr>
                <w:sz w:val="20"/>
                <w:szCs w:val="20"/>
                <w:color w:val="auto"/>
              </w:rPr>
            </w:pPr>
            <w:r>
              <w:rPr>
                <w:rFonts w:ascii="Arial" w:cs="Arial" w:eastAsia="Arial" w:hAnsi="Arial"/>
                <w:sz w:val="16"/>
                <w:szCs w:val="16"/>
                <w:color w:val="auto"/>
              </w:rPr>
              <w:t>31.4†</w:t>
            </w:r>
          </w:p>
        </w:tc>
        <w:tc>
          <w:tcPr>
            <w:tcW w:w="7040" w:type="dxa"/>
            <w:vAlign w:val="bottom"/>
          </w:tcPr>
          <w:p>
            <w:pPr>
              <w:ind w:left="160"/>
              <w:spacing w:after="0"/>
              <w:rPr>
                <w:sz w:val="20"/>
                <w:szCs w:val="20"/>
                <w:color w:val="auto"/>
              </w:rPr>
            </w:pPr>
            <w:r>
              <w:rPr>
                <w:rFonts w:ascii="Arial" w:cs="Arial" w:eastAsia="Arial" w:hAnsi="Arial"/>
                <w:sz w:val="16"/>
                <w:szCs w:val="16"/>
                <w:color w:val="auto"/>
              </w:rPr>
              <w:t>Section 302 Certification of Chief Financial Officer</w:t>
            </w:r>
          </w:p>
        </w:tc>
        <w:tc>
          <w:tcPr>
            <w:tcW w:w="660" w:type="dxa"/>
            <w:vAlign w:val="bottom"/>
          </w:tcPr>
          <w:p>
            <w:pPr>
              <w:spacing w:after="0"/>
              <w:rPr>
                <w:sz w:val="23"/>
                <w:szCs w:val="23"/>
                <w:color w:val="auto"/>
              </w:rPr>
            </w:pPr>
          </w:p>
        </w:tc>
      </w:tr>
      <w:tr>
        <w:trPr>
          <w:trHeight w:val="270"/>
        </w:trPr>
        <w:tc>
          <w:tcPr>
            <w:tcW w:w="860" w:type="dxa"/>
            <w:vAlign w:val="bottom"/>
          </w:tcPr>
          <w:p>
            <w:pPr>
              <w:spacing w:after="0"/>
              <w:rPr>
                <w:sz w:val="20"/>
                <w:szCs w:val="20"/>
                <w:color w:val="auto"/>
              </w:rPr>
            </w:pPr>
            <w:r>
              <w:rPr>
                <w:rFonts w:ascii="Arial" w:cs="Arial" w:eastAsia="Arial" w:hAnsi="Arial"/>
                <w:sz w:val="16"/>
                <w:szCs w:val="16"/>
                <w:color w:val="auto"/>
              </w:rPr>
              <w:t>32.1</w:t>
            </w:r>
          </w:p>
        </w:tc>
        <w:tc>
          <w:tcPr>
            <w:tcW w:w="7040" w:type="dxa"/>
            <w:vAlign w:val="bottom"/>
          </w:tcPr>
          <w:p>
            <w:pPr>
              <w:ind w:left="160"/>
              <w:spacing w:after="0"/>
              <w:rPr>
                <w:sz w:val="20"/>
                <w:szCs w:val="20"/>
                <w:color w:val="auto"/>
              </w:rPr>
            </w:pPr>
            <w:r>
              <w:rPr>
                <w:rFonts w:ascii="Arial" w:cs="Arial" w:eastAsia="Arial" w:hAnsi="Arial"/>
                <w:sz w:val="16"/>
                <w:szCs w:val="16"/>
                <w:color w:val="auto"/>
              </w:rPr>
              <w:t>Section 906 Certification of Chief Executive Officer</w:t>
            </w:r>
          </w:p>
        </w:tc>
        <w:tc>
          <w:tcPr>
            <w:tcW w:w="660" w:type="dxa"/>
            <w:vAlign w:val="bottom"/>
          </w:tcPr>
          <w:p>
            <w:pPr>
              <w:ind w:left="240"/>
              <w:spacing w:after="0"/>
              <w:rPr>
                <w:sz w:val="20"/>
                <w:szCs w:val="20"/>
                <w:color w:val="auto"/>
              </w:rPr>
            </w:pPr>
            <w:r>
              <w:rPr>
                <w:rFonts w:ascii="Arial" w:cs="Arial" w:eastAsia="Arial" w:hAnsi="Arial"/>
                <w:sz w:val="16"/>
                <w:szCs w:val="16"/>
                <w:color w:val="auto"/>
              </w:rPr>
              <w:t>10-K</w:t>
            </w:r>
          </w:p>
        </w:tc>
      </w:tr>
      <w:tr>
        <w:trPr>
          <w:trHeight w:val="270"/>
        </w:trPr>
        <w:tc>
          <w:tcPr>
            <w:tcW w:w="860" w:type="dxa"/>
            <w:vAlign w:val="bottom"/>
          </w:tcPr>
          <w:p>
            <w:pPr>
              <w:spacing w:after="0"/>
              <w:rPr>
                <w:sz w:val="20"/>
                <w:szCs w:val="20"/>
                <w:color w:val="auto"/>
              </w:rPr>
            </w:pPr>
            <w:r>
              <w:rPr>
                <w:rFonts w:ascii="Arial" w:cs="Arial" w:eastAsia="Arial" w:hAnsi="Arial"/>
                <w:sz w:val="16"/>
                <w:szCs w:val="16"/>
                <w:color w:val="auto"/>
              </w:rPr>
              <w:t>32.2</w:t>
            </w:r>
          </w:p>
        </w:tc>
        <w:tc>
          <w:tcPr>
            <w:tcW w:w="7040" w:type="dxa"/>
            <w:vAlign w:val="bottom"/>
          </w:tcPr>
          <w:p>
            <w:pPr>
              <w:ind w:left="160"/>
              <w:spacing w:after="0"/>
              <w:rPr>
                <w:sz w:val="20"/>
                <w:szCs w:val="20"/>
                <w:color w:val="auto"/>
              </w:rPr>
            </w:pPr>
            <w:r>
              <w:rPr>
                <w:rFonts w:ascii="Arial" w:cs="Arial" w:eastAsia="Arial" w:hAnsi="Arial"/>
                <w:sz w:val="16"/>
                <w:szCs w:val="16"/>
                <w:color w:val="auto"/>
              </w:rPr>
              <w:t>Section 906 Certification of Chief Financial Officer</w:t>
            </w:r>
          </w:p>
        </w:tc>
        <w:tc>
          <w:tcPr>
            <w:tcW w:w="660" w:type="dxa"/>
            <w:vAlign w:val="bottom"/>
          </w:tcPr>
          <w:p>
            <w:pPr>
              <w:ind w:left="240"/>
              <w:spacing w:after="0"/>
              <w:rPr>
                <w:sz w:val="20"/>
                <w:szCs w:val="20"/>
                <w:color w:val="auto"/>
              </w:rPr>
            </w:pPr>
            <w:r>
              <w:rPr>
                <w:rFonts w:ascii="Arial" w:cs="Arial" w:eastAsia="Arial" w:hAnsi="Arial"/>
                <w:sz w:val="16"/>
                <w:szCs w:val="16"/>
                <w:color w:val="auto"/>
              </w:rPr>
              <w:t>10-K</w:t>
            </w:r>
          </w:p>
        </w:tc>
      </w:tr>
      <w:tr>
        <w:trPr>
          <w:trHeight w:val="270"/>
        </w:trPr>
        <w:tc>
          <w:tcPr>
            <w:tcW w:w="860" w:type="dxa"/>
            <w:vAlign w:val="bottom"/>
          </w:tcPr>
          <w:p>
            <w:pPr>
              <w:spacing w:after="0"/>
              <w:rPr>
                <w:sz w:val="20"/>
                <w:szCs w:val="20"/>
                <w:color w:val="auto"/>
              </w:rPr>
            </w:pPr>
            <w:r>
              <w:rPr>
                <w:rFonts w:ascii="Arial" w:cs="Arial" w:eastAsia="Arial" w:hAnsi="Arial"/>
                <w:sz w:val="16"/>
                <w:szCs w:val="16"/>
                <w:color w:val="auto"/>
              </w:rPr>
              <w:t>101.INS‡</w:t>
            </w:r>
          </w:p>
        </w:tc>
        <w:tc>
          <w:tcPr>
            <w:tcW w:w="7040" w:type="dxa"/>
            <w:vAlign w:val="bottom"/>
          </w:tcPr>
          <w:p>
            <w:pPr>
              <w:ind w:left="160"/>
              <w:spacing w:after="0"/>
              <w:rPr>
                <w:sz w:val="20"/>
                <w:szCs w:val="20"/>
                <w:color w:val="auto"/>
              </w:rPr>
            </w:pPr>
            <w:r>
              <w:rPr>
                <w:rFonts w:ascii="Arial" w:cs="Arial" w:eastAsia="Arial" w:hAnsi="Arial"/>
                <w:sz w:val="16"/>
                <w:szCs w:val="16"/>
                <w:color w:val="auto"/>
              </w:rPr>
              <w:t>XBRL Instance Document</w:t>
            </w:r>
          </w:p>
        </w:tc>
        <w:tc>
          <w:tcPr>
            <w:tcW w:w="660" w:type="dxa"/>
            <w:vAlign w:val="bottom"/>
          </w:tcPr>
          <w:p>
            <w:pPr>
              <w:ind w:left="240"/>
              <w:spacing w:after="0"/>
              <w:rPr>
                <w:sz w:val="20"/>
                <w:szCs w:val="20"/>
                <w:color w:val="auto"/>
              </w:rPr>
            </w:pPr>
            <w:r>
              <w:rPr>
                <w:rFonts w:ascii="Arial" w:cs="Arial" w:eastAsia="Arial" w:hAnsi="Arial"/>
                <w:sz w:val="16"/>
                <w:szCs w:val="16"/>
                <w:color w:val="auto"/>
              </w:rPr>
              <w:t>10-K</w:t>
            </w:r>
          </w:p>
        </w:tc>
      </w:tr>
      <w:tr>
        <w:trPr>
          <w:trHeight w:val="270"/>
        </w:trPr>
        <w:tc>
          <w:tcPr>
            <w:tcW w:w="860" w:type="dxa"/>
            <w:vAlign w:val="bottom"/>
          </w:tcPr>
          <w:p>
            <w:pPr>
              <w:spacing w:after="0"/>
              <w:rPr>
                <w:sz w:val="20"/>
                <w:szCs w:val="20"/>
                <w:color w:val="auto"/>
              </w:rPr>
            </w:pPr>
            <w:r>
              <w:rPr>
                <w:rFonts w:ascii="Arial" w:cs="Arial" w:eastAsia="Arial" w:hAnsi="Arial"/>
                <w:sz w:val="16"/>
                <w:szCs w:val="16"/>
                <w:color w:val="auto"/>
              </w:rPr>
              <w:t>101.SCH‡</w:t>
            </w:r>
          </w:p>
        </w:tc>
        <w:tc>
          <w:tcPr>
            <w:tcW w:w="7040" w:type="dxa"/>
            <w:vAlign w:val="bottom"/>
          </w:tcPr>
          <w:p>
            <w:pPr>
              <w:ind w:left="160"/>
              <w:spacing w:after="0"/>
              <w:rPr>
                <w:sz w:val="20"/>
                <w:szCs w:val="20"/>
                <w:color w:val="auto"/>
              </w:rPr>
            </w:pPr>
            <w:r>
              <w:rPr>
                <w:rFonts w:ascii="Arial" w:cs="Arial" w:eastAsia="Arial" w:hAnsi="Arial"/>
                <w:sz w:val="16"/>
                <w:szCs w:val="16"/>
                <w:color w:val="auto"/>
              </w:rPr>
              <w:t>XBRL Taxonomy Extension Schema</w:t>
            </w:r>
          </w:p>
        </w:tc>
        <w:tc>
          <w:tcPr>
            <w:tcW w:w="660" w:type="dxa"/>
            <w:vAlign w:val="bottom"/>
          </w:tcPr>
          <w:p>
            <w:pPr>
              <w:ind w:left="240"/>
              <w:spacing w:after="0"/>
              <w:rPr>
                <w:sz w:val="20"/>
                <w:szCs w:val="20"/>
                <w:color w:val="auto"/>
              </w:rPr>
            </w:pPr>
            <w:r>
              <w:rPr>
                <w:rFonts w:ascii="Arial" w:cs="Arial" w:eastAsia="Arial" w:hAnsi="Arial"/>
                <w:sz w:val="16"/>
                <w:szCs w:val="16"/>
                <w:color w:val="auto"/>
              </w:rPr>
              <w:t>10-K</w:t>
            </w:r>
          </w:p>
        </w:tc>
      </w:tr>
      <w:tr>
        <w:trPr>
          <w:trHeight w:val="270"/>
        </w:trPr>
        <w:tc>
          <w:tcPr>
            <w:tcW w:w="860" w:type="dxa"/>
            <w:vAlign w:val="bottom"/>
          </w:tcPr>
          <w:p>
            <w:pPr>
              <w:spacing w:after="0"/>
              <w:rPr>
                <w:sz w:val="20"/>
                <w:szCs w:val="20"/>
                <w:color w:val="auto"/>
              </w:rPr>
            </w:pPr>
            <w:r>
              <w:rPr>
                <w:rFonts w:ascii="Arial" w:cs="Arial" w:eastAsia="Arial" w:hAnsi="Arial"/>
                <w:sz w:val="16"/>
                <w:szCs w:val="16"/>
                <w:color w:val="auto"/>
              </w:rPr>
              <w:t>101.CAL‡</w:t>
            </w:r>
          </w:p>
        </w:tc>
        <w:tc>
          <w:tcPr>
            <w:tcW w:w="7040" w:type="dxa"/>
            <w:vAlign w:val="bottom"/>
          </w:tcPr>
          <w:p>
            <w:pPr>
              <w:ind w:left="160"/>
              <w:spacing w:after="0"/>
              <w:rPr>
                <w:sz w:val="20"/>
                <w:szCs w:val="20"/>
                <w:color w:val="auto"/>
              </w:rPr>
            </w:pPr>
            <w:r>
              <w:rPr>
                <w:rFonts w:ascii="Arial" w:cs="Arial" w:eastAsia="Arial" w:hAnsi="Arial"/>
                <w:sz w:val="16"/>
                <w:szCs w:val="16"/>
                <w:color w:val="auto"/>
              </w:rPr>
              <w:t>XBRL Taxonomy Extension Calculation Linkbase</w:t>
            </w:r>
          </w:p>
        </w:tc>
        <w:tc>
          <w:tcPr>
            <w:tcW w:w="660" w:type="dxa"/>
            <w:vAlign w:val="bottom"/>
          </w:tcPr>
          <w:p>
            <w:pPr>
              <w:ind w:left="240"/>
              <w:spacing w:after="0"/>
              <w:rPr>
                <w:sz w:val="20"/>
                <w:szCs w:val="20"/>
                <w:color w:val="auto"/>
              </w:rPr>
            </w:pPr>
            <w:r>
              <w:rPr>
                <w:rFonts w:ascii="Arial" w:cs="Arial" w:eastAsia="Arial" w:hAnsi="Arial"/>
                <w:sz w:val="16"/>
                <w:szCs w:val="16"/>
                <w:color w:val="auto"/>
              </w:rPr>
              <w:t>10-K</w:t>
            </w:r>
          </w:p>
        </w:tc>
      </w:tr>
      <w:tr>
        <w:trPr>
          <w:trHeight w:val="270"/>
        </w:trPr>
        <w:tc>
          <w:tcPr>
            <w:tcW w:w="860" w:type="dxa"/>
            <w:vAlign w:val="bottom"/>
          </w:tcPr>
          <w:p>
            <w:pPr>
              <w:spacing w:after="0"/>
              <w:rPr>
                <w:sz w:val="20"/>
                <w:szCs w:val="20"/>
                <w:color w:val="auto"/>
              </w:rPr>
            </w:pPr>
            <w:r>
              <w:rPr>
                <w:rFonts w:ascii="Arial" w:cs="Arial" w:eastAsia="Arial" w:hAnsi="Arial"/>
                <w:sz w:val="16"/>
                <w:szCs w:val="16"/>
                <w:color w:val="auto"/>
              </w:rPr>
              <w:t>101.DEF‡</w:t>
            </w:r>
          </w:p>
        </w:tc>
        <w:tc>
          <w:tcPr>
            <w:tcW w:w="7040" w:type="dxa"/>
            <w:vAlign w:val="bottom"/>
          </w:tcPr>
          <w:p>
            <w:pPr>
              <w:ind w:left="160"/>
              <w:spacing w:after="0"/>
              <w:rPr>
                <w:sz w:val="20"/>
                <w:szCs w:val="20"/>
                <w:color w:val="auto"/>
              </w:rPr>
            </w:pPr>
            <w:r>
              <w:rPr>
                <w:rFonts w:ascii="Arial" w:cs="Arial" w:eastAsia="Arial" w:hAnsi="Arial"/>
                <w:sz w:val="16"/>
                <w:szCs w:val="16"/>
                <w:color w:val="auto"/>
              </w:rPr>
              <w:t>XBRL Taxonomy Extension Definitions Linkbase</w:t>
            </w:r>
          </w:p>
        </w:tc>
        <w:tc>
          <w:tcPr>
            <w:tcW w:w="660" w:type="dxa"/>
            <w:vAlign w:val="bottom"/>
          </w:tcPr>
          <w:p>
            <w:pPr>
              <w:ind w:left="240"/>
              <w:spacing w:after="0"/>
              <w:rPr>
                <w:sz w:val="20"/>
                <w:szCs w:val="20"/>
                <w:color w:val="auto"/>
              </w:rPr>
            </w:pPr>
            <w:r>
              <w:rPr>
                <w:rFonts w:ascii="Arial" w:cs="Arial" w:eastAsia="Arial" w:hAnsi="Arial"/>
                <w:sz w:val="16"/>
                <w:szCs w:val="16"/>
                <w:color w:val="auto"/>
              </w:rPr>
              <w:t>10-K</w:t>
            </w:r>
          </w:p>
        </w:tc>
      </w:tr>
      <w:tr>
        <w:trPr>
          <w:trHeight w:val="270"/>
        </w:trPr>
        <w:tc>
          <w:tcPr>
            <w:tcW w:w="860" w:type="dxa"/>
            <w:vAlign w:val="bottom"/>
          </w:tcPr>
          <w:p>
            <w:pPr>
              <w:spacing w:after="0"/>
              <w:rPr>
                <w:sz w:val="20"/>
                <w:szCs w:val="20"/>
                <w:color w:val="auto"/>
              </w:rPr>
            </w:pPr>
            <w:r>
              <w:rPr>
                <w:rFonts w:ascii="Arial" w:cs="Arial" w:eastAsia="Arial" w:hAnsi="Arial"/>
                <w:sz w:val="16"/>
                <w:szCs w:val="16"/>
                <w:color w:val="auto"/>
              </w:rPr>
              <w:t>101.LAB‡</w:t>
            </w:r>
          </w:p>
        </w:tc>
        <w:tc>
          <w:tcPr>
            <w:tcW w:w="7040" w:type="dxa"/>
            <w:vAlign w:val="bottom"/>
          </w:tcPr>
          <w:p>
            <w:pPr>
              <w:ind w:left="160"/>
              <w:spacing w:after="0"/>
              <w:rPr>
                <w:sz w:val="20"/>
                <w:szCs w:val="20"/>
                <w:color w:val="auto"/>
              </w:rPr>
            </w:pPr>
            <w:r>
              <w:rPr>
                <w:rFonts w:ascii="Arial" w:cs="Arial" w:eastAsia="Arial" w:hAnsi="Arial"/>
                <w:sz w:val="16"/>
                <w:szCs w:val="16"/>
                <w:color w:val="auto"/>
              </w:rPr>
              <w:t>XBRL Taxonomy Extension Label Linkbase</w:t>
            </w:r>
          </w:p>
        </w:tc>
        <w:tc>
          <w:tcPr>
            <w:tcW w:w="660" w:type="dxa"/>
            <w:vAlign w:val="bottom"/>
          </w:tcPr>
          <w:p>
            <w:pPr>
              <w:ind w:left="240"/>
              <w:spacing w:after="0"/>
              <w:rPr>
                <w:sz w:val="20"/>
                <w:szCs w:val="20"/>
                <w:color w:val="auto"/>
              </w:rPr>
            </w:pPr>
            <w:r>
              <w:rPr>
                <w:rFonts w:ascii="Arial" w:cs="Arial" w:eastAsia="Arial" w:hAnsi="Arial"/>
                <w:sz w:val="16"/>
                <w:szCs w:val="16"/>
                <w:color w:val="auto"/>
              </w:rPr>
              <w:t>10-K</w:t>
            </w:r>
          </w:p>
        </w:tc>
      </w:tr>
      <w:tr>
        <w:trPr>
          <w:trHeight w:val="270"/>
        </w:trPr>
        <w:tc>
          <w:tcPr>
            <w:tcW w:w="860" w:type="dxa"/>
            <w:vAlign w:val="bottom"/>
          </w:tcPr>
          <w:p>
            <w:pPr>
              <w:spacing w:after="0"/>
              <w:rPr>
                <w:sz w:val="20"/>
                <w:szCs w:val="20"/>
                <w:color w:val="auto"/>
              </w:rPr>
            </w:pPr>
            <w:r>
              <w:rPr>
                <w:rFonts w:ascii="Arial" w:cs="Arial" w:eastAsia="Arial" w:hAnsi="Arial"/>
                <w:sz w:val="16"/>
                <w:szCs w:val="16"/>
                <w:color w:val="auto"/>
              </w:rPr>
              <w:t>101.PRE‡</w:t>
            </w:r>
          </w:p>
        </w:tc>
        <w:tc>
          <w:tcPr>
            <w:tcW w:w="7040" w:type="dxa"/>
            <w:vAlign w:val="bottom"/>
          </w:tcPr>
          <w:p>
            <w:pPr>
              <w:ind w:left="160"/>
              <w:spacing w:after="0"/>
              <w:rPr>
                <w:sz w:val="20"/>
                <w:szCs w:val="20"/>
                <w:color w:val="auto"/>
              </w:rPr>
            </w:pPr>
            <w:r>
              <w:rPr>
                <w:rFonts w:ascii="Arial" w:cs="Arial" w:eastAsia="Arial" w:hAnsi="Arial"/>
                <w:sz w:val="16"/>
                <w:szCs w:val="16"/>
                <w:color w:val="auto"/>
              </w:rPr>
              <w:t>XBRL Taxonomy Extension Presentation Linkbase</w:t>
            </w:r>
          </w:p>
        </w:tc>
        <w:tc>
          <w:tcPr>
            <w:tcW w:w="660" w:type="dxa"/>
            <w:vAlign w:val="bottom"/>
          </w:tcPr>
          <w:p>
            <w:pPr>
              <w:ind w:left="240"/>
              <w:spacing w:after="0"/>
              <w:rPr>
                <w:sz w:val="20"/>
                <w:szCs w:val="20"/>
                <w:color w:val="auto"/>
              </w:rPr>
            </w:pPr>
            <w:r>
              <w:rPr>
                <w:rFonts w:ascii="Arial" w:cs="Arial" w:eastAsia="Arial" w:hAnsi="Arial"/>
                <w:sz w:val="16"/>
                <w:szCs w:val="16"/>
                <w:color w:val="auto"/>
              </w:rPr>
              <w:t>10-K</w:t>
            </w:r>
          </w:p>
        </w:tc>
      </w:tr>
    </w:tbl>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w:t>
      </w:r>
    </w:p>
    <w:p>
      <w:pPr>
        <w:spacing w:after="0" w:line="23" w:lineRule="exact"/>
        <w:rPr>
          <w:sz w:val="20"/>
          <w:szCs w:val="20"/>
          <w:color w:val="auto"/>
        </w:rPr>
      </w:pPr>
    </w:p>
    <w:p>
      <w:pPr>
        <w:ind w:left="120" w:hanging="112"/>
        <w:spacing w:after="0"/>
        <w:tabs>
          <w:tab w:leader="none" w:pos="1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Constitutes a management contract or compensatory plan or arrangement.</w:t>
      </w:r>
    </w:p>
    <w:p>
      <w:pPr>
        <w:spacing w:after="0" w:line="9"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 Filed herewith.</w:t>
      </w:r>
    </w:p>
    <w:p>
      <w:pPr>
        <w:spacing w:after="0" w:line="5"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 Information furnished herewith shall not be deemed to be “filed” for the purposes of Section 18 of the 1934 Act</w:t>
      </w:r>
    </w:p>
    <w:p>
      <w:pPr>
        <w:spacing w:after="0" w:line="20" w:lineRule="exact"/>
        <w:rPr>
          <w:sz w:val="20"/>
          <w:szCs w:val="20"/>
          <w:color w:val="auto"/>
        </w:rPr>
      </w:pPr>
      <w:r>
        <w:rPr>
          <w:sz w:val="20"/>
          <w:szCs w:val="20"/>
          <w:color w:val="auto"/>
        </w:rPr>
        <w:br w:type="column"/>
      </w:r>
    </w:p>
    <w:p>
      <w:pPr>
        <w:jc w:val="right"/>
        <w:ind w:right="20"/>
        <w:spacing w:after="0"/>
        <w:rPr>
          <w:sz w:val="20"/>
          <w:szCs w:val="20"/>
          <w:color w:val="auto"/>
        </w:rPr>
      </w:pPr>
      <w:r>
        <w:rPr>
          <w:rFonts w:ascii="Arial" w:cs="Arial" w:eastAsia="Arial" w:hAnsi="Arial"/>
          <w:sz w:val="16"/>
          <w:szCs w:val="16"/>
          <w:color w:val="auto"/>
        </w:rPr>
        <w:t>10.23</w:t>
      </w:r>
    </w:p>
    <w:p>
      <w:pPr>
        <w:spacing w:after="0" w:line="275"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auto"/>
        </w:rPr>
        <w:t>10.24</w:t>
      </w:r>
    </w:p>
    <w:p>
      <w:pPr>
        <w:spacing w:after="0" w:line="27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14.1</w:t>
      </w:r>
    </w:p>
    <w:p>
      <w:pPr>
        <w:spacing w:after="0" w:line="100" w:lineRule="exact"/>
        <w:rPr>
          <w:sz w:val="20"/>
          <w:szCs w:val="20"/>
          <w:color w:val="auto"/>
        </w:rPr>
      </w:pPr>
    </w:p>
    <w:p>
      <w:pPr>
        <w:ind w:left="420"/>
        <w:spacing w:after="0"/>
        <w:rPr>
          <w:sz w:val="20"/>
          <w:szCs w:val="20"/>
          <w:color w:val="auto"/>
        </w:rPr>
      </w:pPr>
      <w:r>
        <w:rPr>
          <w:rFonts w:ascii="Arial" w:cs="Arial" w:eastAsia="Arial" w:hAnsi="Arial"/>
          <w:sz w:val="16"/>
          <w:szCs w:val="16"/>
          <w:color w:val="auto"/>
        </w:rPr>
        <w:t>3.1</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21.1</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23.1</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23.2</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31.1</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31.2</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32.1</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32.2</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101.INS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101.SCH</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101.CAL</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101.DEF</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101.LAB</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101.PRE</w:t>
      </w:r>
    </w:p>
    <w:p>
      <w:pPr>
        <w:spacing w:after="0" w:line="20" w:lineRule="exact"/>
        <w:rPr>
          <w:sz w:val="20"/>
          <w:szCs w:val="20"/>
          <w:color w:val="auto"/>
        </w:rPr>
      </w:pPr>
      <w:r>
        <w:rPr>
          <w:sz w:val="20"/>
          <w:szCs w:val="20"/>
          <w:color w:val="auto"/>
        </w:rPr>
        <w:br w:type="column"/>
      </w:r>
    </w:p>
    <w:p>
      <w:pPr>
        <w:ind w:left="20"/>
        <w:spacing w:after="0"/>
        <w:rPr>
          <w:sz w:val="20"/>
          <w:szCs w:val="20"/>
          <w:color w:val="auto"/>
        </w:rPr>
      </w:pPr>
      <w:r>
        <w:rPr>
          <w:rFonts w:ascii="Arial" w:cs="Arial" w:eastAsia="Arial" w:hAnsi="Arial"/>
          <w:sz w:val="14"/>
          <w:szCs w:val="14"/>
          <w:color w:val="auto"/>
        </w:rPr>
        <w:t>11/09/09</w:t>
      </w:r>
    </w:p>
    <w:p>
      <w:pPr>
        <w:spacing w:after="0" w:line="298" w:lineRule="exact"/>
        <w:rPr>
          <w:sz w:val="20"/>
          <w:szCs w:val="20"/>
          <w:color w:val="auto"/>
        </w:rPr>
      </w:pPr>
    </w:p>
    <w:p>
      <w:pPr>
        <w:ind w:left="20"/>
        <w:spacing w:after="0"/>
        <w:rPr>
          <w:sz w:val="20"/>
          <w:szCs w:val="20"/>
          <w:color w:val="auto"/>
        </w:rPr>
      </w:pPr>
      <w:r>
        <w:rPr>
          <w:rFonts w:ascii="Arial" w:cs="Arial" w:eastAsia="Arial" w:hAnsi="Arial"/>
          <w:sz w:val="14"/>
          <w:szCs w:val="14"/>
          <w:color w:val="auto"/>
        </w:rPr>
        <w:t>11/09/09</w:t>
      </w:r>
    </w:p>
    <w:p>
      <w:pPr>
        <w:spacing w:after="0" w:line="298" w:lineRule="exact"/>
        <w:rPr>
          <w:sz w:val="20"/>
          <w:szCs w:val="20"/>
          <w:color w:val="auto"/>
        </w:rPr>
      </w:pPr>
    </w:p>
    <w:p>
      <w:pPr>
        <w:spacing w:after="0"/>
        <w:rPr>
          <w:sz w:val="20"/>
          <w:szCs w:val="20"/>
          <w:color w:val="auto"/>
        </w:rPr>
      </w:pPr>
      <w:r>
        <w:rPr>
          <w:rFonts w:ascii="Arial" w:cs="Arial" w:eastAsia="Arial" w:hAnsi="Arial"/>
          <w:sz w:val="14"/>
          <w:szCs w:val="14"/>
          <w:color w:val="auto"/>
        </w:rPr>
        <w:t>09/14/06</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03/25/13</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03/25/13</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03/25/13</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03/25/13</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03/25/13</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03/25/13</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4"/>
          <w:szCs w:val="14"/>
          <w:color w:val="auto"/>
        </w:rPr>
        <w:t>03/25/13</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03/25/13</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03/25/13</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03/25/13</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03/25/13</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03/25/13</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03/25/13</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03/25/13</w:t>
      </w:r>
    </w:p>
    <w:p>
      <w:pPr>
        <w:spacing w:after="0" w:line="1074" w:lineRule="exact"/>
        <w:rPr>
          <w:sz w:val="20"/>
          <w:szCs w:val="20"/>
          <w:color w:val="auto"/>
        </w:rPr>
      </w:pPr>
    </w:p>
    <w:p>
      <w:pPr>
        <w:sectPr>
          <w:pgSz w:w="11900" w:h="16838" w:orient="portrait"/>
          <w:cols w:equalWidth="0" w:num="3">
            <w:col w:w="8740" w:space="240"/>
            <w:col w:w="720" w:space="720"/>
            <w:col w:w="860"/>
          </w:cols>
          <w:pgMar w:left="240" w:top="580" w:right="379" w:bottom="1440" w:gutter="0" w:footer="0" w:header="0"/>
          <w:type w:val="continuous"/>
        </w:sectPr>
      </w:pPr>
    </w:p>
    <w:p>
      <w:pPr>
        <w:spacing w:after="0" w:line="200" w:lineRule="exact"/>
        <w:rPr>
          <w:sz w:val="20"/>
          <w:szCs w:val="20"/>
          <w:color w:val="auto"/>
        </w:rPr>
      </w:pPr>
    </w:p>
    <w:p>
      <w:pPr>
        <w:spacing w:after="0" w:line="262" w:lineRule="exact"/>
        <w:rPr>
          <w:sz w:val="20"/>
          <w:szCs w:val="20"/>
          <w:color w:val="auto"/>
        </w:rPr>
      </w:pPr>
    </w:p>
    <w:p>
      <w:pPr>
        <w:jc w:val="center"/>
        <w:ind w:right="-139"/>
        <w:spacing w:after="0"/>
        <w:rPr>
          <w:sz w:val="20"/>
          <w:szCs w:val="20"/>
          <w:color w:val="auto"/>
        </w:rPr>
      </w:pPr>
      <w:r>
        <w:rPr>
          <w:rFonts w:ascii="Arial" w:cs="Arial" w:eastAsia="Arial" w:hAnsi="Arial"/>
          <w:sz w:val="15"/>
          <w:szCs w:val="15"/>
          <w:color w:val="auto"/>
        </w:rPr>
        <w:t>| 9 |</w:t>
      </w:r>
    </w:p>
    <w:p>
      <w:pPr>
        <w:sectPr>
          <w:pgSz w:w="11900" w:h="16838" w:orient="portrait"/>
          <w:cols w:equalWidth="0" w:num="1">
            <w:col w:w="11280"/>
          </w:cols>
          <w:pgMar w:left="240" w:top="580" w:right="379" w:bottom="1440" w:gutter="0" w:footer="0" w:header="0"/>
          <w:type w:val="continuous"/>
        </w:sectPr>
      </w:pPr>
    </w:p>
    <w:bookmarkStart w:id="12" w:name="page13"/>
    <w:bookmarkEnd w:id="12"/>
    <w:p>
      <w:pPr>
        <w:jc w:val="center"/>
        <w:ind w:right="-139"/>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4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CLEARONE,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4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Zeynep Hakimoglu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5315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65315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Zeynep Hakimoglu</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Chief Executive Officer and Chairman of the Board</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April 30, 2013</w:t>
      </w:r>
    </w:p>
    <w:p>
      <w:pPr>
        <w:spacing w:after="0" w:line="25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349" w:lineRule="exact"/>
        <w:rPr>
          <w:sz w:val="20"/>
          <w:szCs w:val="20"/>
          <w:color w:val="auto"/>
        </w:rPr>
      </w:pPr>
    </w:p>
    <w:tbl>
      <w:tblPr>
        <w:tblLayout w:type="fixed"/>
        <w:tblInd w:w="140" w:type="dxa"/>
        <w:tblCellMar>
          <w:top w:w="0" w:type="dxa"/>
          <w:left w:w="0" w:type="dxa"/>
          <w:bottom w:w="0" w:type="dxa"/>
          <w:right w:w="0" w:type="dxa"/>
        </w:tblCellMar>
      </w:tblPr>
      <w:tr>
        <w:trPr>
          <w:trHeight w:val="230"/>
        </w:trPr>
        <w:tc>
          <w:tcPr>
            <w:tcW w:w="6360" w:type="dxa"/>
            <w:vAlign w:val="bottom"/>
            <w:gridSpan w:val="2"/>
          </w:tcPr>
          <w:p>
            <w:pPr>
              <w:ind w:left="4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Zeynep Hakimoglu</w:t>
            </w:r>
          </w:p>
        </w:tc>
        <w:tc>
          <w:tcPr>
            <w:tcW w:w="4780" w:type="dxa"/>
            <w:vAlign w:val="bottom"/>
          </w:tcPr>
          <w:p>
            <w:pPr>
              <w:ind w:left="40"/>
              <w:spacing w:after="0"/>
              <w:rPr>
                <w:sz w:val="20"/>
                <w:szCs w:val="20"/>
                <w:color w:val="auto"/>
              </w:rPr>
            </w:pPr>
            <w:r>
              <w:rPr>
                <w:rFonts w:ascii="Arial" w:cs="Arial" w:eastAsia="Arial" w:hAnsi="Arial"/>
                <w:sz w:val="18"/>
                <w:szCs w:val="18"/>
                <w:i w:val="1"/>
                <w:iCs w:val="1"/>
                <w:color w:val="auto"/>
              </w:rPr>
              <w:t>/s/ Narsi Narayanan</w:t>
            </w:r>
          </w:p>
        </w:tc>
      </w:tr>
      <w:tr>
        <w:trPr>
          <w:trHeight w:val="27"/>
        </w:trPr>
        <w:tc>
          <w:tcPr>
            <w:tcW w:w="5680" w:type="dxa"/>
            <w:vAlign w:val="bottom"/>
            <w:tcBorders>
              <w:bottom w:val="single" w:sz="8" w:color="auto"/>
            </w:tcBorders>
          </w:tcPr>
          <w:p>
            <w:pPr>
              <w:spacing w:after="0"/>
              <w:rPr>
                <w:sz w:val="2"/>
                <w:szCs w:val="2"/>
                <w:color w:val="auto"/>
              </w:rPr>
            </w:pPr>
          </w:p>
        </w:tc>
        <w:tc>
          <w:tcPr>
            <w:tcW w:w="680" w:type="dxa"/>
            <w:vAlign w:val="bottom"/>
          </w:tcPr>
          <w:p>
            <w:pPr>
              <w:spacing w:after="0"/>
              <w:rPr>
                <w:sz w:val="2"/>
                <w:szCs w:val="2"/>
                <w:color w:val="auto"/>
              </w:rPr>
            </w:pPr>
          </w:p>
        </w:tc>
        <w:tc>
          <w:tcPr>
            <w:tcW w:w="4780" w:type="dxa"/>
            <w:vAlign w:val="bottom"/>
            <w:tcBorders>
              <w:bottom w:val="single" w:sz="8" w:color="auto"/>
            </w:tcBorders>
          </w:tcPr>
          <w:p>
            <w:pPr>
              <w:spacing w:after="0"/>
              <w:rPr>
                <w:sz w:val="2"/>
                <w:szCs w:val="2"/>
                <w:color w:val="auto"/>
              </w:rPr>
            </w:pPr>
          </w:p>
        </w:tc>
      </w:tr>
      <w:tr>
        <w:trPr>
          <w:trHeight w:val="237"/>
        </w:trPr>
        <w:tc>
          <w:tcPr>
            <w:tcW w:w="6360" w:type="dxa"/>
            <w:vAlign w:val="bottom"/>
            <w:gridSpan w:val="2"/>
          </w:tcPr>
          <w:p>
            <w:pPr>
              <w:ind w:left="40"/>
              <w:spacing w:after="0"/>
              <w:rPr>
                <w:sz w:val="20"/>
                <w:szCs w:val="20"/>
                <w:color w:val="auto"/>
              </w:rPr>
            </w:pPr>
            <w:r>
              <w:rPr>
                <w:rFonts w:ascii="Arial" w:cs="Arial" w:eastAsia="Arial" w:hAnsi="Arial"/>
                <w:sz w:val="18"/>
                <w:szCs w:val="18"/>
                <w:color w:val="auto"/>
              </w:rPr>
              <w:t>Zeynep Hakimoglu</w:t>
            </w:r>
          </w:p>
        </w:tc>
        <w:tc>
          <w:tcPr>
            <w:tcW w:w="4780" w:type="dxa"/>
            <w:vAlign w:val="bottom"/>
          </w:tcPr>
          <w:p>
            <w:pPr>
              <w:ind w:left="40"/>
              <w:spacing w:after="0"/>
              <w:rPr>
                <w:sz w:val="20"/>
                <w:szCs w:val="20"/>
                <w:color w:val="auto"/>
              </w:rPr>
            </w:pPr>
            <w:r>
              <w:rPr>
                <w:rFonts w:ascii="Arial" w:cs="Arial" w:eastAsia="Arial" w:hAnsi="Arial"/>
                <w:sz w:val="18"/>
                <w:szCs w:val="18"/>
                <w:color w:val="auto"/>
              </w:rPr>
              <w:t>Narsi Narayanan</w:t>
            </w:r>
          </w:p>
        </w:tc>
      </w:tr>
      <w:tr>
        <w:trPr>
          <w:trHeight w:val="256"/>
        </w:trPr>
        <w:tc>
          <w:tcPr>
            <w:tcW w:w="6360" w:type="dxa"/>
            <w:vAlign w:val="bottom"/>
            <w:gridSpan w:val="2"/>
          </w:tcPr>
          <w:p>
            <w:pPr>
              <w:ind w:left="40"/>
              <w:spacing w:after="0"/>
              <w:rPr>
                <w:sz w:val="20"/>
                <w:szCs w:val="20"/>
                <w:color w:val="auto"/>
              </w:rPr>
            </w:pPr>
            <w:r>
              <w:rPr>
                <w:rFonts w:ascii="Arial" w:cs="Arial" w:eastAsia="Arial" w:hAnsi="Arial"/>
                <w:sz w:val="18"/>
                <w:szCs w:val="18"/>
                <w:color w:val="auto"/>
              </w:rPr>
              <w:t>President, Chief Executive Officer and Chairman of the Board</w:t>
            </w:r>
          </w:p>
        </w:tc>
        <w:tc>
          <w:tcPr>
            <w:tcW w:w="4780" w:type="dxa"/>
            <w:vAlign w:val="bottom"/>
          </w:tcPr>
          <w:p>
            <w:pPr>
              <w:ind w:left="40"/>
              <w:spacing w:after="0"/>
              <w:rPr>
                <w:sz w:val="20"/>
                <w:szCs w:val="20"/>
                <w:color w:val="auto"/>
              </w:rPr>
            </w:pPr>
            <w:r>
              <w:rPr>
                <w:rFonts w:ascii="Arial" w:cs="Arial" w:eastAsia="Arial" w:hAnsi="Arial"/>
                <w:sz w:val="18"/>
                <w:szCs w:val="18"/>
                <w:color w:val="auto"/>
              </w:rPr>
              <w:t>Vice President of Finance</w:t>
            </w:r>
          </w:p>
        </w:tc>
      </w:tr>
      <w:tr>
        <w:trPr>
          <w:trHeight w:val="230"/>
        </w:trPr>
        <w:tc>
          <w:tcPr>
            <w:tcW w:w="6360" w:type="dxa"/>
            <w:vAlign w:val="bottom"/>
            <w:gridSpan w:val="2"/>
          </w:tcPr>
          <w:p>
            <w:pPr>
              <w:ind w:left="40"/>
              <w:spacing w:after="0"/>
              <w:rPr>
                <w:sz w:val="20"/>
                <w:szCs w:val="20"/>
                <w:color w:val="auto"/>
              </w:rPr>
            </w:pPr>
            <w:r>
              <w:rPr>
                <w:rFonts w:ascii="Arial" w:cs="Arial" w:eastAsia="Arial" w:hAnsi="Arial"/>
                <w:sz w:val="18"/>
                <w:szCs w:val="18"/>
                <w:color w:val="auto"/>
              </w:rPr>
              <w:t>April 30, 2013</w:t>
            </w:r>
          </w:p>
        </w:tc>
        <w:tc>
          <w:tcPr>
            <w:tcW w:w="4780" w:type="dxa"/>
            <w:vAlign w:val="bottom"/>
          </w:tcPr>
          <w:p>
            <w:pPr>
              <w:ind w:left="40"/>
              <w:spacing w:after="0"/>
              <w:rPr>
                <w:sz w:val="20"/>
                <w:szCs w:val="20"/>
                <w:color w:val="auto"/>
              </w:rPr>
            </w:pPr>
            <w:r>
              <w:rPr>
                <w:rFonts w:ascii="Arial" w:cs="Arial" w:eastAsia="Arial" w:hAnsi="Arial"/>
                <w:sz w:val="18"/>
                <w:szCs w:val="18"/>
                <w:color w:val="auto"/>
              </w:rPr>
              <w:t>April 30, 2013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140" w:type="dxa"/>
        <w:tblCellMar>
          <w:top w:w="0" w:type="dxa"/>
          <w:left w:w="0" w:type="dxa"/>
          <w:bottom w:w="0" w:type="dxa"/>
          <w:right w:w="0" w:type="dxa"/>
        </w:tblCellMar>
      </w:tblPr>
      <w:tr>
        <w:trPr>
          <w:trHeight w:val="230"/>
        </w:trPr>
        <w:tc>
          <w:tcPr>
            <w:tcW w:w="6360" w:type="dxa"/>
            <w:vAlign w:val="bottom"/>
            <w:gridSpan w:val="2"/>
          </w:tcPr>
          <w:p>
            <w:pPr>
              <w:ind w:left="4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Brad R. Baldwin</w:t>
            </w:r>
          </w:p>
        </w:tc>
        <w:tc>
          <w:tcPr>
            <w:tcW w:w="4780" w:type="dxa"/>
            <w:vAlign w:val="bottom"/>
          </w:tcPr>
          <w:p>
            <w:pPr>
              <w:ind w:left="4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Larry R. Hendricks</w:t>
            </w:r>
          </w:p>
        </w:tc>
      </w:tr>
      <w:tr>
        <w:trPr>
          <w:trHeight w:val="27"/>
        </w:trPr>
        <w:tc>
          <w:tcPr>
            <w:tcW w:w="5680" w:type="dxa"/>
            <w:vAlign w:val="bottom"/>
            <w:tcBorders>
              <w:bottom w:val="single" w:sz="8" w:color="auto"/>
            </w:tcBorders>
          </w:tcPr>
          <w:p>
            <w:pPr>
              <w:spacing w:after="0"/>
              <w:rPr>
                <w:sz w:val="2"/>
                <w:szCs w:val="2"/>
                <w:color w:val="auto"/>
              </w:rPr>
            </w:pPr>
          </w:p>
        </w:tc>
        <w:tc>
          <w:tcPr>
            <w:tcW w:w="680" w:type="dxa"/>
            <w:vAlign w:val="bottom"/>
          </w:tcPr>
          <w:p>
            <w:pPr>
              <w:spacing w:after="0"/>
              <w:rPr>
                <w:sz w:val="2"/>
                <w:szCs w:val="2"/>
                <w:color w:val="auto"/>
              </w:rPr>
            </w:pPr>
          </w:p>
        </w:tc>
        <w:tc>
          <w:tcPr>
            <w:tcW w:w="4780" w:type="dxa"/>
            <w:vAlign w:val="bottom"/>
            <w:tcBorders>
              <w:bottom w:val="single" w:sz="8" w:color="auto"/>
            </w:tcBorders>
          </w:tcPr>
          <w:p>
            <w:pPr>
              <w:spacing w:after="0"/>
              <w:rPr>
                <w:sz w:val="2"/>
                <w:szCs w:val="2"/>
                <w:color w:val="auto"/>
              </w:rPr>
            </w:pPr>
          </w:p>
        </w:tc>
      </w:tr>
      <w:tr>
        <w:trPr>
          <w:trHeight w:val="237"/>
        </w:trPr>
        <w:tc>
          <w:tcPr>
            <w:tcW w:w="6360" w:type="dxa"/>
            <w:vAlign w:val="bottom"/>
            <w:gridSpan w:val="2"/>
          </w:tcPr>
          <w:p>
            <w:pPr>
              <w:ind w:left="40"/>
              <w:spacing w:after="0"/>
              <w:rPr>
                <w:sz w:val="20"/>
                <w:szCs w:val="20"/>
                <w:color w:val="auto"/>
              </w:rPr>
            </w:pPr>
            <w:r>
              <w:rPr>
                <w:rFonts w:ascii="Arial" w:cs="Arial" w:eastAsia="Arial" w:hAnsi="Arial"/>
                <w:sz w:val="18"/>
                <w:szCs w:val="18"/>
                <w:color w:val="auto"/>
              </w:rPr>
              <w:t>Brad R. Baldwin</w:t>
            </w:r>
          </w:p>
        </w:tc>
        <w:tc>
          <w:tcPr>
            <w:tcW w:w="4780" w:type="dxa"/>
            <w:vAlign w:val="bottom"/>
          </w:tcPr>
          <w:p>
            <w:pPr>
              <w:ind w:left="40"/>
              <w:spacing w:after="0"/>
              <w:rPr>
                <w:sz w:val="20"/>
                <w:szCs w:val="20"/>
                <w:color w:val="auto"/>
              </w:rPr>
            </w:pPr>
            <w:r>
              <w:rPr>
                <w:rFonts w:ascii="Arial" w:cs="Arial" w:eastAsia="Arial" w:hAnsi="Arial"/>
                <w:sz w:val="18"/>
                <w:szCs w:val="18"/>
                <w:color w:val="auto"/>
              </w:rPr>
              <w:t>Larry R. Hendricks</w:t>
            </w:r>
          </w:p>
        </w:tc>
      </w:tr>
      <w:tr>
        <w:trPr>
          <w:trHeight w:val="256"/>
        </w:trPr>
        <w:tc>
          <w:tcPr>
            <w:tcW w:w="6360" w:type="dxa"/>
            <w:vAlign w:val="bottom"/>
            <w:gridSpan w:val="2"/>
          </w:tcPr>
          <w:p>
            <w:pPr>
              <w:ind w:left="40"/>
              <w:spacing w:after="0"/>
              <w:rPr>
                <w:sz w:val="20"/>
                <w:szCs w:val="20"/>
                <w:color w:val="auto"/>
              </w:rPr>
            </w:pPr>
            <w:r>
              <w:rPr>
                <w:rFonts w:ascii="Arial" w:cs="Arial" w:eastAsia="Arial" w:hAnsi="Arial"/>
                <w:sz w:val="18"/>
                <w:szCs w:val="18"/>
                <w:color w:val="auto"/>
              </w:rPr>
              <w:t>Director</w:t>
            </w:r>
          </w:p>
        </w:tc>
        <w:tc>
          <w:tcPr>
            <w:tcW w:w="4780" w:type="dxa"/>
            <w:vAlign w:val="bottom"/>
          </w:tcPr>
          <w:p>
            <w:pPr>
              <w:ind w:left="40"/>
              <w:spacing w:after="0"/>
              <w:rPr>
                <w:sz w:val="20"/>
                <w:szCs w:val="20"/>
                <w:color w:val="auto"/>
              </w:rPr>
            </w:pPr>
            <w:r>
              <w:rPr>
                <w:rFonts w:ascii="Arial" w:cs="Arial" w:eastAsia="Arial" w:hAnsi="Arial"/>
                <w:sz w:val="18"/>
                <w:szCs w:val="18"/>
                <w:color w:val="auto"/>
              </w:rPr>
              <w:t>Director</w:t>
            </w:r>
          </w:p>
        </w:tc>
      </w:tr>
      <w:tr>
        <w:trPr>
          <w:trHeight w:val="230"/>
        </w:trPr>
        <w:tc>
          <w:tcPr>
            <w:tcW w:w="6360" w:type="dxa"/>
            <w:vAlign w:val="bottom"/>
            <w:gridSpan w:val="2"/>
          </w:tcPr>
          <w:p>
            <w:pPr>
              <w:ind w:left="40"/>
              <w:spacing w:after="0"/>
              <w:rPr>
                <w:sz w:val="20"/>
                <w:szCs w:val="20"/>
                <w:color w:val="auto"/>
              </w:rPr>
            </w:pPr>
            <w:r>
              <w:rPr>
                <w:rFonts w:ascii="Arial" w:cs="Arial" w:eastAsia="Arial" w:hAnsi="Arial"/>
                <w:sz w:val="18"/>
                <w:szCs w:val="18"/>
                <w:color w:val="auto"/>
              </w:rPr>
              <w:t>April 30, 2013</w:t>
            </w:r>
          </w:p>
        </w:tc>
        <w:tc>
          <w:tcPr>
            <w:tcW w:w="4780" w:type="dxa"/>
            <w:vAlign w:val="bottom"/>
          </w:tcPr>
          <w:p>
            <w:pPr>
              <w:ind w:left="40"/>
              <w:spacing w:after="0"/>
              <w:rPr>
                <w:sz w:val="20"/>
                <w:szCs w:val="20"/>
                <w:color w:val="auto"/>
              </w:rPr>
            </w:pPr>
            <w:r>
              <w:rPr>
                <w:rFonts w:ascii="Arial" w:cs="Arial" w:eastAsia="Arial" w:hAnsi="Arial"/>
                <w:sz w:val="18"/>
                <w:szCs w:val="18"/>
                <w:color w:val="auto"/>
              </w:rPr>
              <w:t>April 30, 2013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Scott M. Huntsman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31750</wp:posOffset>
            </wp:positionV>
            <wp:extent cx="361061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610610" cy="8890"/>
                    </a:xfrm>
                    <a:prstGeom prst="rect">
                      <a:avLst/>
                    </a:prstGeom>
                    <a:noFill/>
                  </pic:spPr>
                </pic:pic>
              </a:graphicData>
            </a:graphic>
          </wp:anchor>
        </w:drawing>
      </w:r>
    </w:p>
    <w:p>
      <w:pPr>
        <w:spacing w:after="0" w:line="5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Scott M. Huntsman</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Director</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April 30,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 10 |</w:t>
      </w:r>
    </w:p>
    <w:p>
      <w:pPr>
        <w:sectPr>
          <w:pgSz w:w="11900" w:h="16838" w:orient="portrait"/>
          <w:cols w:equalWidth="0" w:num="1">
            <w:col w:w="11280"/>
          </w:cols>
          <w:pgMar w:left="240" w:top="796" w:right="379" w:bottom="1440" w:gutter="0" w:footer="0" w:header="0"/>
        </w:sectPr>
      </w:pPr>
    </w:p>
    <w:bookmarkStart w:id="13" w:name="page14"/>
    <w:bookmarkEnd w:id="13"/>
    <w:p>
      <w:pPr>
        <w:jc w:val="right"/>
        <w:spacing w:after="0"/>
        <w:rPr>
          <w:sz w:val="20"/>
          <w:szCs w:val="20"/>
          <w:color w:val="auto"/>
        </w:rPr>
      </w:pPr>
      <w:r>
        <w:rPr>
          <w:rFonts w:ascii="Arial" w:cs="Arial" w:eastAsia="Arial" w:hAnsi="Arial"/>
          <w:sz w:val="18"/>
          <w:szCs w:val="18"/>
          <w:b w:val="1"/>
          <w:bCs w:val="1"/>
          <w:color w:val="auto"/>
        </w:rPr>
        <w:t>EXHIBIT 31.3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Zeynep Hakimoglu, certify that:</w:t>
      </w:r>
    </w:p>
    <w:p>
      <w:pPr>
        <w:spacing w:after="0" w:line="225"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 have reviewed this annual report on Form 10-K/A and the annual report on Form 10-K originally filed on March 25, 2013 of ClearOne, Inc.; and</w:t>
      </w:r>
    </w:p>
    <w:p>
      <w:pPr>
        <w:spacing w:after="0" w:line="248" w:lineRule="exact"/>
        <w:rPr>
          <w:rFonts w:ascii="Arial" w:cs="Arial" w:eastAsia="Arial" w:hAnsi="Arial"/>
          <w:sz w:val="16"/>
          <w:szCs w:val="16"/>
          <w:color w:val="auto"/>
        </w:rPr>
      </w:pPr>
    </w:p>
    <w:p>
      <w:pPr>
        <w:jc w:val="both"/>
        <w:ind w:left="660" w:right="300" w:hanging="328"/>
        <w:spacing w:after="0" w:line="264"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40"/>
        <w:spacing w:after="0"/>
        <w:tabs>
          <w:tab w:leader="none" w:pos="4020" w:val="left"/>
          <w:tab w:leader="none" w:pos="4620" w:val="left"/>
        </w:tabs>
        <w:rPr>
          <w:sz w:val="20"/>
          <w:szCs w:val="20"/>
          <w:color w:val="auto"/>
        </w:rPr>
      </w:pPr>
      <w:r>
        <w:rPr>
          <w:rFonts w:ascii="Arial" w:cs="Arial" w:eastAsia="Arial" w:hAnsi="Arial"/>
          <w:sz w:val="18"/>
          <w:szCs w:val="18"/>
          <w:color w:val="auto"/>
        </w:rPr>
        <w:t>April 30, 2013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Zeynep Hakimoglu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2929255</wp:posOffset>
            </wp:positionH>
            <wp:positionV relativeFrom="paragraph">
              <wp:posOffset>100330</wp:posOffset>
            </wp:positionV>
            <wp:extent cx="247840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78405" cy="8890"/>
                    </a:xfrm>
                    <a:prstGeom prst="rect">
                      <a:avLst/>
                    </a:prstGeom>
                    <a:noFill/>
                  </pic:spPr>
                </pic:pic>
              </a:graphicData>
            </a:graphic>
          </wp:anchor>
        </w:drawing>
      </w:r>
    </w:p>
    <w:p>
      <w:pPr>
        <w:spacing w:after="0" w:line="165"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Zeynep Hakimoglu</w:t>
      </w:r>
    </w:p>
    <w:p>
      <w:pPr>
        <w:spacing w:after="0" w:line="23"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464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420"/>
          </w:cols>
          <w:pgMar w:left="240" w:top="580" w:right="239" w:bottom="1440" w:gutter="0" w:footer="0" w:header="0"/>
        </w:sectPr>
      </w:pPr>
    </w:p>
    <w:bookmarkStart w:id="14" w:name="page15"/>
    <w:bookmarkEnd w:id="14"/>
    <w:p>
      <w:pPr>
        <w:jc w:val="right"/>
        <w:spacing w:after="0"/>
        <w:rPr>
          <w:sz w:val="20"/>
          <w:szCs w:val="20"/>
          <w:color w:val="auto"/>
        </w:rPr>
      </w:pPr>
      <w:r>
        <w:rPr>
          <w:rFonts w:ascii="Arial" w:cs="Arial" w:eastAsia="Arial" w:hAnsi="Arial"/>
          <w:sz w:val="18"/>
          <w:szCs w:val="18"/>
          <w:b w:val="1"/>
          <w:bCs w:val="1"/>
          <w:color w:val="auto"/>
        </w:rPr>
        <w:t>EXHIBIT 31.4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Narsi Narayanan, certify that:</w:t>
      </w:r>
    </w:p>
    <w:p>
      <w:pPr>
        <w:spacing w:after="0" w:line="225"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 have reviewed this annual report on Form 10-K/A and the annual report on Form 10-K originally filed on March 25, 2013 of ClearOne, Inc.; and</w:t>
      </w:r>
    </w:p>
    <w:p>
      <w:pPr>
        <w:spacing w:after="0" w:line="248" w:lineRule="exact"/>
        <w:rPr>
          <w:rFonts w:ascii="Arial" w:cs="Arial" w:eastAsia="Arial" w:hAnsi="Arial"/>
          <w:sz w:val="16"/>
          <w:szCs w:val="16"/>
          <w:color w:val="auto"/>
        </w:rPr>
      </w:pPr>
    </w:p>
    <w:p>
      <w:pPr>
        <w:jc w:val="both"/>
        <w:ind w:left="660" w:right="300" w:hanging="328"/>
        <w:spacing w:after="0" w:line="264"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40"/>
        <w:spacing w:after="0"/>
        <w:tabs>
          <w:tab w:leader="none" w:pos="4100" w:val="left"/>
          <w:tab w:leader="none" w:pos="4680" w:val="left"/>
        </w:tabs>
        <w:rPr>
          <w:sz w:val="20"/>
          <w:szCs w:val="20"/>
          <w:color w:val="auto"/>
        </w:rPr>
      </w:pPr>
      <w:r>
        <w:rPr>
          <w:rFonts w:ascii="Arial" w:cs="Arial" w:eastAsia="Arial" w:hAnsi="Arial"/>
          <w:sz w:val="18"/>
          <w:szCs w:val="18"/>
          <w:color w:val="auto"/>
        </w:rPr>
        <w:t>April 30, 2013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Narsi Narayanan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2972435</wp:posOffset>
            </wp:positionH>
            <wp:positionV relativeFrom="paragraph">
              <wp:posOffset>186690</wp:posOffset>
            </wp:positionV>
            <wp:extent cx="30702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070225" cy="8890"/>
                    </a:xfrm>
                    <a:prstGeom prst="rect">
                      <a:avLst/>
                    </a:prstGeom>
                    <a:noFill/>
                  </pic:spPr>
                </pic:pic>
              </a:graphicData>
            </a:graphic>
          </wp:anchor>
        </w:drawing>
      </w:r>
    </w:p>
    <w:p>
      <w:pPr>
        <w:spacing w:after="0" w:line="300"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Narsi Narayanan</w:t>
      </w:r>
    </w:p>
    <w:p>
      <w:pPr>
        <w:spacing w:after="0" w:line="23"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Vice President of Finance</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8"/>
          <w:szCs w:val="18"/>
          <w:i w:val="1"/>
          <w:iCs w:val="1"/>
          <w:color w:val="auto"/>
        </w:rPr>
        <w:t>(Principal Financial and AccountingOfficer)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1]"/>
      <w:numFmt w:val="lowerRoman"/>
      <w:start w:val="10"/>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upperLetter"/>
      <w:start w:val="11"/>
    </w:lvl>
  </w:abstractNum>
  <w:abstractNum w:abstractNumId="3">
    <w:nsid w:val="4DB127F8"/>
    <w:multiLevelType w:val="hybridMultilevel"/>
    <w:lvl w:ilvl="0">
      <w:lvlJc w:val="left"/>
      <w:lvlText w:val="(%1)"/>
      <w:numFmt w:val="decimal"/>
      <w:start w:val="1"/>
    </w:lvl>
  </w:abstractNum>
  <w:abstractNum w:abstractNumId="4">
    <w:nsid w:val="216231B"/>
    <w:multiLevelType w:val="hybridMultilevel"/>
    <w:lvl w:ilvl="0">
      <w:lvlJc w:val="left"/>
      <w:lvlText w:val="(%1)"/>
      <w:numFmt w:val="decimal"/>
      <w:start w:val="1"/>
    </w:lvl>
  </w:abstractNum>
  <w:abstractNum w:abstractNumId="5">
    <w:nsid w:val="1F16E9E8"/>
    <w:multiLevelType w:val="hybridMultilevel"/>
    <w:lvl w:ilvl="0">
      <w:lvlJc w:val="left"/>
      <w:lvlText w:val="(%1)"/>
      <w:numFmt w:val="decimal"/>
      <w:start w:val="1"/>
    </w:lvl>
  </w:abstractNum>
  <w:abstractNum w:abstractNumId="6">
    <w:nsid w:val="1190CDE7"/>
    <w:multiLevelType w:val="hybridMultilevel"/>
    <w:lvl w:ilvl="0">
      <w:lvlJc w:val="left"/>
      <w:lvlText w:val="(%1)"/>
      <w:numFmt w:val="decimal"/>
      <w:start w:val="1"/>
    </w:lvl>
  </w:abstractNum>
  <w:abstractNum w:abstractNumId="7">
    <w:nsid w:val="66EF438D"/>
    <w:multiLevelType w:val="hybridMultilevel"/>
    <w:lvl w:ilvl="0">
      <w:lvlJc w:val="left"/>
      <w:lvlText w:val="(%1)"/>
      <w:numFmt w:val="lowerRoman"/>
      <w:start w:val="1"/>
    </w:lvl>
  </w:abstractNum>
  <w:abstractNum w:abstractNumId="8">
    <w:nsid w:val="140E0F76"/>
    <w:multiLevelType w:val="hybridMultilevel"/>
    <w:lvl w:ilvl="0">
      <w:lvlJc w:val="left"/>
      <w:lvlText w:val="(%1)"/>
      <w:numFmt w:val="lowerRoman"/>
      <w:start w:val="2"/>
    </w:lvl>
  </w:abstractNum>
  <w:abstractNum w:abstractNumId="9">
    <w:nsid w:val="3352255A"/>
    <w:multiLevelType w:val="hybridMultilevel"/>
    <w:lvl w:ilvl="0">
      <w:lvlJc w:val="left"/>
      <w:lvlText w:val="(%1)"/>
      <w:numFmt w:val="decimal"/>
      <w:start w:val="1"/>
    </w:lvl>
  </w:abstractNum>
  <w:abstractNum w:abstractNumId="10">
    <w:nsid w:val="109CF92E"/>
    <w:multiLevelType w:val="hybridMultilevel"/>
    <w:lvl w:ilvl="0">
      <w:lvlJc w:val="left"/>
      <w:lvlText w:val="%1."/>
      <w:numFmt w:val="decimal"/>
      <w:start w:val="1"/>
    </w:lvl>
  </w:abstractNum>
  <w:abstractNum w:abstractNumId="11">
    <w:nsid w:val="DED7263"/>
    <w:multiLevelType w:val="hybridMultilevel"/>
    <w:lvl w:ilvl="0">
      <w:lvlJc w:val="left"/>
      <w:lvlText w:val="%1."/>
      <w:numFmt w:val="decimal"/>
      <w:start w:val="1"/>
    </w:lvl>
  </w:abstractNum>
  <w:abstractNum w:abstractNumId="12">
    <w:nsid w:val="7FDCC233"/>
    <w:multiLevelType w:val="hybridMultilevel"/>
    <w:lvl w:ilvl="0">
      <w:lvlJc w:val="left"/>
      <w:lvlText w:val="%1."/>
      <w:numFmt w:val="decimal"/>
      <w:start w:val="1"/>
    </w:lvl>
  </w:abstractNum>
  <w:abstractNum w:abstractNumId="13">
    <w:nsid w:val="1BEFD79F"/>
    <w:multiLevelType w:val="hybridMultilevel"/>
    <w:lvl w:ilvl="0">
      <w:lvlJc w:val="left"/>
      <w:lvlText w:val="*"/>
      <w:numFmt w:val="bullet"/>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2019-12-06T03:05:48Z</dcterms:created>
  <dcterms:modified xsi:type="dcterms:W3CDTF">2019-12-06T03:05:48Z</dcterms:modified>
</cp:coreProperties>
</file>