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CLRO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10,476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10,551,215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$0.78 to $0.80.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amended to reflect that the number of share purchased on November 14, 2023 was 30,091 and not 300,091 as erroneously reported in the original Form 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2023-12-07T13:29:23Z</dcterms:created>
  <dcterms:modified xsi:type="dcterms:W3CDTF">2023-12-07T13:29:23Z</dcterms:modified>
</cp:coreProperties>
</file>