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Whaley Bruce</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00" w:type="dxa"/>
            <w:vAlign w:val="bottom"/>
            <w:gridSpan w:val="6"/>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CLEARONE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CLRO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05/17/2021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5225 WILEY POST WAY, SUITE 500</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2020" w:type="dxa"/>
            <w:vAlign w:val="bottom"/>
            <w:tcBorders>
              <w:bottom w:val="single" w:sz="8" w:color="2C2C2C"/>
            </w:tcBorders>
            <w:gridSpan w:val="4"/>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20" w:type="dxa"/>
            <w:vAlign w:val="bottom"/>
            <w:gridSpan w:val="8"/>
            <w:vMerge w:val="continue"/>
          </w:tcPr>
          <w:p>
            <w:pPr>
              <w:spacing w:after="0"/>
              <w:rPr>
                <w:sz w:val="11"/>
                <w:szCs w:val="11"/>
                <w:color w:val="auto"/>
              </w:rPr>
            </w:pPr>
          </w:p>
        </w:tc>
        <w:tc>
          <w:tcPr>
            <w:tcW w:w="240" w:type="dxa"/>
            <w:vAlign w:val="bottom"/>
          </w:tcPr>
          <w:p>
            <w:pPr>
              <w:spacing w:after="0"/>
              <w:rPr>
                <w:sz w:val="11"/>
                <w:szCs w:val="11"/>
                <w:color w:val="auto"/>
              </w:rPr>
            </w:pPr>
          </w:p>
        </w:tc>
        <w:tc>
          <w:tcPr>
            <w:tcW w:w="34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gridSpan w:val="2"/>
          </w:tcPr>
          <w:p>
            <w:pPr>
              <w:ind w:left="60"/>
              <w:spacing w:after="0" w:line="147" w:lineRule="exact"/>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4"/>
          </w:tcPr>
          <w:p>
            <w:pPr>
              <w:ind w:left="20"/>
              <w:spacing w:after="0"/>
              <w:rPr>
                <w:sz w:val="20"/>
                <w:szCs w:val="20"/>
                <w:color w:val="auto"/>
              </w:rPr>
            </w:pPr>
            <w:r>
              <w:rPr>
                <w:rFonts w:ascii="Arial" w:cs="Arial" w:eastAsia="Arial" w:hAnsi="Arial"/>
                <w:sz w:val="17"/>
                <w:szCs w:val="17"/>
                <w:color w:val="0000FF"/>
              </w:rPr>
              <w:t>SALT LAKE</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UT</w:t>
            </w:r>
          </w:p>
        </w:tc>
        <w:tc>
          <w:tcPr>
            <w:tcW w:w="1100" w:type="dxa"/>
            <w:vAlign w:val="bottom"/>
            <w:vMerge w:val="restart"/>
          </w:tcPr>
          <w:p>
            <w:pPr>
              <w:spacing w:after="0"/>
              <w:rPr>
                <w:sz w:val="20"/>
                <w:szCs w:val="20"/>
                <w:color w:val="auto"/>
              </w:rPr>
            </w:pPr>
            <w:r>
              <w:rPr>
                <w:rFonts w:ascii="Arial" w:cs="Arial" w:eastAsia="Arial" w:hAnsi="Arial"/>
                <w:sz w:val="17"/>
                <w:szCs w:val="17"/>
                <w:color w:val="0000FF"/>
              </w:rPr>
              <w:t>84116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CITY</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8"/>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8"/>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05/17/2021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05/17/2027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One-third of the options granted will vest on the first anniversary of the date of grant, which is May 17, 2022. The remaining options will vest in equal monthly increments over the subsequent 24-month period.</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 Bruce Whaley</w:t>
            </w:r>
          </w:p>
        </w:tc>
        <w:tc>
          <w:tcPr>
            <w:tcW w:w="10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05/19/2021</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4360"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2021-05-19T16:05:57Z</dcterms:created>
  <dcterms:modified xsi:type="dcterms:W3CDTF">2021-05-19T16:05:57Z</dcterms:modified>
</cp:coreProperties>
</file>