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 w:right="168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2021</w:t>
      </w:r>
    </w:p>
    <w:p>
      <w:pPr>
        <w:spacing w:after="0" w:line="162" w:lineRule="exact"/>
        <w:rPr>
          <w:sz w:val="24"/>
          <w:szCs w:val="24"/>
          <w:color w:val="auto"/>
        </w:rPr>
      </w:pPr>
    </w:p>
    <w:p>
      <w:pPr>
        <w:ind w:left="380" w:right="1700" w:hanging="372"/>
        <w:spacing w:after="0" w:line="282"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92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40" w:type="dxa"/>
            <w:vAlign w:val="bottom"/>
            <w:gridSpan w:val="3"/>
          </w:tcPr>
          <w:p>
            <w:pPr>
              <w:jc w:val="center"/>
              <w:ind w:right="87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49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right"/>
              <w:ind w:right="2430"/>
              <w:spacing w:after="0"/>
              <w:rPr>
                <w:sz w:val="20"/>
                <w:szCs w:val="20"/>
                <w:color w:val="auto"/>
              </w:rPr>
            </w:pPr>
            <w:r>
              <w:rPr>
                <w:rFonts w:ascii="Arial" w:cs="Arial" w:eastAsia="Arial" w:hAnsi="Arial"/>
                <w:sz w:val="18"/>
                <w:szCs w:val="18"/>
                <w:b w:val="1"/>
                <w:bCs w:val="1"/>
                <w:color w:val="auto"/>
              </w:rPr>
              <w:t>84116</w:t>
            </w:r>
          </w:p>
        </w:tc>
      </w:tr>
      <w:tr>
        <w:trPr>
          <w:trHeight w:val="224"/>
        </w:trPr>
        <w:tc>
          <w:tcPr>
            <w:tcW w:w="4920" w:type="dxa"/>
            <w:vAlign w:val="bottom"/>
            <w:gridSpan w:val="4"/>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r>
        <w:trPr>
          <w:trHeight w:val="377"/>
        </w:trPr>
        <w:tc>
          <w:tcPr>
            <w:tcW w:w="4920" w:type="dxa"/>
            <w:vAlign w:val="bottom"/>
            <w:gridSpan w:val="4"/>
          </w:tcPr>
          <w:p>
            <w:pPr>
              <w:spacing w:after="0"/>
              <w:rPr>
                <w:sz w:val="20"/>
                <w:szCs w:val="20"/>
                <w:color w:val="auto"/>
              </w:rPr>
            </w:pPr>
            <w:r>
              <w:rPr>
                <w:rFonts w:ascii="Arial" w:cs="Arial" w:eastAsia="Arial" w:hAnsi="Arial"/>
                <w:sz w:val="18"/>
                <w:szCs w:val="18"/>
                <w:color w:val="auto"/>
                <w:w w:val="90"/>
              </w:rPr>
              <w:t>Registrant’s telephone number, including area code: (801) 975-7200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92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86"/>
              </w:rPr>
              <w:t>Title of each class</w:t>
            </w: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Trading Symbol(s)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5"/>
              </w:rPr>
              <w:t>CLRO</w:t>
            </w: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20"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20" w:right="339" w:bottom="1440" w:gutter="0" w:footer="0" w:header="0"/>
          <w:type w:val="continuous"/>
        </w:sectPr>
      </w:pPr>
    </w:p>
    <w:p>
      <w:pPr>
        <w:spacing w:after="0" w:line="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May 12, 2021 was 18,775,773.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MARCH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INDEX</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rPr>
                <w:sz w:val="18"/>
                <w:szCs w:val="18"/>
                <w:color w:val="auto"/>
              </w:rPr>
            </w:pPr>
          </w:p>
        </w:tc>
        <w:tc>
          <w:tcPr>
            <w:tcW w:w="9560" w:type="dxa"/>
            <w:vAlign w:val="bottom"/>
            <w:gridSpan w:val="19"/>
            <w:shd w:val="clear" w:color="auto" w:fill="CCEEFF"/>
          </w:tcPr>
          <w:p>
            <w:pPr>
              <w:ind w:left="12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March 31, 2021 and December 31, 2020</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and Comprehensive Loss for the three months ended March 31,</w:t>
              </w:r>
            </w:hyperlink>
          </w:p>
        </w:tc>
        <w:tc>
          <w:tcPr>
            <w:tcW w:w="3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28"/>
        </w:trPr>
        <w:tc>
          <w:tcPr>
            <w:tcW w:w="780" w:type="dxa"/>
            <w:vAlign w:val="bottom"/>
            <w:shd w:val="clear" w:color="auto" w:fill="CCEEFF"/>
          </w:tcPr>
          <w:p>
            <w:pPr>
              <w:spacing w:after="0"/>
              <w:rPr>
                <w:sz w:val="11"/>
                <w:szCs w:val="11"/>
                <w:color w:val="auto"/>
              </w:rPr>
            </w:pPr>
          </w:p>
        </w:tc>
        <w:tc>
          <w:tcPr>
            <w:tcW w:w="9560" w:type="dxa"/>
            <w:vAlign w:val="bottom"/>
            <w:gridSpan w:val="19"/>
            <w:vMerge w:val="restart"/>
            <w:shd w:val="clear" w:color="auto" w:fill="CCEEFF"/>
          </w:tcPr>
          <w:p>
            <w:pPr>
              <w:ind w:left="1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2021 and 2020</w:t>
              </w:r>
            </w:hyperlink>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9560" w:type="dxa"/>
            <w:vAlign w:val="bottom"/>
            <w:gridSpan w:val="19"/>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rPr>
                <w:sz w:val="18"/>
                <w:szCs w:val="18"/>
                <w:color w:val="auto"/>
              </w:rPr>
            </w:pP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 for the three months ended March 31, 2021 and 2020</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Notes to Condensed Consolidated 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9560" w:type="dxa"/>
            <w:vAlign w:val="bottom"/>
            <w:gridSpan w:val="19"/>
            <w:shd w:val="clear" w:color="auto" w:fill="CCEEFF"/>
          </w:tcPr>
          <w:p>
            <w:pPr>
              <w:ind w:left="120"/>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560" w:type="dxa"/>
            <w:vAlign w:val="bottom"/>
            <w:gridSpan w:val="19"/>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8840" w:type="dxa"/>
            <w:vAlign w:val="bottom"/>
            <w:tcBorders>
              <w:bottom w:val="single" w:sz="8" w:color="CCEEFF"/>
            </w:tcBorders>
            <w:gridSpan w:val="17"/>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4900" w:type="dxa"/>
            <w:vAlign w:val="bottom"/>
            <w:gridSpan w:val="14"/>
          </w:tcPr>
          <w:p>
            <w:pPr>
              <w:jc w:val="right"/>
              <w:spacing w:after="0"/>
              <w:rPr>
                <w:sz w:val="20"/>
                <w:szCs w:val="20"/>
                <w:color w:val="auto"/>
              </w:rPr>
            </w:pPr>
            <w:r>
              <w:rPr>
                <w:rFonts w:ascii="Arial" w:cs="Arial" w:eastAsia="Arial" w:hAnsi="Arial"/>
                <w:sz w:val="18"/>
                <w:szCs w:val="18"/>
                <w:color w:val="auto"/>
              </w:rPr>
              <w:t>1</w:t>
            </w: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 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tcBorders>
              <w:top w:val="single" w:sz="8" w:color="CCEEFF"/>
            </w:tcBorders>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$506</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9,816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10,463</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7,169</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 right of use assets, net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20,486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19,248</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w:t>
            </w:r>
          </w:p>
        </w:tc>
      </w:tr>
      <w:tr>
        <w:trPr>
          <w:trHeight w:val="263"/>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59,848</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62,323</w:t>
            </w:r>
          </w:p>
        </w:tc>
        <w:tc>
          <w:tcPr>
            <w:tcW w:w="100" w:type="dxa"/>
            <w:vAlign w:val="bottom"/>
            <w:tcBorders>
              <w:bottom w:val="single" w:sz="8" w:color="CCEEFF"/>
            </w:tcBorders>
          </w:tcPr>
          <w:p>
            <w:pPr>
              <w:spacing w:after="0"/>
              <w:rPr>
                <w:sz w:val="22"/>
                <w:szCs w:val="22"/>
                <w:color w:val="auto"/>
              </w:rPr>
            </w:pPr>
          </w:p>
        </w:tc>
      </w:tr>
      <w:tr>
        <w:trPr>
          <w:trHeight w:val="196"/>
        </w:trPr>
        <w:tc>
          <w:tcPr>
            <w:tcW w:w="8000" w:type="dxa"/>
            <w:vAlign w:val="bottom"/>
            <w:shd w:val="clear" w:color="auto" w:fill="CCEEFF"/>
          </w:tcPr>
          <w:p>
            <w:pPr>
              <w:ind w:left="200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2,775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Short-term debt</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3,245</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23"/>
        </w:trPr>
        <w:tc>
          <w:tcPr>
            <w:tcW w:w="80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w w:val="92"/>
              </w:rPr>
              <w:t>Common stock, par value $0.001, 50,000,000 shares authorized, 18,775,773 shares issued and outstanding</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63,359</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(15,033)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(13,378)</w:t>
            </w:r>
          </w:p>
        </w:tc>
      </w:tr>
      <w:tr>
        <w:trPr>
          <w:trHeight w:val="22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49,814</w:t>
            </w:r>
          </w:p>
        </w:tc>
        <w:tc>
          <w:tcPr>
            <w:tcW w:w="100" w:type="dxa"/>
            <w:vAlign w:val="bottom"/>
            <w:tcBorders>
              <w:bottom w:val="single" w:sz="8" w:color="CCEEFF"/>
            </w:tcBorders>
          </w:tcPr>
          <w:p>
            <w:pPr>
              <w:spacing w:after="0"/>
              <w:rPr>
                <w:sz w:val="19"/>
                <w:szCs w:val="19"/>
                <w:color w:val="auto"/>
              </w:rPr>
            </w:pPr>
          </w:p>
        </w:tc>
      </w:tr>
      <w:tr>
        <w:trPr>
          <w:trHeight w:val="237"/>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100" w:type="dxa"/>
            <w:vAlign w:val="bottom"/>
            <w:shd w:val="clear" w:color="auto" w:fill="CCEEFF"/>
          </w:tcPr>
          <w:p>
            <w:pPr>
              <w:spacing w:after="0"/>
              <w:rPr>
                <w:sz w:val="18"/>
                <w:szCs w:val="18"/>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4,035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2,896</w:t>
            </w:r>
          </w:p>
        </w:tc>
      </w:tr>
      <w:tr>
        <w:trPr>
          <w:trHeight w:val="223"/>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1,680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1,506</w:t>
            </w:r>
          </w:p>
        </w:tc>
      </w:tr>
      <w:tr>
        <w:trPr>
          <w:trHeight w:val="223"/>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(1,751)</w:t>
            </w:r>
          </w:p>
        </w:tc>
      </w:tr>
      <w:tr>
        <w:trPr>
          <w:trHeight w:val="229"/>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(1,824)</w:t>
            </w:r>
          </w:p>
        </w:tc>
      </w:tr>
      <w:tr>
        <w:trPr>
          <w:trHeight w:val="229"/>
        </w:trPr>
        <w:tc>
          <w:tcPr>
            <w:tcW w:w="8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43"/>
        </w:trPr>
        <w:tc>
          <w:tcPr>
            <w:tcW w:w="80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tcPr>
          <w:p>
            <w:pPr>
              <w:spacing w:after="0"/>
              <w:rPr>
                <w:sz w:val="21"/>
                <w:szCs w:val="21"/>
                <w:color w:val="auto"/>
              </w:rPr>
            </w:pP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18,775,773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16,650,725</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18,775,773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16,650,725</w:t>
            </w:r>
          </w:p>
        </w:tc>
      </w:tr>
      <w:tr>
        <w:trPr>
          <w:trHeight w:val="230"/>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30"/>
        </w:trPr>
        <w:tc>
          <w:tcPr>
            <w:tcW w:w="8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(1,655)</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(1,847)</w:t>
            </w: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available-for-sale securities, net of tax</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5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09"/>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(1,655)</w:t>
            </w:r>
          </w:p>
        </w:tc>
        <w:tc>
          <w:tcPr>
            <w:tcW w:w="1020" w:type="dxa"/>
            <w:vAlign w:val="bottom"/>
          </w:tcPr>
          <w:p>
            <w:pPr>
              <w:jc w:val="right"/>
              <w:ind w:right="858"/>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(1,847)</w:t>
            </w:r>
          </w:p>
        </w:tc>
      </w:tr>
      <w:tr>
        <w:trPr>
          <w:trHeight w:val="23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661</w:t>
            </w:r>
          </w:p>
        </w:tc>
        <w:tc>
          <w:tcPr>
            <w:tcW w:w="1020" w:type="dxa"/>
            <w:vAlign w:val="bottom"/>
          </w:tcPr>
          <w:p>
            <w:pPr>
              <w:spacing w:after="0"/>
              <w:rPr>
                <w:sz w:val="19"/>
                <w:szCs w:val="19"/>
                <w:color w:val="auto"/>
              </w:rPr>
            </w:pPr>
          </w:p>
        </w:tc>
        <w:tc>
          <w:tcPr>
            <w:tcW w:w="720" w:type="dxa"/>
            <w:vAlign w:val="bottom"/>
            <w:gridSpan w:val="2"/>
          </w:tcPr>
          <w:p>
            <w:pPr>
              <w:jc w:val="right"/>
              <w:ind w:right="141"/>
              <w:spacing w:after="0"/>
              <w:rPr>
                <w:sz w:val="20"/>
                <w:szCs w:val="20"/>
                <w:color w:val="auto"/>
              </w:rPr>
            </w:pPr>
            <w:r>
              <w:rPr>
                <w:rFonts w:ascii="Arial" w:cs="Arial" w:eastAsia="Arial" w:hAnsi="Arial"/>
                <w:sz w:val="18"/>
                <w:szCs w:val="18"/>
                <w:color w:val="auto"/>
              </w:rPr>
              <w:t>522</w:t>
            </w: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143</w:t>
            </w: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19"/>
                <w:szCs w:val="19"/>
                <w:color w:val="auto"/>
              </w:rPr>
            </w:pPr>
          </w:p>
        </w:tc>
        <w:tc>
          <w:tcPr>
            <w:tcW w:w="720" w:type="dxa"/>
            <w:vAlign w:val="bottom"/>
            <w:gridSpan w:val="2"/>
          </w:tcPr>
          <w:p>
            <w:pPr>
              <w:jc w:val="right"/>
              <w:ind w:right="141"/>
              <w:spacing w:after="0"/>
              <w:rPr>
                <w:sz w:val="20"/>
                <w:szCs w:val="20"/>
                <w:color w:val="auto"/>
              </w:rPr>
            </w:pPr>
            <w:r>
              <w:rPr>
                <w:rFonts w:ascii="Arial" w:cs="Arial" w:eastAsia="Arial" w:hAnsi="Arial"/>
                <w:sz w:val="18"/>
                <w:szCs w:val="18"/>
                <w:color w:val="auto"/>
              </w:rPr>
              <w:t>37</w:t>
            </w:r>
          </w:p>
        </w:tc>
      </w:tr>
      <w:tr>
        <w:trPr>
          <w:trHeight w:val="229"/>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 net</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w:t>
            </w: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Change of inventory to net realizable value</w:t>
            </w:r>
          </w:p>
        </w:tc>
        <w:tc>
          <w:tcPr>
            <w:tcW w:w="98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375</w:t>
            </w:r>
          </w:p>
        </w:tc>
        <w:tc>
          <w:tcPr>
            <w:tcW w:w="1020" w:type="dxa"/>
            <w:vAlign w:val="bottom"/>
          </w:tcPr>
          <w:p>
            <w:pPr>
              <w:spacing w:after="0"/>
              <w:rPr>
                <w:sz w:val="19"/>
                <w:szCs w:val="19"/>
                <w:color w:val="auto"/>
              </w:rPr>
            </w:pPr>
          </w:p>
        </w:tc>
        <w:tc>
          <w:tcPr>
            <w:tcW w:w="720" w:type="dxa"/>
            <w:vAlign w:val="bottom"/>
            <w:gridSpan w:val="2"/>
          </w:tcPr>
          <w:p>
            <w:pPr>
              <w:jc w:val="right"/>
              <w:ind w:right="141"/>
              <w:spacing w:after="0"/>
              <w:rPr>
                <w:sz w:val="20"/>
                <w:szCs w:val="20"/>
                <w:color w:val="auto"/>
              </w:rPr>
            </w:pPr>
            <w:r>
              <w:rPr>
                <w:rFonts w:ascii="Arial" w:cs="Arial" w:eastAsia="Arial" w:hAnsi="Arial"/>
                <w:sz w:val="18"/>
                <w:szCs w:val="18"/>
                <w:color w:val="auto"/>
              </w:rPr>
              <w:t>201</w:t>
            </w:r>
          </w:p>
        </w:tc>
      </w:tr>
      <w:tr>
        <w:trPr>
          <w:trHeight w:val="229"/>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98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264</w:t>
            </w:r>
          </w:p>
        </w:tc>
        <w:tc>
          <w:tcPr>
            <w:tcW w:w="1020" w:type="dxa"/>
            <w:vAlign w:val="bottom"/>
          </w:tcPr>
          <w:p>
            <w:pPr>
              <w:spacing w:after="0"/>
              <w:rPr>
                <w:sz w:val="19"/>
                <w:szCs w:val="19"/>
                <w:color w:val="auto"/>
              </w:rPr>
            </w:pPr>
          </w:p>
        </w:tc>
        <w:tc>
          <w:tcPr>
            <w:tcW w:w="720" w:type="dxa"/>
            <w:vAlign w:val="bottom"/>
            <w:gridSpan w:val="2"/>
          </w:tcPr>
          <w:p>
            <w:pPr>
              <w:jc w:val="right"/>
              <w:ind w:right="141"/>
              <w:spacing w:after="0"/>
              <w:rPr>
                <w:sz w:val="20"/>
                <w:szCs w:val="20"/>
                <w:color w:val="auto"/>
              </w:rPr>
            </w:pPr>
            <w:r>
              <w:rPr>
                <w:rFonts w:ascii="Arial" w:cs="Arial" w:eastAsia="Arial" w:hAnsi="Arial"/>
                <w:sz w:val="18"/>
                <w:szCs w:val="18"/>
                <w:color w:val="auto"/>
              </w:rPr>
              <w:t>878</w:t>
            </w: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736</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1,428</w:t>
            </w: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265</w:t>
            </w:r>
          </w:p>
        </w:tc>
        <w:tc>
          <w:tcPr>
            <w:tcW w:w="1020" w:type="dxa"/>
            <w:vAlign w:val="bottom"/>
          </w:tcPr>
          <w:p>
            <w:pPr>
              <w:spacing w:after="0"/>
              <w:rPr>
                <w:sz w:val="19"/>
                <w:szCs w:val="19"/>
                <w:color w:val="auto"/>
              </w:rPr>
            </w:pPr>
          </w:p>
        </w:tc>
        <w:tc>
          <w:tcPr>
            <w:tcW w:w="720" w:type="dxa"/>
            <w:vAlign w:val="bottom"/>
            <w:gridSpan w:val="2"/>
          </w:tcPr>
          <w:p>
            <w:pPr>
              <w:jc w:val="right"/>
              <w:ind w:right="141"/>
              <w:spacing w:after="0"/>
              <w:rPr>
                <w:sz w:val="20"/>
                <w:szCs w:val="20"/>
                <w:color w:val="auto"/>
              </w:rPr>
            </w:pPr>
            <w:r>
              <w:rPr>
                <w:rFonts w:ascii="Arial" w:cs="Arial" w:eastAsia="Arial" w:hAnsi="Arial"/>
                <w:sz w:val="18"/>
                <w:szCs w:val="18"/>
                <w:color w:val="auto"/>
              </w:rPr>
              <w:t>110</w:t>
            </w: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(1,043)</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(396)</w:t>
            </w: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98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446</w:t>
            </w:r>
          </w:p>
        </w:tc>
        <w:tc>
          <w:tcPr>
            <w:tcW w:w="1020" w:type="dxa"/>
            <w:vAlign w:val="bottom"/>
          </w:tcPr>
          <w:p>
            <w:pPr>
              <w:spacing w:after="0"/>
              <w:rPr>
                <w:sz w:val="19"/>
                <w:szCs w:val="19"/>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8"/>
                <w:szCs w:val="18"/>
                <w:color w:val="auto"/>
              </w:rPr>
              <w:t>(458)</w:t>
            </w:r>
          </w:p>
        </w:tc>
      </w:tr>
      <w:tr>
        <w:trPr>
          <w:trHeight w:val="229"/>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w:t>
            </w: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Deferred product revenue</w:t>
            </w:r>
          </w:p>
        </w:tc>
        <w:tc>
          <w:tcPr>
            <w:tcW w:w="9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1020" w:type="dxa"/>
            <w:vAlign w:val="bottom"/>
          </w:tcPr>
          <w:p>
            <w:pPr>
              <w:spacing w:after="0"/>
              <w:rPr>
                <w:sz w:val="19"/>
                <w:szCs w:val="19"/>
                <w:color w:val="auto"/>
              </w:rPr>
            </w:pPr>
          </w:p>
        </w:tc>
        <w:tc>
          <w:tcPr>
            <w:tcW w:w="720" w:type="dxa"/>
            <w:vAlign w:val="bottom"/>
            <w:gridSpan w:val="2"/>
          </w:tcPr>
          <w:p>
            <w:pPr>
              <w:jc w:val="right"/>
              <w:ind w:right="141"/>
              <w:spacing w:after="0"/>
              <w:rPr>
                <w:sz w:val="20"/>
                <w:szCs w:val="20"/>
                <w:color w:val="auto"/>
              </w:rPr>
            </w:pPr>
            <w:r>
              <w:rPr>
                <w:rFonts w:ascii="Arial" w:cs="Arial" w:eastAsia="Arial" w:hAnsi="Arial"/>
                <w:sz w:val="18"/>
                <w:szCs w:val="18"/>
                <w:color w:val="auto"/>
              </w:rPr>
              <w:t>34</w:t>
            </w:r>
          </w:p>
        </w:tc>
      </w:tr>
      <w:tr>
        <w:trPr>
          <w:trHeight w:val="229"/>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(146)</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9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7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r>
      <w:tr>
        <w:trPr>
          <w:trHeight w:val="223"/>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Borders>
              <w:top w:val="single" w:sz="8" w:color="CCEEFF"/>
            </w:tcBorders>
            <w:shd w:val="clear" w:color="auto" w:fill="CCEEFF"/>
          </w:tcPr>
          <w:p>
            <w:pPr>
              <w:spacing w:after="0"/>
              <w:rPr>
                <w:sz w:val="19"/>
                <w:szCs w:val="19"/>
                <w:color w:val="auto"/>
              </w:rPr>
            </w:pPr>
          </w:p>
        </w:tc>
      </w:tr>
      <w:tr>
        <w:trPr>
          <w:trHeight w:val="209"/>
        </w:trPr>
        <w:tc>
          <w:tcPr>
            <w:tcW w:w="7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9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19"/>
                <w:szCs w:val="19"/>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8"/>
                <w:szCs w:val="18"/>
                <w:color w:val="auto"/>
              </w:rPr>
              <w:t>(30)</w:t>
            </w: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intangibles</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w:t>
            </w: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Capitalized patent defense costs</w:t>
            </w:r>
          </w:p>
        </w:tc>
        <w:tc>
          <w:tcPr>
            <w:tcW w:w="9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(1,678)</w:t>
            </w:r>
          </w:p>
        </w:tc>
        <w:tc>
          <w:tcPr>
            <w:tcW w:w="1020" w:type="dxa"/>
            <w:vAlign w:val="bottom"/>
          </w:tcPr>
          <w:p>
            <w:pPr>
              <w:spacing w:after="0"/>
              <w:rPr>
                <w:sz w:val="19"/>
                <w:szCs w:val="19"/>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(1,722)</w:t>
            </w: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marketable securities</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413</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1,208</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98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(310)</w:t>
            </w:r>
          </w:p>
        </w:tc>
        <w:tc>
          <w:tcPr>
            <w:tcW w:w="1020" w:type="dxa"/>
            <w:vAlign w:val="bottom"/>
          </w:tcPr>
          <w:p>
            <w:pPr>
              <w:spacing w:after="0"/>
              <w:rPr>
                <w:sz w:val="21"/>
                <w:szCs w:val="21"/>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(1,124)</w:t>
            </w:r>
          </w:p>
        </w:tc>
      </w:tr>
      <w:tr>
        <w:trPr>
          <w:trHeight w:val="223"/>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(1,653)</w:t>
            </w:r>
          </w:p>
        </w:tc>
        <w:tc>
          <w:tcPr>
            <w:tcW w:w="4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(1,716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r>
      <w:tr>
        <w:trPr>
          <w:trHeight w:val="209"/>
        </w:trPr>
        <w:tc>
          <w:tcPr>
            <w:tcW w:w="7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Net proceeds from equity-based compensation programs</w:t>
            </w:r>
          </w:p>
        </w:tc>
        <w:tc>
          <w:tcPr>
            <w:tcW w:w="98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020" w:type="dxa"/>
            <w:vAlign w:val="bottom"/>
          </w:tcPr>
          <w:p>
            <w:pPr>
              <w:spacing w:after="0"/>
              <w:rPr>
                <w:sz w:val="19"/>
                <w:szCs w:val="19"/>
                <w:color w:val="auto"/>
              </w:rPr>
            </w:pPr>
          </w:p>
        </w:tc>
        <w:tc>
          <w:tcPr>
            <w:tcW w:w="720" w:type="dxa"/>
            <w:vAlign w:val="bottom"/>
            <w:gridSpan w:val="2"/>
          </w:tcPr>
          <w:p>
            <w:pPr>
              <w:jc w:val="right"/>
              <w:ind w:right="141"/>
              <w:spacing w:after="0"/>
              <w:rPr>
                <w:sz w:val="20"/>
                <w:szCs w:val="20"/>
                <w:color w:val="auto"/>
              </w:rPr>
            </w:pPr>
            <w:r>
              <w:rPr>
                <w:rFonts w:ascii="Arial" w:cs="Arial" w:eastAsia="Arial" w:hAnsi="Arial"/>
                <w:sz w:val="18"/>
                <w:szCs w:val="18"/>
                <w:color w:val="auto"/>
              </w:rPr>
              <w:t>3</w:t>
            </w:r>
          </w:p>
        </w:tc>
      </w:tr>
      <w:tr>
        <w:trPr>
          <w:trHeight w:val="243"/>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long-term debt</w:t>
            </w:r>
          </w:p>
        </w:tc>
        <w:tc>
          <w:tcPr>
            <w:tcW w:w="9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w:t>
            </w:r>
          </w:p>
        </w:tc>
        <w:tc>
          <w:tcPr>
            <w:tcW w:w="10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r>
      <w:tr>
        <w:trPr>
          <w:trHeight w:val="223"/>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6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tcPr>
          <w:p>
            <w:pPr>
              <w:spacing w:after="0"/>
              <w:rPr>
                <w:sz w:val="19"/>
                <w:szCs w:val="19"/>
                <w:color w:val="auto"/>
              </w:rPr>
            </w:pPr>
          </w:p>
        </w:tc>
      </w:tr>
      <w:tr>
        <w:trPr>
          <w:trHeight w:val="223"/>
        </w:trPr>
        <w:tc>
          <w:tcPr>
            <w:tcW w:w="75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3"/>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tcPr>
          <w:p>
            <w:pPr>
              <w:spacing w:after="0"/>
              <w:rPr>
                <w:sz w:val="19"/>
                <w:szCs w:val="19"/>
                <w:color w:val="auto"/>
              </w:rPr>
            </w:pPr>
          </w:p>
        </w:tc>
      </w:tr>
      <w:tr>
        <w:trPr>
          <w:trHeight w:val="210"/>
        </w:trPr>
        <w:tc>
          <w:tcPr>
            <w:tcW w:w="7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35" w:lineRule="exact"/>
        <w:rPr>
          <w:sz w:val="20"/>
          <w:szCs w:val="20"/>
          <w:color w:val="auto"/>
        </w:rPr>
      </w:pPr>
    </w:p>
    <w:p>
      <w:pPr>
        <w:spacing w:after="0" w:line="395" w:lineRule="auto"/>
        <w:rPr>
          <w:sz w:val="20"/>
          <w:szCs w:val="20"/>
          <w:color w:val="auto"/>
        </w:rPr>
      </w:pPr>
      <w:r>
        <w:rPr>
          <w:rFonts w:ascii="Arial" w:cs="Arial" w:eastAsia="Arial" w:hAnsi="Arial"/>
          <w:sz w:val="16"/>
          <w:szCs w:val="16"/>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8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(1,769)</w:t>
            </w:r>
          </w:p>
        </w:tc>
        <w:tc>
          <w:tcPr>
            <w:tcW w:w="5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(1,209)</w:t>
            </w:r>
          </w:p>
        </w:tc>
      </w:tr>
      <w:tr>
        <w:trPr>
          <w:trHeight w:val="242"/>
        </w:trPr>
        <w:tc>
          <w:tcPr>
            <w:tcW w:w="560" w:type="dxa"/>
            <w:vAlign w:val="bottom"/>
          </w:tcPr>
          <w:p>
            <w:pPr>
              <w:spacing w:after="0"/>
              <w:rPr>
                <w:sz w:val="21"/>
                <w:szCs w:val="21"/>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3,803</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4,064</w:t>
            </w:r>
          </w:p>
        </w:tc>
        <w:tc>
          <w:tcPr>
            <w:tcW w:w="60" w:type="dxa"/>
            <w:vAlign w:val="bottom"/>
          </w:tcPr>
          <w:p>
            <w:pPr>
              <w:spacing w:after="0"/>
              <w:rPr>
                <w:sz w:val="21"/>
                <w:szCs w:val="21"/>
                <w:color w:val="auto"/>
              </w:rPr>
            </w:pPr>
          </w:p>
        </w:tc>
      </w:tr>
      <w:tr>
        <w:trPr>
          <w:trHeight w:val="223"/>
        </w:trPr>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w:t>
            </w:r>
          </w:p>
        </w:tc>
        <w:tc>
          <w:tcPr>
            <w:tcW w:w="60" w:type="dxa"/>
            <w:vAlign w:val="bottom"/>
          </w:tcPr>
          <w:p>
            <w:pPr>
              <w:spacing w:after="0"/>
              <w:rPr>
                <w:sz w:val="19"/>
                <w:szCs w:val="19"/>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-333375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jc w:val="center"/>
        <w:ind w:right="4740"/>
        <w:spacing w:after="0"/>
        <w:rPr>
          <w:sz w:val="20"/>
          <w:szCs w:val="20"/>
          <w:color w:val="auto"/>
        </w:rPr>
      </w:pPr>
      <w:r>
        <w:rPr>
          <w:rFonts w:ascii="Arial" w:cs="Arial" w:eastAsia="Arial" w:hAnsi="Arial"/>
          <w:sz w:val="15"/>
          <w:szCs w:val="15"/>
          <w:i w:val="1"/>
          <w:iCs w:val="1"/>
          <w:color w:val="auto"/>
        </w:rPr>
        <w:t>See accompanying notes</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80" w:space="660"/>
            <w:col w:w="650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March 31, 2021 and December 31, 2020, the results of operations for the three months ended March 31, 2021 and 2020, and the cash flows for the three months ended March 31, 2021 and 2020. The results of operations for the three months ended March 31, 2021 and 2020 are not necessarily indicative of the results for a full-year period. These interim unaudited condensed consolidated financial statements should be read in conjunction with the financial statements included in our Annual Report on Form 10-K for the year ended December 31, 2020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2020. There have been no changes to these policies during the three months ended March 31, 2021 that are of significance or potential significance to the Company.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Recent accounting pronouncements: </w:t>
      </w:r>
      <w:r>
        <w:rPr>
          <w:rFonts w:ascii="Arial" w:cs="Arial" w:eastAsia="Arial" w:hAnsi="Arial"/>
          <w:sz w:val="18"/>
          <w:szCs w:val="18"/>
          <w:color w:val="auto"/>
        </w:rPr>
        <w:t>The Company has determined that recently issued accounting standards will not have a material impact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our cash and cash equivalents were approximately $2,034 compared to $3,803 as of December 31, 2020. Our working capital was $19,520 as of March 31, 2021. Net cash used in operating activities was $13 for the three months ended March 31, 2021, a decrease of $544 from $531 of cash provided by operating activities in the three months ended March 31, 2020.</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pursuing all available legal remedies to defend our strategic patents from infringement. We have already spent approximately $21,985 from 2016 through March 31, 2021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the way for ClearOne’s recovery from the immense harm inflicted by our competitor's infringement of our valuable patents. For more information about our intellectual property litigation, See Note 8. Commitments and Contingencies - Legal Proceedings, in our annual report on Form 10-K for the year ended December 31, 2020 and Part II, Item 1. Legal Proceedings in this quarterly report.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actively engaged in preserving cash by suspending our dividend program and allowing our share repurchase program to expire in 2018 and implementing company-wide cost reduction measures. We have also raised additional capital in 2019 by issuing senior convertible notes and in 2020 by borrowing through the CARES Act Paycheck Protection Program and issuing common stock and warrants. In addition, we expect to generate additional cash as our inventory levels are brought down to historical levels.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believe that the measures taken by us will yield higher revenues in the future. We believe, although there can be no assurance, that all of these measures and effective management of working capital will provide the liquidity needed to meet our operating needs through at least May 14, 2022.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2. Revenue Information</w:t>
            </w: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80" w:type="dxa"/>
            <w:vAlign w:val="bottom"/>
          </w:tcPr>
          <w:p>
            <w:pPr>
              <w:spacing w:after="0"/>
              <w:rPr>
                <w:sz w:val="20"/>
                <w:szCs w:val="20"/>
                <w:color w:val="auto"/>
              </w:rPr>
            </w:pPr>
            <w:r>
              <w:rPr>
                <w:rFonts w:ascii="Arial" w:cs="Arial" w:eastAsia="Arial" w:hAnsi="Arial"/>
                <w:sz w:val="18"/>
                <w:szCs w:val="18"/>
                <w:color w:val="auto"/>
                <w:w w:val="97"/>
              </w:rPr>
              <w:t>The following table disaggregates the Company’s revenue into primary product groups:</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80" w:type="dxa"/>
            <w:vAlign w:val="bottom"/>
          </w:tcPr>
          <w:p>
            <w:pPr>
              <w:spacing w:after="0"/>
              <w:rPr>
                <w:sz w:val="24"/>
                <w:szCs w:val="2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2,787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Microphones</w:t>
            </w:r>
          </w:p>
        </w:tc>
        <w:tc>
          <w:tcPr>
            <w:tcW w:w="10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2,350</w:t>
            </w:r>
          </w:p>
        </w:tc>
        <w:tc>
          <w:tcPr>
            <w:tcW w:w="10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2,143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10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1,853</w:t>
            </w:r>
          </w:p>
        </w:tc>
        <w:tc>
          <w:tcPr>
            <w:tcW w:w="10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7,038</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5,734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The following table disaggregates the Company’s revenue into major regions:</w:t>
            </w: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80" w:type="dxa"/>
            <w:vAlign w:val="bottom"/>
          </w:tcPr>
          <w:p>
            <w:pPr>
              <w:spacing w:after="0"/>
              <w:rPr>
                <w:sz w:val="24"/>
                <w:szCs w:val="2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3,352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10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2,226</w:t>
            </w:r>
          </w:p>
        </w:tc>
        <w:tc>
          <w:tcPr>
            <w:tcW w:w="10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1,416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10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1,288</w:t>
            </w:r>
          </w:p>
        </w:tc>
        <w:tc>
          <w:tcPr>
            <w:tcW w:w="10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7,038</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5,734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5580"/>
              <w:spacing w:after="0"/>
              <w:rPr>
                <w:sz w:val="20"/>
                <w:szCs w:val="20"/>
                <w:color w:val="auto"/>
              </w:rPr>
            </w:pPr>
            <w:r>
              <w:rPr>
                <w:rFonts w:ascii="Arial" w:cs="Arial" w:eastAsia="Arial" w:hAnsi="Arial"/>
                <w:sz w:val="18"/>
                <w:szCs w:val="18"/>
                <w:color w:val="auto"/>
              </w:rPr>
              <w:t>7</w:t>
            </w: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7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w w:val="99"/>
              </w:rPr>
              <w:t>The following table sets forth the computation of basic and diluted earnings (loss) per common share: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(1,655)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(1,847)</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000" w:type="dxa"/>
            <w:vAlign w:val="bottom"/>
          </w:tcPr>
          <w:p>
            <w:pPr>
              <w:ind w:left="42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18,775,773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16,650,725</w:t>
            </w:r>
          </w:p>
        </w:tc>
      </w:tr>
      <w:tr>
        <w:trPr>
          <w:trHeight w:val="243"/>
        </w:trPr>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common stock equivalents using treasury stock method</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77"/>
        </w:trPr>
        <w:tc>
          <w:tcPr>
            <w:tcW w:w="80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18,775,773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16,650,725</w:t>
            </w:r>
          </w:p>
        </w:tc>
      </w:tr>
      <w:tr>
        <w:trPr>
          <w:trHeight w:val="197"/>
        </w:trPr>
        <w:tc>
          <w:tcPr>
            <w:tcW w:w="8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r>
      <w:tr>
        <w:trPr>
          <w:trHeight w:val="229"/>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warrants and convertible portion of senior convertible notes outstanding</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3,636,117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542,818</w:t>
            </w: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rPr>
              <w:t>Anti-dilutive options, warrants and convertible portion of senior convertible notes not included in the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computation</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3,636,117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542,818</w:t>
            </w:r>
          </w:p>
        </w:tc>
      </w:tr>
      <w:tr>
        <w:trPr>
          <w:trHeight w:val="459"/>
        </w:trPr>
        <w:tc>
          <w:tcPr>
            <w:tcW w:w="8000" w:type="dxa"/>
            <w:vAlign w:val="bottom"/>
          </w:tcPr>
          <w:p>
            <w:pPr>
              <w:ind w:left="55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80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loss in stockholders’ equity until realized. Gains and losses on marketable security transactions are reported on the specific-identification method. Dividend and interest income are recognized when earned.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March 31, 2021 and December 31, 2020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holding losses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1"/>
                <w:szCs w:val="21"/>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1,746</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2,751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1"/>
                <w:szCs w:val="21"/>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2,848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1,807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2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Total available-for-sale securities</w:t>
            </w:r>
          </w:p>
        </w:tc>
        <w:tc>
          <w:tcPr>
            <w:tcW w:w="28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2,751</w:t>
            </w: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2,774</w:t>
            </w:r>
          </w:p>
        </w:tc>
        <w:tc>
          <w:tcPr>
            <w:tcW w:w="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40" w:type="dxa"/>
            <w:vAlign w:val="bottom"/>
            <w:vMerge w:val="restart"/>
          </w:tcPr>
          <w:p>
            <w:pPr>
              <w:jc w:val="right"/>
              <w:ind w:right="12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1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in an unrealized loss position as of March 31, 2021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ind w:left="240"/>
              <w:spacing w:after="0"/>
              <w:rPr>
                <w:sz w:val="20"/>
                <w:szCs w:val="20"/>
                <w:color w:val="auto"/>
              </w:rPr>
            </w:pPr>
            <w:r>
              <w:rPr>
                <w:rFonts w:ascii="Arial" w:cs="Arial" w:eastAsia="Arial" w:hAnsi="Arial"/>
                <w:sz w:val="18"/>
                <w:szCs w:val="18"/>
                <w:b w:val="1"/>
                <w:bCs w:val="1"/>
                <w:color w:val="auto"/>
              </w:rPr>
              <w:t>Less than 12 months</w:t>
            </w:r>
          </w:p>
        </w:tc>
        <w:tc>
          <w:tcPr>
            <w:tcW w:w="240" w:type="dxa"/>
            <w:vAlign w:val="bottom"/>
          </w:tcPr>
          <w:p>
            <w:pPr>
              <w:spacing w:after="0"/>
              <w:rPr>
                <w:sz w:val="20"/>
                <w:szCs w:val="20"/>
                <w:color w:val="auto"/>
              </w:rPr>
            </w:pPr>
          </w:p>
        </w:tc>
        <w:tc>
          <w:tcPr>
            <w:tcW w:w="2440" w:type="dxa"/>
            <w:vAlign w:val="bottom"/>
            <w:gridSpan w:val="5"/>
          </w:tcPr>
          <w:p>
            <w:pPr>
              <w:ind w:left="180"/>
              <w:spacing w:after="0"/>
              <w:rPr>
                <w:sz w:val="20"/>
                <w:szCs w:val="20"/>
                <w:color w:val="auto"/>
              </w:rPr>
            </w:pPr>
            <w:r>
              <w:rPr>
                <w:rFonts w:ascii="Arial" w:cs="Arial" w:eastAsia="Arial" w:hAnsi="Arial"/>
                <w:sz w:val="18"/>
                <w:szCs w:val="18"/>
                <w:b w:val="1"/>
                <w:bCs w:val="1"/>
                <w:color w:val="auto"/>
              </w:rPr>
              <w:t>More than 12 months</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gridSpan w:val="2"/>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unrealized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r>
      <w:tr>
        <w:trPr>
          <w:trHeight w:val="234"/>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2"/>
              </w:rPr>
              <w:t>holding losses</w:t>
            </w: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holding losses</w:t>
            </w:r>
          </w:p>
        </w:tc>
        <w:tc>
          <w:tcPr>
            <w:tcW w:w="2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2"/>
              </w:rPr>
              <w:t>holding losses</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March 31, 2021</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2021 and December 31,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Estimated useful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lives (years)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March 31, 2021</w:t>
            </w: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2020</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to 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ind w:left="80"/>
              <w:spacing w:after="0"/>
              <w:rPr>
                <w:sz w:val="20"/>
                <w:szCs w:val="20"/>
                <w:color w:val="auto"/>
              </w:rPr>
            </w:pPr>
            <w:r>
              <w:rPr>
                <w:rFonts w:ascii="Arial" w:cs="Arial" w:eastAsia="Arial" w:hAnsi="Arial"/>
                <w:sz w:val="18"/>
                <w:szCs w:val="18"/>
                <w:color w:val="auto"/>
              </w:rPr>
              <w:t>to 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27,176</w:t>
            </w:r>
          </w:p>
        </w:tc>
        <w:tc>
          <w:tcPr>
            <w:tcW w:w="5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25,427</w:t>
            </w:r>
          </w:p>
        </w:tc>
      </w:tr>
      <w:tr>
        <w:trPr>
          <w:trHeight w:val="22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15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2,981</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2,981</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ind w:left="60"/>
              <w:spacing w:after="0"/>
              <w:rPr>
                <w:sz w:val="20"/>
                <w:szCs w:val="20"/>
                <w:color w:val="auto"/>
              </w:rPr>
            </w:pPr>
            <w:r>
              <w:rPr>
                <w:rFonts w:ascii="Arial" w:cs="Arial" w:eastAsia="Arial" w:hAnsi="Arial"/>
                <w:sz w:val="18"/>
                <w:szCs w:val="18"/>
                <w:color w:val="auto"/>
              </w:rPr>
              <w:t>to 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5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r>
      <w:tr>
        <w:trPr>
          <w:trHeight w:val="210"/>
        </w:trPr>
        <w:tc>
          <w:tcPr>
            <w:tcW w:w="5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29,286</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(10,549)</w:t>
            </w: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(10,038)</w:t>
            </w:r>
          </w:p>
        </w:tc>
      </w:tr>
      <w:tr>
        <w:trPr>
          <w:trHeight w:val="223"/>
        </w:trPr>
        <w:tc>
          <w:tcPr>
            <w:tcW w:w="5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March 31, 2021 and 2020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gridSpan w:val="3"/>
          </w:tcPr>
          <w:p>
            <w:pPr>
              <w:jc w:val="right"/>
              <w:ind w:right="87"/>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9"/>
                <w:szCs w:val="19"/>
                <w:color w:val="auto"/>
              </w:rPr>
            </w:pPr>
          </w:p>
        </w:tc>
        <w:tc>
          <w:tcPr>
            <w:tcW w:w="13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w w:val="90"/>
              </w:rPr>
              <w:t>The estimated future amortization expense of intangible assets is as follows:</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194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2022</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2,107</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2,101</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2024</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1,837</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1,776</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Thereafter</w:t>
            </w: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11,085</w:t>
            </w: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vMerge w:val="restart"/>
          </w:tcPr>
          <w:p>
            <w:pPr>
              <w:jc w:val="right"/>
              <w:ind w:right="970"/>
              <w:spacing w:after="0"/>
              <w:rPr>
                <w:sz w:val="20"/>
                <w:szCs w:val="20"/>
                <w:color w:val="auto"/>
              </w:rPr>
            </w:pPr>
            <w:r>
              <w:rPr>
                <w:rFonts w:ascii="Arial" w:cs="Arial" w:eastAsia="Arial" w:hAnsi="Arial"/>
                <w:sz w:val="18"/>
                <w:szCs w:val="18"/>
                <w:color w:val="auto"/>
                <w:w w:val="89"/>
              </w:rPr>
              <w:t>10</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5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March 31, 2021 and December 31, 2020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2020</w:t>
            </w: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38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1,182</w:t>
            </w:r>
          </w:p>
        </w:tc>
      </w:tr>
      <w:tr>
        <w:trPr>
          <w:trHeight w:val="243"/>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9,281</w:t>
            </w:r>
          </w:p>
        </w:tc>
      </w:tr>
      <w:tr>
        <w:trPr>
          <w:trHeight w:val="263"/>
        </w:trPr>
        <w:tc>
          <w:tcPr>
            <w:tcW w:w="73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10,463</w:t>
            </w:r>
          </w:p>
        </w:tc>
        <w:tc>
          <w:tcPr>
            <w:tcW w:w="100" w:type="dxa"/>
            <w:vAlign w:val="bottom"/>
            <w:tcBorders>
              <w:bottom w:val="single" w:sz="8" w:color="CCEEFF"/>
            </w:tcBorders>
          </w:tcPr>
          <w:p>
            <w:pPr>
              <w:spacing w:after="0"/>
              <w:rPr>
                <w:sz w:val="22"/>
                <w:szCs w:val="22"/>
                <w:color w:val="auto"/>
              </w:rPr>
            </w:pPr>
          </w:p>
        </w:tc>
      </w:tr>
      <w:tr>
        <w:trPr>
          <w:trHeight w:val="196"/>
        </w:trPr>
        <w:tc>
          <w:tcPr>
            <w:tcW w:w="7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Long-term:</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r>
      <w:tr>
        <w:trPr>
          <w:trHeight w:val="223"/>
        </w:trPr>
        <w:tc>
          <w:tcPr>
            <w:tcW w:w="7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for the three months ended March 31, 2021 and 2020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7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r>
      <w:tr>
        <w:trPr>
          <w:trHeight w:val="182"/>
        </w:trPr>
        <w:tc>
          <w:tcPr>
            <w:tcW w:w="6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Net loss incurred on valuation of inventory at lower of cost or market value and write-off of</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obsolete inventory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Rent expense is recognized on a straight-line basis over the period of the lease taking into account future rent escalation and holiday periods.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three months ended March 31, 2021 and 2020 was as follows:</w:t>
      </w:r>
    </w:p>
    <w:p>
      <w:pPr>
        <w:spacing w:after="0" w:line="235"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8460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7540"/>
        <w:spacing w:after="0"/>
        <w:tabs>
          <w:tab w:leader="none" w:pos="98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spacing w:after="0"/>
        <w:tabs>
          <w:tab w:leader="none" w:pos="6640" w:val="left"/>
          <w:tab w:leader="none" w:pos="8500" w:val="left"/>
          <w:tab w:leader="none" w:pos="9000" w:val="left"/>
          <w:tab w:leader="none" w:pos="10840" w:val="left"/>
        </w:tabs>
        <w:rPr>
          <w:sz w:val="20"/>
          <w:szCs w:val="20"/>
          <w:color w:val="auto"/>
        </w:rPr>
      </w:pPr>
      <w:r>
        <w:rPr>
          <w:rFonts w:ascii="Arial" w:cs="Arial" w:eastAsia="Arial" w:hAnsi="Arial"/>
          <w:sz w:val="18"/>
          <w:szCs w:val="18"/>
          <w:color w:val="auto"/>
        </w:rPr>
        <w:t>Rent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184</w:t>
        <w:tab/>
        <w:t>$</w:t>
      </w:r>
      <w:r>
        <w:rPr>
          <w:sz w:val="20"/>
          <w:szCs w:val="20"/>
          <w:color w:val="auto"/>
        </w:rPr>
        <w:tab/>
      </w:r>
      <w:r>
        <w:rPr>
          <w:rFonts w:ascii="Arial" w:cs="Arial" w:eastAsia="Arial" w:hAnsi="Arial"/>
          <w:sz w:val="16"/>
          <w:szCs w:val="16"/>
          <w:color w:val="auto"/>
        </w:rPr>
        <w:t>187</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occupy a 1,350 square-foot facility in Gainesville, Florida under the terms of an operating lease expiring in February 2023. The Gainesville facility is used primarily to support our research and development activities.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950 square-foot facility in Austin, Texas under the terms of an operating lease expiring in October 2022. This facility supports our sales, marketing, customer support, and research and development activities.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2022. This office supports our research and development and customer support activities.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6,175 square-foot facility in Chennai, India under the terms of an operating lease expiring in August 2021. This facility supports our administrative, marketing, customer support, and research and product development activities.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4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420"/>
              <w:spacing w:after="0"/>
              <w:rPr>
                <w:sz w:val="20"/>
                <w:szCs w:val="20"/>
                <w:color w:val="auto"/>
              </w:rPr>
            </w:pPr>
            <w:r>
              <w:rPr>
                <w:rFonts w:ascii="Arial" w:cs="Arial" w:eastAsia="Arial" w:hAnsi="Arial"/>
                <w:sz w:val="18"/>
                <w:szCs w:val="18"/>
                <w:color w:val="auto"/>
              </w:rPr>
              <w:t>Operating cash flows from operating leases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00" w:type="dxa"/>
            <w:vAlign w:val="bottom"/>
          </w:tcPr>
          <w:p>
            <w:pPr>
              <w:ind w:left="420"/>
              <w:spacing w:after="0"/>
              <w:rPr>
                <w:sz w:val="20"/>
                <w:szCs w:val="20"/>
                <w:color w:val="auto"/>
              </w:rPr>
            </w:pPr>
            <w:r>
              <w:rPr>
                <w:rFonts w:ascii="Arial" w:cs="Arial" w:eastAsia="Arial" w:hAnsi="Arial"/>
                <w:sz w:val="18"/>
                <w:szCs w:val="18"/>
                <w:color w:val="auto"/>
              </w:rPr>
              <w:t>Operating leases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418"/>
        </w:trPr>
        <w:tc>
          <w:tcPr>
            <w:tcW w:w="640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6"/>
              </w:rPr>
              <w:t>March 31, 2021</w:t>
            </w:r>
          </w:p>
        </w:tc>
        <w:tc>
          <w:tcPr>
            <w:tcW w:w="18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6"/>
              </w:rPr>
              <w:t>December 31, 2020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 included in 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Pr>
          <w:p>
            <w:pPr>
              <w:spacing w:after="0"/>
              <w:rPr>
                <w:sz w:val="21"/>
                <w:szCs w:val="21"/>
                <w:color w:val="auto"/>
              </w:rPr>
            </w:pPr>
          </w:p>
        </w:tc>
        <w:tc>
          <w:tcPr>
            <w:tcW w:w="1760" w:type="dxa"/>
            <w:vAlign w:val="bottom"/>
            <w:gridSpan w:val="3"/>
          </w:tcPr>
          <w:p>
            <w:pPr>
              <w:jc w:val="right"/>
              <w:ind w:right="280"/>
              <w:spacing w:after="0"/>
              <w:rPr>
                <w:sz w:val="20"/>
                <w:szCs w:val="20"/>
                <w:color w:val="auto"/>
              </w:rPr>
            </w:pPr>
            <w:r>
              <w:rPr>
                <w:rFonts w:ascii="Arial" w:cs="Arial" w:eastAsia="Arial" w:hAnsi="Arial"/>
                <w:sz w:val="18"/>
                <w:szCs w:val="18"/>
                <w:color w:val="auto"/>
              </w:rPr>
              <w:t>1,353</w:t>
            </w:r>
          </w:p>
        </w:tc>
        <w:tc>
          <w:tcPr>
            <w:tcW w:w="180" w:type="dxa"/>
            <w:vAlign w:val="bottom"/>
          </w:tcPr>
          <w:p>
            <w:pPr>
              <w:spacing w:after="0"/>
              <w:rPr>
                <w:sz w:val="21"/>
                <w:szCs w:val="21"/>
                <w:color w:val="auto"/>
              </w:rPr>
            </w:pPr>
          </w:p>
        </w:tc>
        <w:tc>
          <w:tcPr>
            <w:tcW w:w="1680" w:type="dxa"/>
            <w:vAlign w:val="bottom"/>
            <w:gridSpan w:val="4"/>
          </w:tcPr>
          <w:p>
            <w:pPr>
              <w:jc w:val="right"/>
              <w:ind w:right="16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180" w:type="dxa"/>
            <w:vAlign w:val="bottom"/>
            <w:shd w:val="clear" w:color="auto" w:fill="CCEEFF"/>
          </w:tcPr>
          <w:p>
            <w:pPr>
              <w:spacing w:after="0"/>
              <w:rPr>
                <w:sz w:val="22"/>
                <w:szCs w:val="22"/>
                <w:color w:val="auto"/>
              </w:rPr>
            </w:pPr>
          </w:p>
        </w:tc>
        <w:tc>
          <w:tcPr>
            <w:tcW w:w="1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22"/>
                <w:szCs w:val="22"/>
                <w:color w:val="auto"/>
              </w:rPr>
            </w:pPr>
          </w:p>
        </w:tc>
        <w:tc>
          <w:tcPr>
            <w:tcW w:w="1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Weighted average discount rate for operating leases</w:t>
            </w:r>
          </w:p>
        </w:tc>
        <w:tc>
          <w:tcPr>
            <w:tcW w:w="180" w:type="dxa"/>
            <w:vAlign w:val="bottom"/>
          </w:tcPr>
          <w:p>
            <w:pPr>
              <w:spacing w:after="0"/>
              <w:rPr>
                <w:sz w:val="23"/>
                <w:szCs w:val="23"/>
                <w:color w:val="auto"/>
              </w:rPr>
            </w:pP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3"/>
                <w:szCs w:val="23"/>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The following represents maturities of operating lease liabilities as of March 31, 2021:</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2021 (Remainder)</w:t>
            </w:r>
          </w:p>
        </w:tc>
        <w:tc>
          <w:tcPr>
            <w:tcW w:w="18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660"/>
              <w:spacing w:after="0"/>
              <w:rPr>
                <w:sz w:val="20"/>
                <w:szCs w:val="20"/>
                <w:color w:val="auto"/>
              </w:rPr>
            </w:pPr>
            <w:r>
              <w:rPr>
                <w:rFonts w:ascii="Arial" w:cs="Arial" w:eastAsia="Arial" w:hAnsi="Arial"/>
                <w:sz w:val="18"/>
                <w:szCs w:val="18"/>
                <w:color w:val="auto"/>
              </w:rPr>
              <w:t>Total lease payments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2,123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6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1,914</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8. Shareholders' Equity</w:t>
            </w:r>
          </w:p>
        </w:tc>
        <w:tc>
          <w:tcPr>
            <w:tcW w:w="2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and additional paid-in capital</w:t>
            </w:r>
          </w:p>
        </w:tc>
        <w:tc>
          <w:tcPr>
            <w:tcW w:w="2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8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63,378</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58,537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0"/>
                <w:szCs w:val="20"/>
                <w:color w:val="auto"/>
              </w:rPr>
            </w:pPr>
            <w:r>
              <w:rPr>
                <w:rFonts w:ascii="Arial" w:cs="Arial" w:eastAsia="Arial" w:hAnsi="Arial"/>
                <w:sz w:val="18"/>
                <w:szCs w:val="18"/>
                <w:color w:val="auto"/>
              </w:rPr>
              <w:t>Proceeds from employee stock purchase plan</w:t>
            </w:r>
          </w:p>
        </w:tc>
        <w:tc>
          <w:tcPr>
            <w:tcW w:w="2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7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63,413</w:t>
            </w: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8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 net of tax</w:t>
            </w:r>
          </w:p>
        </w:tc>
        <w:tc>
          <w:tcPr>
            <w:tcW w:w="2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7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deficit</w:t>
            </w:r>
          </w:p>
        </w:tc>
        <w:tc>
          <w:tcPr>
            <w:tcW w:w="2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8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(13,378)</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(13,883)</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(1,655)</w:t>
            </w:r>
          </w:p>
        </w:tc>
        <w:tc>
          <w:tcPr>
            <w:tcW w:w="1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end of period</w:t>
            </w:r>
          </w:p>
        </w:tc>
        <w:tc>
          <w:tcPr>
            <w:tcW w:w="27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(15,033)</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(15,730)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38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48,180</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42,614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720" w:type="dxa"/>
            <w:vAlign w:val="bottom"/>
            <w:vMerge w:val="restart"/>
          </w:tcPr>
          <w:p>
            <w:pPr>
              <w:jc w:val="right"/>
              <w:ind w:right="1750"/>
              <w:spacing w:after="0"/>
              <w:rPr>
                <w:sz w:val="20"/>
                <w:szCs w:val="20"/>
                <w:color w:val="auto"/>
              </w:rPr>
            </w:pPr>
            <w:r>
              <w:rPr>
                <w:rFonts w:ascii="Arial" w:cs="Arial" w:eastAsia="Arial" w:hAnsi="Arial"/>
                <w:sz w:val="18"/>
                <w:szCs w:val="18"/>
                <w:color w:val="auto"/>
              </w:rPr>
              <w:t>13</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84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9.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Convertible Notes and Warrants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46.6% of the Company’s issued and outstanding shares of Common Stock at the time that the Notes and Warrants were issued to him.</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proceeds after original issue discount and issuance costs of $346 were approximately $2,654. The Company expects to use the proceeds from the sale of the Notes and Warrants for general corporate purposes and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accounting for the issuance of the Notes, the Company separated Notes and Warrants into liability and equity components. The carrying amount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Warrants, being an equity component, was first calculated using Black-Scholes method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life of warrants (years)</w:t>
            </w: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3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82"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The original issue discount and issuance costs are netted against the liability. The following table represents the carrying value of Notes and Warrants: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0"/>
                <w:szCs w:val="20"/>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component:</w:t>
            </w:r>
          </w:p>
        </w:tc>
        <w:tc>
          <w:tcPr>
            <w:tcW w:w="22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Principal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2,910</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 and issuance costs, net of amortization</w:t>
            </w:r>
          </w:p>
        </w:tc>
        <w:tc>
          <w:tcPr>
            <w:tcW w:w="2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line="223" w:lineRule="exact"/>
              <w:rPr>
                <w:sz w:val="20"/>
                <w:szCs w:val="20"/>
                <w:color w:val="auto"/>
              </w:rPr>
            </w:pPr>
            <w:r>
              <w:rPr>
                <w:rFonts w:ascii="Arial" w:cs="Arial" w:eastAsia="Arial" w:hAnsi="Arial"/>
                <w:sz w:val="16"/>
                <w:szCs w:val="16"/>
                <w:color w:val="auto"/>
              </w:rPr>
              <w:t>Equity component</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Warrants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Conversion feature</w:t>
            </w:r>
          </w:p>
        </w:tc>
        <w:tc>
          <w:tcPr>
            <w:tcW w:w="2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Current portion of liability component included under short-term debt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Long-term portion of liability component included under long-term debt</w:t>
            </w:r>
          </w:p>
        </w:tc>
        <w:tc>
          <w:tcPr>
            <w:tcW w:w="2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Liability component 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212529"/>
                <w:w w:val="99"/>
              </w:rPr>
              <w:t>(1) Recorded on the condensed consolidated balance sheets as additional paid-in capital.</w:t>
            </w: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Debt discount and issuance costs are amortized over the life of the note to interest expense using the effective interest method. During the three months ended March 31, 2021 and March 31, 2020, amortization of debt discount and issuance costs was $49 and $49, respectively. The following table represents schedule of maturities of principal amount contained in the Notes as of March 31,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240" w:type="dxa"/>
            <w:vAlign w:val="bottom"/>
            <w:gridSpan w:val="3"/>
          </w:tcPr>
          <w:p>
            <w:pPr>
              <w:spacing w:after="0"/>
              <w:rPr>
                <w:sz w:val="20"/>
                <w:szCs w:val="20"/>
                <w:color w:val="auto"/>
              </w:rPr>
            </w:pPr>
            <w:r>
              <w:rPr>
                <w:rFonts w:ascii="Arial" w:cs="Arial" w:eastAsia="Arial" w:hAnsi="Arial"/>
                <w:sz w:val="18"/>
                <w:szCs w:val="18"/>
                <w:b w:val="1"/>
                <w:bCs w:val="1"/>
                <w:color w:val="auto"/>
                <w:w w:val="96"/>
              </w:rPr>
              <w:t>Principal Amount Maturing</w:t>
            </w: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(Remainder)</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60" w:type="dxa"/>
            <w:vAlign w:val="bottom"/>
            <w:tcBorders>
              <w:top w:val="single" w:sz="8" w:color="CFF0FC"/>
            </w:tcBorders>
            <w:shd w:val="clear" w:color="auto" w:fill="CFF0FC"/>
          </w:tcPr>
          <w:p>
            <w:pPr>
              <w:spacing w:after="0"/>
              <w:rPr>
                <w:sz w:val="19"/>
                <w:szCs w:val="19"/>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21"/>
                <w:szCs w:val="21"/>
                <w:color w:val="auto"/>
              </w:rPr>
            </w:pPr>
          </w:p>
        </w:tc>
      </w:tr>
      <w:tr>
        <w:trPr>
          <w:trHeight w:val="24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60" w:type="dxa"/>
            <w:vAlign w:val="bottom"/>
            <w:shd w:val="clear" w:color="auto" w:fill="CFF0FC"/>
          </w:tcPr>
          <w:p>
            <w:pPr>
              <w:spacing w:after="0"/>
              <w:rPr>
                <w:sz w:val="21"/>
                <w:szCs w:val="2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principal amount</w:t>
            </w:r>
          </w:p>
        </w:tc>
        <w:tc>
          <w:tcPr>
            <w:tcW w:w="9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Paycheck Protection Program Loan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18, 2020, the Company, entered into a loan agreement with U.S. Bank National Association Bank, which provided for a loan in the principal amount of $1,499 (“PPP Loan”) pursuant to the Paycheck Protection Program under Division A, Title I of the CARES Act, which was enacted March 27, 2020. The PPP Loan has a two-year term and bears interest at a rate of 1.0% per annum. Monthly principal and interest payments are deferred for approximately sixteen months after the date of disbursement.</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PPP Loan may be prepaid at any time prior to maturity with no prepayment penalties. The PPP Loan contains events of default and other provisions customary for a loan of this type. The Paycheck Protection Program provides that the Loans may be partially or wholly forgiven if the funds are used for certain qualifying expenses as described in the CARES Act. The Company intends to use the entire PPP Loan amount for qualifying expenses and to apply for forgiveness of the PPP Loan in accordance with the terms of the CARES Act.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of the PPP Loan included under short-term debt</w:t>
            </w:r>
          </w:p>
        </w:tc>
        <w:tc>
          <w:tcPr>
            <w:tcW w:w="24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Long-term portion of the PPP Loan included under long-term debt</w:t>
            </w:r>
          </w:p>
        </w:tc>
        <w:tc>
          <w:tcPr>
            <w:tcW w:w="2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component total</w:t>
            </w:r>
          </w:p>
        </w:tc>
        <w:tc>
          <w:tcPr>
            <w:tcW w:w="24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0" w:type="dxa"/>
            <w:vAlign w:val="bottom"/>
            <w:vMerge w:val="restart"/>
          </w:tcPr>
          <w:p>
            <w:pPr>
              <w:jc w:val="right"/>
              <w:ind w:right="175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substantial majority of the Company’s financial instruments are valued using observable inputs. The following table sets forth the fair value of the financial instruments re-measured by the Company as of March 31, 2021 and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1,746</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1,746</w:t>
            </w:r>
          </w:p>
        </w:tc>
        <w:tc>
          <w:tcPr>
            <w:tcW w:w="80" w:type="dxa"/>
            <w:vAlign w:val="bottom"/>
            <w:shd w:val="clear" w:color="auto" w:fill="CCEEFF"/>
          </w:tcPr>
          <w:p>
            <w:pPr>
              <w:spacing w:after="0"/>
              <w:rPr>
                <w:sz w:val="21"/>
                <w:szCs w:val="21"/>
                <w:color w:val="auto"/>
              </w:rPr>
            </w:pPr>
          </w:p>
        </w:tc>
      </w:tr>
      <w:tr>
        <w:trPr>
          <w:trHeight w:val="263"/>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2,774</w:t>
            </w:r>
          </w:p>
        </w:tc>
        <w:tc>
          <w:tcPr>
            <w:tcW w:w="2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2020</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1,338</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1,338</w:t>
            </w:r>
          </w:p>
        </w:tc>
        <w:tc>
          <w:tcPr>
            <w:tcW w:w="8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CEEFF"/>
          </w:tcPr>
          <w:p>
            <w:pPr>
              <w:spacing w:after="0"/>
              <w:rPr>
                <w:sz w:val="21"/>
                <w:szCs w:val="2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Provision for income taxes for the three months ended March 31, 2021 represents income tax expense recorded for jurisdictions outside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2019.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and in Part I, Item 1A “Risk Factors” in our Annual Report on Form 10-K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During the first quarter of 2021, we announced two new powerful cameras that enhance the ease and visual quality of online collaboration beyond the capabilities of integrated laptop and PC cameras. With the new ClearOne UNITE® 10, the company’s most affordable camera ever, and the feature-rich ClearOne UNITE 50 4K AF that includes Auto-Framing technology for automatic single- or multi-person capture, everyone can take on the new year with the confidence provided by stunning video that puts them in the best possible light. We recognized that millions of people were expected to use video collaboration tools, for the first time, and the rapid societal shift to home-based and remote work left a lot of people desiring higher quality video solutions to ensure they make a good impression and enjoy reliable, clear and efficient communication. For users who want to upgrade from the basic camera included in their laptop or PC, ClearOne has lowered the barrier of entry with its most affordable webcam ever, the UNITE 10. The small, powerful webcam supports up to 1080p video quality and offers autofocus. The UNITE 10 can capture five-megapixel images with a field of view up to 87 degrees, while major competitors at this price point only achieve 78-degree field of view. The UNITE 10 attaches any PC or laptop with a simple mounting bracket, and a 1.5m USB-A cable ensures simple connection to most modern computers. The UNITE 10 is also available to dealers and distributors in 20 packs for commercial sale. The new UNITE 50 4K AF camera is a major upgrade over traditional webcams and introduces ClearOne’s new Auto-Framing technology that automatically frames meeting participants to maximize screen use through intelligent image algorithms and ePTZ automation (electronic pan, tilt and zoom). With 4K video quality at 30 Hz, auto-focus capability, 4x digital zoom, more than 8 megapixels of total resolution and an ultra-wide 110-degree field of view, the UNITE 50 4K AF ePTZ is equally capable of delivering incredible image quality from a home office as it is at capturing all participants in an office boardroom.</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camera can be controlled through an IR remote, further simplifying use and enabling real-time control of pan, tilt and zoom to provide greater control when capturing multi-person meeting environments. A standard damping mount ensures fast, easy installation, while an included USB 3.0 cable provides both power and video. Both new ClearOne cameras enable life-like video quality to web-based conferencing applications including ClearOne’s COLLABORATE® Space, WebEx™, Google Meet, Zoom™, GoToMeeting™, and Microsoft® Teams.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During February 2021, we expanded the applications for our BMA 360 Beamforming Microphone Array Ceiling Tile with the addition of a new Voice Lift feature that allows its impeccable audio to be locally amplified and heard throughout classrooms, lecture halls, and large meeting rooms. announced a new Touch-Panel Controller, a highly intuitive 10-inch touch-screen device, designed for ClearOne’s CONVERGE® Pro 2 audio DSP mixers as well as COLLABORATE Live video conferencing room systems. Paired with CONVERGE Pro 2 DSP mixers, users can make and receive PSTN and/or VoIP conference calls, and multiparty calls with the easy-to-use on-screen dial pad. When paired with COLLABORATE Live, users can make and receive video calls as well as manage content sharing options. ClearOne’s powerful breakthrough technologies, FiBeam™ and DsBeam™, already found on the BMA 360, enable exceptional new levels of Voice Lift performance. FiBeam technology makes the BMA 360 the world’s first truly wideband, frequency-invariant beamforming mic array that provides the ultimate in natural and full-fidelity sound. DsBeam provides unparalleled sidelobe depth below -40 dB, resulting in superior rejection of reverb and noise and providing superb clarity and intelligibility. With the addition of the new Voice Lift feature, the BMA 360 offers everything desired in a beamforming microphone array ceiling tile—superior beamformed audio, echo cancellation, noise cancellation, auto-mixing, power amplifiers, and camera-tracking functions. The ClearOne architecture offers easy setup and configuration for foolproof installation which benefits AV practitioners. End-users also benefit from the BMA 360’s reduced overall system cost for maximum return on investment. Each BMA 360 can have up to four Voice Lift zones to provide a simple and intuitive way to drive multiple speaker groups, allowing everyone to easily hear and be heard. Built-in 4 channel power amplifiers make wiring simple, convenient, and provide a large cost savings. ClearOne’s innovative combination of built-in power amplifiers and mix-minus zones makes the Voice Lift feature extremely simple to create and deploy. The BMA 360, now with Voice Lift, sets another industry standard for exceptional mic pickup distance and system gain.</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first three months of 2021, we continued our efforts, primarily through litigation, to stop the infringement of our strategic patents. We also continued our programs to cut costs and to speed up product development that we believe will enable us to get back to a growth path.</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Overall revenue increased by 23% in the first quarter of 2021 when compared to the first quarter of 2020, primarily due to an increase in revenue from all major product categories with video products generating the highest revenue growth. Video products continue to enjoy high revenue growth primarily due to significant demand from work from home and learn from home market. Despite the negative impact of COVID-19 and the infringement of our patents by Shure on all professional installed products, our new solutions incorporating Beamforming Microphone Array Ceiling Tile ("BMA-CT") continued to result in overall Beamforming Microphone Array ("BMA") revenue to be significantly higher than last year. However, revenue from BMA products as well as from our pro audio products are still far below the levels prior to infringement of our patents. Our revenue is negatively impacted due to on-going harm of infringement of ClearOne’s patents despite the preliminary injunction granted against Shure as we believe Shure continues to infringe our patents and violates the preliminary injunction. The patent infringement also has negatively impacted directly the revenue from ClearOne’s other products not related to the infringed patents not withstanding a significant growth in revenue from video products this quarter. Our gross profit margin decreased to 42.7% during the first quarter of 2021 from 49.5% during the first quarter of 2020. Net loss decreased from $1.8 million in the first quarter of 2020 to $1.7 million in the first quarter of 2021. The decrease was mainly due to reduction in operating costs and increase in absolute gross profit dollars through higher revenue.</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believe the decision by the U.S. District Court in August 2019 granting our request for a preliminary injunction to prevent Shure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Shure from further infringing the Graham patent pending a full trial. Although there can be no assurance of any outcome of a full trial, we believe this ruling will help pave the way for ClearOne’s recovery from the immense harm inflicted by Shure's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September 1, 2020, the U.S. District Court of Northern Illinois held that "</w:t>
      </w:r>
      <w:r>
        <w:rPr>
          <w:rFonts w:ascii="Arial" w:cs="Arial" w:eastAsia="Arial" w:hAnsi="Arial"/>
          <w:sz w:val="18"/>
          <w:szCs w:val="18"/>
          <w:i w:val="1"/>
          <w:iCs w:val="1"/>
          <w:color w:val="auto"/>
        </w:rPr>
        <w:t>Shure</w:t>
      </w:r>
      <w:r>
        <w:rPr>
          <w:rFonts w:ascii="Arial" w:cs="Arial" w:eastAsia="Arial" w:hAnsi="Arial"/>
          <w:sz w:val="18"/>
          <w:szCs w:val="18"/>
          <w:color w:val="auto"/>
        </w:rPr>
        <w:t xml:space="preserve"> has violated the preliminary injunction order and is found in contempt because it designed the MXA910-A in such a way that allows it to be easily installed flush in most ceiling grids”. The Court also opined that, “[t]he record is clear and convincing that </w:t>
      </w:r>
      <w:r>
        <w:rPr>
          <w:rFonts w:ascii="Arial" w:cs="Arial" w:eastAsia="Arial" w:hAnsi="Arial"/>
          <w:sz w:val="18"/>
          <w:szCs w:val="18"/>
          <w:i w:val="1"/>
          <w:iCs w:val="1"/>
          <w:color w:val="auto"/>
        </w:rPr>
        <w:t>Shure</w:t>
      </w:r>
      <w:r>
        <w:rPr>
          <w:rFonts w:ascii="Arial" w:cs="Arial" w:eastAsia="Arial" w:hAnsi="Arial"/>
          <w:sz w:val="18"/>
          <w:szCs w:val="18"/>
          <w:color w:val="auto"/>
        </w:rPr>
        <w:t xml:space="preserve"> - through its design choices - violated the injunction order by allowing integrators to install the MXA910-A in the enjoined flush configuration.” Ultimately, the Court ordered that “</w:t>
      </w:r>
      <w:r>
        <w:rPr>
          <w:rFonts w:ascii="Arial" w:cs="Arial" w:eastAsia="Arial" w:hAnsi="Arial"/>
          <w:sz w:val="18"/>
          <w:szCs w:val="18"/>
          <w:i w:val="1"/>
          <w:iCs w:val="1"/>
          <w:color w:val="auto"/>
        </w:rPr>
        <w:t>Shure</w:t>
      </w:r>
      <w:r>
        <w:rPr>
          <w:rFonts w:ascii="Arial" w:cs="Arial" w:eastAsia="Arial" w:hAnsi="Arial"/>
          <w:sz w:val="18"/>
          <w:szCs w:val="18"/>
          <w:color w:val="auto"/>
        </w:rPr>
        <w:t xml:space="preserve"> shall no longer manufacture, market, or sell the MXA910...”. </w:t>
      </w:r>
      <w:r>
        <w:rPr>
          <w:rFonts w:ascii="Arial" w:cs="Arial" w:eastAsia="Arial" w:hAnsi="Arial"/>
          <w:sz w:val="18"/>
          <w:szCs w:val="18"/>
          <w:i w:val="1"/>
          <w:iCs w:val="1"/>
          <w:color w:val="auto"/>
        </w:rPr>
        <w:t>ClearOne’s</w:t>
      </w:r>
      <w:r>
        <w:rPr>
          <w:rFonts w:ascii="Arial" w:cs="Arial" w:eastAsia="Arial" w:hAnsi="Arial"/>
          <w:sz w:val="18"/>
          <w:szCs w:val="18"/>
          <w:color w:val="auto"/>
        </w:rPr>
        <w:t xml:space="preserve"> motion to accuse </w:t>
      </w:r>
      <w:r>
        <w:rPr>
          <w:rFonts w:ascii="Arial" w:cs="Arial" w:eastAsia="Arial" w:hAnsi="Arial"/>
          <w:sz w:val="18"/>
          <w:szCs w:val="18"/>
          <w:i w:val="1"/>
          <w:iCs w:val="1"/>
          <w:color w:val="auto"/>
        </w:rPr>
        <w:t>Shure’s</w:t>
      </w:r>
      <w:r>
        <w:rPr>
          <w:rFonts w:ascii="Arial" w:cs="Arial" w:eastAsia="Arial" w:hAnsi="Arial"/>
          <w:sz w:val="18"/>
          <w:szCs w:val="18"/>
          <w:color w:val="auto"/>
        </w:rPr>
        <w:t xml:space="preserve"> MXA910-US of infringing the ’806 Patent is still pending with the Court.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17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video products and beamforming microphone arrays, especially BMA-CT and the newly introduced BMA 360 are critical to our long term growth. We face intense competition in this market from well-established market leaders as well as emerging players rich with marketing funds. We expect our strategy of combining curated audio solutions with our high quality professional cameras, and our high-end audio conferencing technology will generate high growth in the near future.</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derive a major portion of our revenue (approximately 38% for the year ended December 31, 2020)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December 2019, a novel strain of coronavirus (“COVID-19”) started spreading from China and was declared a pandemic. The COVID-19 pandemic caused severe global disruptions and had varying impact on our business. The installed audio conferencing market was negatively impacted due to lockdowns, postponement of projects and restrictions on installers to visit commercial sites. On the other hand, COVID-19 generated higher than normal demand for our video products and personal conferencing products due to the significant expansion of work-from-home market. The extent of COVID-19’s effect on our operational and financial performance will depend on future developments, including the vaccination rate, effectiveness of vaccines especially on novel strains of COVID-19, government regulations, etc., all of which are uncertain and difficult to predict considering the rapidly evolving landscape. If the pandemic continues to be a severe worldwide health crisis, the disease could have a material adverse effect on our business, results of operations, financial condition and cash flows and adversely impact the trading price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decreased to $78 thousand at March 31, 2021 compared to $123 thousand at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1940"/>
        <w:spacing w:after="0" w:line="424"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b w:val="1"/>
          <w:bCs w:val="1"/>
          <w:i w:val="1"/>
          <w:iCs w:val="1"/>
          <w:color w:val="auto"/>
        </w:rPr>
        <w:t>Results of Operations for the three months ended March 31, 2021</w:t>
      </w:r>
    </w:p>
    <w:p>
      <w:pPr>
        <w:spacing w:after="0" w:line="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for the three months ended March 31, 2021 (“2021-Q1”) and 2020 ("2020-Q1"), respectively, together with the percentage of total revenue which each such item represents: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1"/>
              </w:rPr>
              <w:t>Three months ended March 31,</w:t>
            </w:r>
          </w:p>
        </w:tc>
        <w:tc>
          <w:tcPr>
            <w:tcW w:w="1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30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right"/>
              <w:ind w:right="131"/>
              <w:spacing w:after="0"/>
              <w:rPr>
                <w:sz w:val="20"/>
                <w:szCs w:val="20"/>
                <w:color w:val="auto"/>
              </w:rPr>
            </w:pPr>
            <w:r>
              <w:rPr>
                <w:rFonts w:ascii="Arial" w:cs="Arial" w:eastAsia="Arial" w:hAnsi="Arial"/>
                <w:sz w:val="16"/>
                <w:szCs w:val="16"/>
                <w:b w:val="1"/>
                <w:bCs w:val="1"/>
                <w:color w:val="auto"/>
              </w:rPr>
              <w:t>Percentage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7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 vs 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141"/>
              <w:spacing w:after="0"/>
              <w:rPr>
                <w:sz w:val="20"/>
                <w:szCs w:val="20"/>
                <w:color w:val="auto"/>
              </w:rPr>
            </w:pPr>
            <w:r>
              <w:rPr>
                <w:rFonts w:ascii="Arial" w:cs="Arial" w:eastAsia="Arial" w:hAnsi="Arial"/>
                <w:sz w:val="18"/>
                <w:szCs w:val="18"/>
                <w:color w:val="auto"/>
              </w:rPr>
              <w:t>2,896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jc w:val="right"/>
              <w:ind w:right="141"/>
              <w:spacing w:after="0"/>
              <w:rPr>
                <w:sz w:val="20"/>
                <w:szCs w:val="20"/>
                <w:color w:val="auto"/>
              </w:rPr>
            </w:pPr>
            <w:r>
              <w:rPr>
                <w:rFonts w:ascii="Arial" w:cs="Arial" w:eastAsia="Arial" w:hAnsi="Arial"/>
                <w:sz w:val="18"/>
                <w:szCs w:val="18"/>
                <w:color w:val="auto"/>
              </w:rPr>
              <w:t>1,739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4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1,344</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141"/>
              <w:spacing w:after="0"/>
              <w:rPr>
                <w:sz w:val="20"/>
                <w:szCs w:val="20"/>
                <w:color w:val="auto"/>
              </w:rPr>
            </w:pPr>
            <w:r>
              <w:rPr>
                <w:rFonts w:ascii="Arial" w:cs="Arial" w:eastAsia="Arial" w:hAnsi="Arial"/>
                <w:sz w:val="18"/>
                <w:szCs w:val="18"/>
                <w:color w:val="auto"/>
              </w:rPr>
              <w:t>1,506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Operating loss</w:t>
            </w:r>
          </w:p>
        </w:tc>
        <w:tc>
          <w:tcPr>
            <w:tcW w:w="4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(1,524)</w:t>
            </w:r>
          </w:p>
        </w:tc>
        <w:tc>
          <w:tcPr>
            <w:tcW w:w="400" w:type="dxa"/>
            <w:vAlign w:val="bottom"/>
          </w:tcPr>
          <w:p>
            <w:pPr>
              <w:spacing w:after="0"/>
              <w:rPr>
                <w:sz w:val="18"/>
                <w:szCs w:val="18"/>
                <w:color w:val="auto"/>
              </w:rPr>
            </w:pPr>
          </w:p>
        </w:tc>
        <w:tc>
          <w:tcPr>
            <w:tcW w:w="1600" w:type="dxa"/>
            <w:vAlign w:val="bottom"/>
            <w:gridSpan w:val="2"/>
          </w:tcPr>
          <w:p>
            <w:pPr>
              <w:jc w:val="right"/>
              <w:ind w:right="81"/>
              <w:spacing w:after="0"/>
              <w:rPr>
                <w:sz w:val="20"/>
                <w:szCs w:val="20"/>
                <w:color w:val="auto"/>
              </w:rPr>
            </w:pPr>
            <w:r>
              <w:rPr>
                <w:rFonts w:ascii="Arial" w:cs="Arial" w:eastAsia="Arial" w:hAnsi="Arial"/>
                <w:sz w:val="18"/>
                <w:szCs w:val="18"/>
                <w:color w:val="auto"/>
              </w:rPr>
              <w:t>(1,751)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other income</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(73)</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c>
          <w:tcPr>
            <w:tcW w:w="400" w:type="dxa"/>
            <w:vAlign w:val="bottom"/>
          </w:tcPr>
          <w:p>
            <w:pPr>
              <w:spacing w:after="0"/>
              <w:rPr>
                <w:sz w:val="18"/>
                <w:szCs w:val="18"/>
                <w:color w:val="auto"/>
              </w:rPr>
            </w:pPr>
          </w:p>
        </w:tc>
        <w:tc>
          <w:tcPr>
            <w:tcW w:w="1600" w:type="dxa"/>
            <w:vAlign w:val="bottom"/>
            <w:gridSpan w:val="2"/>
          </w:tcPr>
          <w:p>
            <w:pPr>
              <w:jc w:val="right"/>
              <w:ind w:right="81"/>
              <w:spacing w:after="0"/>
              <w:rPr>
                <w:sz w:val="20"/>
                <w:szCs w:val="20"/>
                <w:color w:val="auto"/>
              </w:rPr>
            </w:pPr>
            <w:r>
              <w:rPr>
                <w:rFonts w:ascii="Arial" w:cs="Arial" w:eastAsia="Arial" w:hAnsi="Arial"/>
                <w:sz w:val="18"/>
                <w:szCs w:val="18"/>
                <w:color w:val="auto"/>
              </w:rPr>
              <w:t>(1,824)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9"/>
                <w:szCs w:val="19"/>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20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revenue increased to $7.0 million in 2021-Q1 compared to $5.7 million in 2020-Q1 primarily due to a 130% increase in video products revenue, followed by a 10% increase in microphones revenue and a 2% increase in audio conferencing products revenue. Video products continue to enjoy successes primarily due to growth in demand from work from home and learn from home markets. Audio Conferencing category as a whole increased mainly due to a strong revenue performance of our professional mixers despite decreases in other product groups within audio conferencing category. Microphones growth continued to be led by our new solutions incorporating BMA-CT and BMA 360 even though our traditional ceiling mics suffered a revenue decline. During the first quarter of 2021, all major region groups enjoyed revenue growth. Revenues from North America, Europe and Africa and Asia Pacific, including the Middle East increased by 5%, 57% and 33%, respectively. Korea, Japan, the Middle East, South Asia, parts of Southern Europe and Latin America registered impressive revenue growth, while Canada and China saw revenue declines. USA registered modest growth.</w:t>
      </w:r>
    </w:p>
    <w:p>
      <w:pPr>
        <w:spacing w:after="0" w:line="1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believe, although there can be no assurance, that we can sustain our revenue growth and return to generating operating profits through our strategic initiatives namely product innovation, cost reduction and defense of our intellectual property.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gross profit margin declined from 49.5% during 2020-Q1 to 42.7% during 2021-Q1. The gross profit margin was negatively impacted due to increase in share of lower margin products in the revenue mix, increased freight and tariff costs and increased inventory obsolescence costs, partially offset by a decrease in overhead costs as a percentage of revenue.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$0.8 million of wireless microphone-related finished goods and assemblies, $0.8 million of Converge Pro and Beamforming microphone array products, $0.3 million of network media streaming products, $0.4 million of tabletop conferencing products and about $1.7 million of raw materials that will be used primarily for manufacturing professional audio conferencing products. Any business changes that are adverse to these product lines could potentially impact our ability to sell our long-term inventory in addition to our current inventory.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Operating expenses include sales and marketing (“S&amp;M”) expenses, research and product development (“R&amp;D”) expenses and general and administrative (“G&amp;A”) expenses. Total operating expenses were $4.5 million for 2021-Q1 compared to $4.6 million for 2020-Q1. The following contains a more detailed discussion of expenses related to sales and marketing, research and product development, general and administrative, and other items.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S&amp;M expenses for 2021-Q1 decreased to $1.6 million from $1.7 million for 2020-Q1. The decrease was mainly due to decreases in trade-show related expenses, and employee travel related expenses partially offset by an increase in sales commissions.</w:t>
      </w:r>
    </w:p>
    <w:p>
      <w:pPr>
        <w:spacing w:after="0" w:line="143"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R&amp;D expenses remained almost the same at $1.3 million for both quarters compared.</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administrative costs, including costs related to financing and human resources.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G&amp;A expenses increased slightly from $1.5 million in 2020-Q1 to $1.7 million in 2021-Q1. The increase was primarily due to increases in depreciation and amortization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income (expense), net includes interest income and foreign currency changes. Other income remained immaterial during the first quarter of 2021 and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almost the same at $0.1 million for both periods compared.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the first quarters of 2021 and 2020, we did not recognize any benefit from the losses incurred due to setting up of full valuation allowance. Provision for income taxes recognized in the first quarter of 2021 relates to foreign jurisdictions.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1940"/>
        <w:spacing w:after="0" w:line="424"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LIQUIDITY AND CAPITAL RESOURCES</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March 31, 2021, our cash and cash equivalents were approximately $2.0 million compared to $3.8 million as of December 31, 2020. Our working capital was $19.5 million and $22.2 million as of March 31, 2021 and December 31, 2020, respectively.</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Net cash used by operating activities was approximately $13 thousand in 2021-Q1, a decrease of cash provided of approximately $544 thousand from $531 thousand of cash provided by operating activities in 2020-Q1. The decrease in cash inflow was due to a negative change in operating assets and liabilities of $1,034 thousand, partially offset by an increase in non-cash charges by $298 thousand and a decrease in net loss by $192 thousand.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almost the same at $1.7 million for 2021-Q1 and 2021-Q1.</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cash used in financing activities was in 2021-Q1 was $86 thousand compared to cash provided of $3 thousand in 2020-Q1. The decrease in cash flow of $89 thousand is due to repayment of principal amounts due on senior convertible notes.</w:t>
      </w:r>
    </w:p>
    <w:p>
      <w:pPr>
        <w:spacing w:after="0" w:line="1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Capitalization of patent defense costs</w:t>
      </w:r>
      <w:r>
        <w:rPr>
          <w:rFonts w:ascii="Arial" w:cs="Arial" w:eastAsia="Arial" w:hAnsi="Arial"/>
          <w:sz w:val="18"/>
          <w:szCs w:val="18"/>
          <w:color w:val="auto"/>
        </w:rPr>
        <w:t>. We capitalize external legal costs incurred in the defense of our patents when we believe that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discernible increase in value will result from the defense and a successful outcome of the legal action is probable. When we capitalize patent defense costs we amortize the costs over the remaining estimated useful life of the patents,which is 15 to 17 years. During 2021-Q1 we spent $1.7 million on legal costs related to the defense of our patents and capitalized the entire amount.</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are currently pursuing all available legal remedies to defend our strategic patents from infringement. We have already spent approximately $22.0 million from 2016 through March 31, 2021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way for ClearOne’s recovery from the immense harm inflicted by our competitor's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 During September 2020, the U.S District Court of Northern Illinois held Shure in contempt for marketing and selling their new design in violation of the preliminary injunction.</w:t>
      </w:r>
    </w:p>
    <w:p>
      <w:pPr>
        <w:spacing w:after="0" w:line="15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have been actively engaged in preserving cash by suspending our dividend program and allowing our share repurchase program to expire in 2018 and implementing company-wide cost reduction measures. We have also raised additional capital of - $9.9 million (net of issuance costs) in 2018 by issuing common stock, $2.7 million (net of issuances costs) in 2019 by issuing senior convertible notes, $1.5 million in April 2020 by borrowing through Paycheck Protection Program and $4.8 million in September 2020 by issuing common stock and warrants. In addition, we expect to generate additional cash as our inventory levels are brought down to historical levels.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also believe that the measures taken by us will yield higher revenues in the future. We believe, although there can be no assurance, that all of these measures and effective management of working capital will provide the liquidity needed to meet our operating needs through at least through May 14, 2022.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we had open purchase orders of approximately $4.5 million mostly for purchase of inventory.</w:t>
      </w:r>
    </w:p>
    <w:p>
      <w:pPr>
        <w:spacing w:after="0" w:line="17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March 31, 2021, we had inventory totaling $13.9 million, of which non-current inventory accounted for $4.1 million. This compares to total inventories of $15.1 million and non-current inventory of $4.6 million as of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1940"/>
        <w:spacing w:after="0" w:line="41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Contractual Obligations and Commitments</w:t>
      </w:r>
    </w:p>
    <w:p>
      <w:pPr>
        <w:spacing w:after="0"/>
        <w:rPr>
          <w:sz w:val="20"/>
          <w:szCs w:val="20"/>
          <w:color w:val="auto"/>
        </w:rPr>
      </w:pPr>
      <w:r>
        <w:rPr>
          <w:rFonts w:ascii="Arial" w:cs="Arial" w:eastAsia="Arial" w:hAnsi="Arial"/>
          <w:sz w:val="18"/>
          <w:szCs w:val="18"/>
          <w:color w:val="212529"/>
        </w:rPr>
        <w:t>The following table summarizes our contractual obligations as of March 31, 2021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713"/>
              <w:spacing w:after="0"/>
              <w:rPr>
                <w:sz w:val="20"/>
                <w:szCs w:val="20"/>
                <w:color w:val="auto"/>
              </w:rPr>
            </w:pPr>
            <w:r>
              <w:rPr>
                <w:rFonts w:ascii="Arial" w:cs="Arial" w:eastAsia="Arial" w:hAnsi="Arial"/>
                <w:sz w:val="16"/>
                <w:szCs w:val="16"/>
                <w:b w:val="1"/>
                <w:bCs w:val="1"/>
                <w:color w:val="auto"/>
                <w:w w:val="91"/>
              </w:rPr>
              <w:t>Payment Due by Period</w:t>
            </w: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Less Than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More than 5</w:t>
            </w:r>
          </w:p>
        </w:tc>
        <w:tc>
          <w:tcPr>
            <w:tcW w:w="100" w:type="dxa"/>
            <w:vAlign w:val="bottom"/>
          </w:tcPr>
          <w:p>
            <w:pPr>
              <w:spacing w:after="0"/>
              <w:rPr>
                <w:sz w:val="17"/>
                <w:szCs w:val="17"/>
                <w:color w:val="auto"/>
              </w:rPr>
            </w:pPr>
          </w:p>
        </w:tc>
      </w:tr>
      <w:tr>
        <w:trPr>
          <w:trHeight w:val="213"/>
        </w:trPr>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1 Year</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1-3 Years</w:t>
            </w: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3-5 Years</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years</w:t>
            </w:r>
          </w:p>
        </w:tc>
      </w:tr>
      <w:tr>
        <w:trPr>
          <w:trHeight w:val="226"/>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Payroll Protection Plan loan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9"/>
        </w:trPr>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23"/>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evaluation of the effectiveness of our disclosure controls and procedures (as defined in Rules 13a-15(e) and 15d-15(e) of the Exchange Act) as of March 31, 2021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effective at a reasonable assurance level as of March 31, 2021.</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as of March 31, 2021, that has materially affected, or is reasonably likely to materially affect, the Company's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The Company is involved in litigation against Shure Incorporated (“Shure”) as further described in Part I, Item 3 of the Company’s Annual Report on Form 10-K for the year ended December 31, 2020 (the “Annual Report”), which information is incorporated herein by reference. The following recent developments amend and supplement the disclosure of the ongoing litigation proceedings against Shure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Shure, Incorporated v. ClearOne, Inc., 17-cv-3078 (N.D. of Illinois)</w:t>
      </w:r>
    </w:p>
    <w:p>
      <w:pPr>
        <w:spacing w:after="0" w:line="14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Shure and ClearOne completed supplemental briefing before the district court relating to the Court’s ruling holding Shure in contempt. In April 2021, Shure and ClearOne completed briefing on Shure’s appeal of the Court’s ruling holding Shure in contempt. The Federal Circuit has not yet set a date for a hearing on the appeal.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ClearOne, Inc. v. Shure, Incorporated, 19-cv-02421 (N.D. of Illinois)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July 21, 2020, ClearOne informed the Court that it would proceed with its advertising-related claims in Delaware rather than Illinois. ClearOne thus filed a Second Amended Complaint removing the prospective economic advantage and trade libel claims. Shure has decided to file an early motion to obtain summary judgment and dismissal of ClearOne’s trade secret misappropriation claims. Briefing will begin in May 2021 and end in June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Shure, Incorporated v. ClearOne, Inc., 19-cv-1343 (D. of Delaware)</w:t>
      </w:r>
    </w:p>
    <w:p>
      <w:pPr>
        <w:spacing w:after="0" w:line="14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On April 16, 2021, Shure and ClearOne filed summary judgment and </w:t>
      </w:r>
      <w:r>
        <w:rPr>
          <w:rFonts w:ascii="Arial" w:cs="Arial" w:eastAsia="Arial" w:hAnsi="Arial"/>
          <w:sz w:val="18"/>
          <w:szCs w:val="18"/>
          <w:i w:val="1"/>
          <w:iCs w:val="1"/>
          <w:color w:val="auto"/>
        </w:rPr>
        <w:t>Daubert</w:t>
      </w:r>
      <w:r>
        <w:rPr>
          <w:rFonts w:ascii="Arial" w:cs="Arial" w:eastAsia="Arial" w:hAnsi="Arial"/>
          <w:sz w:val="18"/>
          <w:szCs w:val="18"/>
          <w:color w:val="auto"/>
        </w:rPr>
        <w:t xml:space="preserve"> motions. ClearOne filed for summary judgment of noninfringement and invalidity relating to the ’493 Patent; and summary judgment of no liability on various alleged false statements and of no lost profits or unjust enrichment relating to the false advertising claims. ClearOne also moved to exclude certain opinions from two Shure expert witnesses. Shure filed summary judgment motions on ClearOne’s inventorship argument; and on all of ClearOne’s counterclaims. They also seek to exclude certain opinions from two ClearOne expert witnesses. Briefing on these summary judgment and </w:t>
      </w:r>
      <w:r>
        <w:rPr>
          <w:rFonts w:ascii="Arial" w:cs="Arial" w:eastAsia="Arial" w:hAnsi="Arial"/>
          <w:sz w:val="18"/>
          <w:szCs w:val="18"/>
          <w:i w:val="1"/>
          <w:iCs w:val="1"/>
          <w:color w:val="auto"/>
        </w:rPr>
        <w:t>Daubert</w:t>
      </w:r>
      <w:r>
        <w:rPr>
          <w:rFonts w:ascii="Arial" w:cs="Arial" w:eastAsia="Arial" w:hAnsi="Arial"/>
          <w:sz w:val="18"/>
          <w:szCs w:val="18"/>
          <w:color w:val="auto"/>
        </w:rPr>
        <w:t xml:space="preserve"> motions will be complete in May 2021, and a hearing is scheduled on the motions in June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firstLine="8"/>
        <w:spacing w:after="0" w:line="246" w:lineRule="auto"/>
        <w:tabs>
          <w:tab w:leader="none" w:pos="29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required by this Item was included in the Company’s Current Report on Form 8-K as filed with the SEC on September 14, 2020 and is incorporated herein by reference.</w:t>
      </w:r>
    </w:p>
    <w:p>
      <w:pPr>
        <w:spacing w:after="0" w:line="142"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Title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Section 302</w:t>
              </w:r>
            </w:hyperlink>
          </w:p>
        </w:tc>
        <w:tc>
          <w:tcPr>
            <w:tcW w:w="4060" w:type="dxa"/>
            <w:vAlign w:val="bottom"/>
            <w:tcBorders>
              <w:bottom w:val="single" w:sz="8" w:color="0000FF"/>
            </w:tcBorders>
          </w:tcPr>
          <w:p>
            <w:pPr>
              <w:ind w:left="20"/>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Certification of Chief Executive Officer (filed herewith)</w:t>
              </w:r>
            </w:hyperlink>
          </w:p>
        </w:tc>
        <w:tc>
          <w:tcPr>
            <w:tcW w:w="5220" w:type="dxa"/>
            <w:vAlign w:val="bottom"/>
            <w:gridSpan w:val="2"/>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Section 302</w:t>
              </w:r>
            </w:hyperlink>
          </w:p>
        </w:tc>
        <w:tc>
          <w:tcPr>
            <w:tcW w:w="4260" w:type="dxa"/>
            <w:vAlign w:val="bottom"/>
            <w:tcBorders>
              <w:bottom w:val="single" w:sz="8" w:color="0000FF"/>
            </w:tcBorders>
            <w:gridSpan w:val="2"/>
          </w:tcPr>
          <w:p>
            <w:pPr>
              <w:ind w:left="20"/>
              <w:spacing w:after="0"/>
              <w:rPr>
                <w:rFonts w:ascii="Arial" w:cs="Arial" w:eastAsia="Arial" w:hAnsi="Arial"/>
                <w:sz w:val="18"/>
                <w:szCs w:val="18"/>
                <w:color w:val="0000FF"/>
                <w:w w:val="94"/>
              </w:rPr>
            </w:pPr>
            <w:hyperlink w:anchor="page29">
              <w:r>
                <w:rPr>
                  <w:rFonts w:ascii="Arial" w:cs="Arial" w:eastAsia="Arial" w:hAnsi="Arial"/>
                  <w:sz w:val="18"/>
                  <w:szCs w:val="18"/>
                  <w:color w:val="0000FF"/>
                  <w:w w:val="94"/>
                </w:rPr>
                <w:t>Certification of Principal Financial Officer (filed herewith)</w:t>
              </w:r>
            </w:hyperlink>
          </w:p>
        </w:tc>
        <w:tc>
          <w:tcPr>
            <w:tcW w:w="5020" w:type="dxa"/>
            <w:vAlign w:val="bottom"/>
          </w:tcPr>
          <w:p>
            <w:pPr>
              <w:spacing w:after="0"/>
              <w:rPr>
                <w:sz w:val="24"/>
                <w:szCs w:val="24"/>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Section 906</w:t>
              </w:r>
            </w:hyperlink>
          </w:p>
        </w:tc>
        <w:tc>
          <w:tcPr>
            <w:tcW w:w="4060" w:type="dxa"/>
            <w:vAlign w:val="bottom"/>
            <w:tcBorders>
              <w:bottom w:val="single" w:sz="8" w:color="0000FF"/>
            </w:tcBorders>
          </w:tcPr>
          <w:p>
            <w:pPr>
              <w:ind w:left="20"/>
              <w:spacing w:after="0"/>
              <w:rPr>
                <w:rFonts w:ascii="Arial" w:cs="Arial" w:eastAsia="Arial" w:hAnsi="Arial"/>
                <w:sz w:val="18"/>
                <w:szCs w:val="18"/>
                <w:color w:val="0000FF"/>
                <w:w w:val="94"/>
              </w:rPr>
            </w:pPr>
            <w:hyperlink w:anchor="page30">
              <w:r>
                <w:rPr>
                  <w:rFonts w:ascii="Arial" w:cs="Arial" w:eastAsia="Arial" w:hAnsi="Arial"/>
                  <w:sz w:val="18"/>
                  <w:szCs w:val="18"/>
                  <w:color w:val="0000FF"/>
                  <w:w w:val="94"/>
                </w:rPr>
                <w:t>Certification of Chief Executive Officer (filed herewith)</w:t>
              </w:r>
            </w:hyperlink>
          </w:p>
        </w:tc>
        <w:tc>
          <w:tcPr>
            <w:tcW w:w="5220" w:type="dxa"/>
            <w:vAlign w:val="bottom"/>
            <w:gridSpan w:val="2"/>
          </w:tcPr>
          <w:p>
            <w:pPr>
              <w:spacing w:after="0"/>
              <w:rPr>
                <w:sz w:val="24"/>
                <w:szCs w:val="24"/>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Section 906</w:t>
              </w:r>
            </w:hyperlink>
          </w:p>
        </w:tc>
        <w:tc>
          <w:tcPr>
            <w:tcW w:w="4260" w:type="dxa"/>
            <w:vAlign w:val="bottom"/>
            <w:tcBorders>
              <w:bottom w:val="single" w:sz="8" w:color="0000FF"/>
            </w:tcBorders>
            <w:gridSpan w:val="2"/>
          </w:tcPr>
          <w:p>
            <w:pPr>
              <w:ind w:left="20"/>
              <w:spacing w:after="0"/>
              <w:rPr>
                <w:rFonts w:ascii="Arial" w:cs="Arial" w:eastAsia="Arial" w:hAnsi="Arial"/>
                <w:sz w:val="18"/>
                <w:szCs w:val="18"/>
                <w:color w:val="0000FF"/>
                <w:w w:val="94"/>
              </w:rPr>
            </w:pPr>
            <w:hyperlink w:anchor="page31">
              <w:r>
                <w:rPr>
                  <w:rFonts w:ascii="Arial" w:cs="Arial" w:eastAsia="Arial" w:hAnsi="Arial"/>
                  <w:sz w:val="18"/>
                  <w:szCs w:val="18"/>
                  <w:color w:val="0000FF"/>
                  <w:w w:val="94"/>
                </w:rPr>
                <w:t>Certification of Principal Financial Officer (filed herewith)</w:t>
              </w:r>
            </w:hyperlink>
          </w:p>
        </w:tc>
        <w:tc>
          <w:tcPr>
            <w:tcW w:w="5020" w:type="dxa"/>
            <w:vAlign w:val="bottom"/>
          </w:tcPr>
          <w:p>
            <w:pPr>
              <w:spacing w:after="0"/>
              <w:rPr>
                <w:sz w:val="24"/>
                <w:szCs w:val="24"/>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18"/>
        </w:trPr>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ind w:left="358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28"/>
        </w:trPr>
        <w:tc>
          <w:tcPr>
            <w:tcW w:w="10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202"/>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May 13, 2021</w:t>
            </w:r>
          </w:p>
        </w:tc>
        <w:tc>
          <w:tcPr>
            <w:tcW w:w="5160" w:type="dxa"/>
            <w:vAlign w:val="bottom"/>
          </w:tcPr>
          <w:p>
            <w:pPr>
              <w:spacing w:after="0"/>
              <w:rPr>
                <w:sz w:val="22"/>
                <w:szCs w:val="22"/>
                <w:color w:val="auto"/>
              </w:rPr>
            </w:pPr>
          </w:p>
        </w:tc>
      </w:tr>
      <w:tr>
        <w:trPr>
          <w:trHeight w:val="453"/>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202"/>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May 13, 2021</w:t>
            </w: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675"/>
        </w:trPr>
        <w:tc>
          <w:tcPr>
            <w:tcW w:w="6080" w:type="dxa"/>
            <w:vAlign w:val="bottom"/>
          </w:tcPr>
          <w:p>
            <w:pPr>
              <w:ind w:left="5540"/>
              <w:spacing w:after="0"/>
              <w:rPr>
                <w:sz w:val="20"/>
                <w:szCs w:val="20"/>
                <w:color w:val="auto"/>
              </w:rPr>
            </w:pPr>
            <w:r>
              <w:rPr>
                <w:rFonts w:ascii="Arial" w:cs="Arial" w:eastAsia="Arial" w:hAnsi="Arial"/>
                <w:sz w:val="18"/>
                <w:szCs w:val="18"/>
                <w:color w:val="auto"/>
              </w:rPr>
              <w:t>26</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340" w:right="1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right="1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68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80" w:hanging="335"/>
        <w:spacing w:after="0" w:line="277"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13, 2021</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13, 2021</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March 31, 2021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13, 2021</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2021,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13, 2021</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2021-05-13T15:20:00Z</dcterms:created>
  <dcterms:modified xsi:type="dcterms:W3CDTF">2021-05-13T15:20:00Z</dcterms:modified>
</cp:coreProperties>
</file>