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6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April 26, 2007</w:t>
      </w:r>
    </w:p>
    <w:p>
      <w:pPr>
        <w:spacing w:after="0" w:line="200" w:lineRule="exact"/>
        <w:rPr>
          <w:sz w:val="24"/>
          <w:szCs w:val="24"/>
          <w:color w:val="auto"/>
        </w:rPr>
      </w:pPr>
    </w:p>
    <w:p>
      <w:pPr>
        <w:spacing w:after="0" w:line="34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ClearOne Communications,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(State or Other Jurisdiction of Incorporation)</w:t>
      </w:r>
    </w:p>
    <w:p>
      <w:pPr>
        <w:spacing w:after="0" w:line="261" w:lineRule="exact"/>
        <w:rPr>
          <w:sz w:val="24"/>
          <w:szCs w:val="24"/>
          <w:color w:val="auto"/>
        </w:rPr>
      </w:pPr>
    </w:p>
    <w:tbl>
      <w:tblPr>
        <w:tblLayout w:type="fixed"/>
        <w:tblInd w:w="2880" w:type="dxa"/>
        <w:tblCellMar>
          <w:top w:w="0" w:type="dxa"/>
          <w:left w:w="0" w:type="dxa"/>
          <w:bottom w:w="0" w:type="dxa"/>
          <w:right w:w="0" w:type="dxa"/>
        </w:tblCellMar>
      </w:tblPr>
      <w:tr>
        <w:trPr>
          <w:trHeight w:val="282"/>
        </w:trPr>
        <w:tc>
          <w:tcPr>
            <w:tcW w:w="284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000-17219</w:t>
            </w:r>
          </w:p>
        </w:tc>
        <w:tc>
          <w:tcPr>
            <w:tcW w:w="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284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(Commission File Number)</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80" w:type="dxa"/>
            <w:vAlign w:val="bottom"/>
            <w:gridSpan w:val="3"/>
          </w:tcPr>
          <w:p>
            <w:pPr>
              <w:jc w:val="center"/>
              <w:ind w:right="33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80" w:type="dxa"/>
            <w:vAlign w:val="bottom"/>
            <w:gridSpan w:val="3"/>
          </w:tcPr>
          <w:p>
            <w:pPr>
              <w:jc w:val="center"/>
              <w:ind w:right="350"/>
              <w:spacing w:after="0"/>
              <w:rPr>
                <w:sz w:val="20"/>
                <w:szCs w:val="20"/>
                <w:color w:val="auto"/>
              </w:rPr>
            </w:pPr>
            <w:r>
              <w:rPr>
                <w:rFonts w:ascii="Arial" w:cs="Arial" w:eastAsia="Arial" w:hAnsi="Arial"/>
                <w:sz w:val="18"/>
                <w:szCs w:val="18"/>
                <w:color w:val="auto"/>
                <w:w w:val="94"/>
              </w:rPr>
              <w:t>identification number)</w:t>
            </w:r>
          </w:p>
        </w:tc>
      </w:tr>
      <w:tr>
        <w:trPr>
          <w:trHeight w:val="468"/>
        </w:trPr>
        <w:tc>
          <w:tcPr>
            <w:tcW w:w="352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9"/>
              </w:rPr>
              <w:t>5225 Wiley Post Way, Suite 500</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8"/>
        </w:trPr>
        <w:tc>
          <w:tcPr>
            <w:tcW w:w="352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2"/>
              </w:rPr>
              <w:t>Salt Lake City, Utah</w:t>
            </w:r>
          </w:p>
        </w:tc>
        <w:tc>
          <w:tcPr>
            <w:tcW w:w="21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84116</w:t>
            </w:r>
          </w:p>
        </w:tc>
      </w:tr>
      <w:tr>
        <w:trPr>
          <w:trHeight w:val="224"/>
        </w:trPr>
        <w:tc>
          <w:tcPr>
            <w:tcW w:w="3520" w:type="dxa"/>
            <w:vAlign w:val="bottom"/>
            <w:tcBorders>
              <w:top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92"/>
              </w:rPr>
              <w:t>(Address of principal executive offices)</w:t>
            </w: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6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right="5020" w:firstLine="8"/>
        <w:spacing w:after="0" w:line="250" w:lineRule="auto"/>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ind w:right="5120" w:firstLine="8"/>
        <w:spacing w:after="0" w:line="261" w:lineRule="auto"/>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April 26, 2007, ClearOne Communications, Inc. (the “Company”) issued a press release announcing its financial results for the third quarter ended March 31, 2007. The full text of the Company’s press release is furnished herewith as Exhibit 99.1.</w:t>
      </w:r>
    </w:p>
    <w:p>
      <w:pPr>
        <w:spacing w:after="0" w:line="26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10" w:lineRule="exact"/>
        <w:rPr>
          <w:sz w:val="20"/>
          <w:szCs w:val="20"/>
          <w:color w:val="auto"/>
        </w:rPr>
      </w:pPr>
    </w:p>
    <w:p>
      <w:pPr>
        <w:ind w:left="760" w:hanging="75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6"/>
              </w:rPr>
              <w:t>Exhibit No.</w:t>
            </w:r>
          </w:p>
        </w:tc>
        <w:tc>
          <w:tcPr>
            <w:tcW w:w="8020" w:type="dxa"/>
            <w:vAlign w:val="bottom"/>
            <w:tcBorders>
              <w:bottom w:val="single" w:sz="8" w:color="auto"/>
            </w:tcBorders>
          </w:tcPr>
          <w:p>
            <w:pPr>
              <w:ind w:left="3440"/>
              <w:spacing w:after="0"/>
              <w:rPr>
                <w:sz w:val="20"/>
                <w:szCs w:val="20"/>
                <w:color w:val="auto"/>
              </w:rPr>
            </w:pPr>
            <w:r>
              <w:rPr>
                <w:rFonts w:ascii="Arial" w:cs="Arial" w:eastAsia="Arial" w:hAnsi="Arial"/>
                <w:sz w:val="18"/>
                <w:szCs w:val="18"/>
                <w:color w:val="auto"/>
              </w:rPr>
              <w:t>Title of Document</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r>
      <w:tr>
        <w:trPr>
          <w:trHeight w:val="195"/>
        </w:trPr>
        <w:tc>
          <w:tcPr>
            <w:tcW w:w="168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99.1</w:t>
            </w:r>
          </w:p>
        </w:tc>
        <w:tc>
          <w:tcPr>
            <w:tcW w:w="8020" w:type="dxa"/>
            <w:vAlign w:val="bottom"/>
          </w:tcPr>
          <w:p>
            <w:pPr>
              <w:ind w:left="280"/>
              <w:spacing w:after="0" w:line="195" w:lineRule="exact"/>
              <w:rPr>
                <w:sz w:val="20"/>
                <w:szCs w:val="20"/>
                <w:color w:val="auto"/>
              </w:rPr>
            </w:pPr>
            <w:r>
              <w:rPr>
                <w:rFonts w:ascii="Arial" w:cs="Arial" w:eastAsia="Arial" w:hAnsi="Arial"/>
                <w:sz w:val="18"/>
                <w:szCs w:val="18"/>
                <w:color w:val="auto"/>
                <w:w w:val="95"/>
              </w:rPr>
              <w:t>Press Release dated April 26, 2007 captioned “ClearOne Reports Fiscal 2007 Third Quarter Financial</w:t>
            </w:r>
          </w:p>
        </w:tc>
        <w:tc>
          <w:tcPr>
            <w:tcW w:w="1720" w:type="dxa"/>
            <w:vAlign w:val="bottom"/>
          </w:tcPr>
          <w:p>
            <w:pPr>
              <w:jc w:val="center"/>
              <w:spacing w:after="0" w:line="195" w:lineRule="exact"/>
              <w:rPr>
                <w:sz w:val="20"/>
                <w:szCs w:val="20"/>
                <w:color w:val="auto"/>
              </w:rPr>
            </w:pPr>
            <w:r>
              <w:rPr>
                <w:rFonts w:ascii="Arial" w:cs="Arial" w:eastAsia="Arial" w:hAnsi="Arial"/>
                <w:sz w:val="18"/>
                <w:szCs w:val="18"/>
                <w:color w:val="auto"/>
                <w:w w:val="97"/>
              </w:rPr>
              <w:t>This Filing</w:t>
            </w:r>
          </w:p>
        </w:tc>
      </w:tr>
      <w:tr>
        <w:trPr>
          <w:trHeight w:val="230"/>
        </w:trPr>
        <w:tc>
          <w:tcPr>
            <w:tcW w:w="1680" w:type="dxa"/>
            <w:vAlign w:val="bottom"/>
          </w:tcPr>
          <w:p>
            <w:pPr>
              <w:spacing w:after="0"/>
              <w:rPr>
                <w:sz w:val="20"/>
                <w:szCs w:val="20"/>
                <w:color w:val="auto"/>
              </w:rPr>
            </w:pPr>
          </w:p>
        </w:tc>
        <w:tc>
          <w:tcPr>
            <w:tcW w:w="8020" w:type="dxa"/>
            <w:vAlign w:val="bottom"/>
          </w:tcPr>
          <w:p>
            <w:pPr>
              <w:ind w:left="280"/>
              <w:spacing w:after="0"/>
              <w:rPr>
                <w:sz w:val="20"/>
                <w:szCs w:val="20"/>
                <w:color w:val="auto"/>
              </w:rPr>
            </w:pPr>
            <w:r>
              <w:rPr>
                <w:rFonts w:ascii="Arial" w:cs="Arial" w:eastAsia="Arial" w:hAnsi="Arial"/>
                <w:sz w:val="18"/>
                <w:szCs w:val="18"/>
                <w:color w:val="auto"/>
              </w:rPr>
              <w:t>Results.”</w:t>
            </w:r>
          </w:p>
        </w:tc>
        <w:tc>
          <w:tcPr>
            <w:tcW w:w="1720" w:type="dxa"/>
            <w:vAlign w:val="bottom"/>
          </w:tcPr>
          <w:p>
            <w:pPr>
              <w:spacing w:after="0"/>
              <w:rPr>
                <w:sz w:val="20"/>
                <w:szCs w:val="20"/>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Date: April 26, 2007</w:t>
            </w:r>
          </w:p>
        </w:tc>
        <w:tc>
          <w:tcPr>
            <w:tcW w:w="2180" w:type="dxa"/>
            <w:vAlign w:val="bottom"/>
          </w:tcPr>
          <w:p>
            <w:pPr>
              <w:ind w:left="1420"/>
              <w:spacing w:after="0"/>
              <w:rPr>
                <w:sz w:val="20"/>
                <w:szCs w:val="20"/>
                <w:color w:val="auto"/>
              </w:rPr>
            </w:pPr>
            <w:r>
              <w:rPr>
                <w:rFonts w:ascii="Arial" w:cs="Arial" w:eastAsia="Arial" w:hAnsi="Arial"/>
                <w:sz w:val="18"/>
                <w:szCs w:val="18"/>
                <w:color w:val="auto"/>
              </w:rPr>
              <w:t>By:</w:t>
            </w:r>
          </w:p>
        </w:tc>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A. LeClaire</w:t>
            </w:r>
          </w:p>
        </w:tc>
      </w:tr>
      <w:tr>
        <w:trPr>
          <w:trHeight w:val="222"/>
        </w:trPr>
        <w:tc>
          <w:tcPr>
            <w:tcW w:w="29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Greg A. LeClaire</w:t>
            </w:r>
          </w:p>
        </w:tc>
      </w:tr>
      <w:tr>
        <w:trPr>
          <w:trHeight w:val="230"/>
        </w:trPr>
        <w:tc>
          <w:tcPr>
            <w:tcW w:w="29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Vice President of Finance</w:t>
            </w:r>
          </w:p>
        </w:tc>
      </w:tr>
    </w:tbl>
    <w:p>
      <w:pPr>
        <w:sectPr>
          <w:pgSz w:w="11900" w:h="16838" w:orient="portrait"/>
          <w:cols w:equalWidth="0" w:num="1">
            <w:col w:w="11420"/>
          </w:cols>
          <w:pgMar w:left="240" w:top="607" w:right="239" w:bottom="1440" w:gutter="0" w:footer="0" w:header="0"/>
        </w:sectPr>
      </w:pPr>
    </w:p>
    <w:bookmarkStart w:id="2" w:name="page3"/>
    <w:bookmarkEnd w:id="2"/>
    <w:p>
      <w:pPr>
        <w:ind w:right="40"/>
        <w:spacing w:after="0" w:line="320" w:lineRule="auto"/>
        <w:rPr>
          <w:sz w:val="20"/>
          <w:szCs w:val="20"/>
          <w:color w:val="auto"/>
        </w:rPr>
      </w:pPr>
      <w:r>
        <w:rPr>
          <w:rFonts w:ascii="Arial" w:cs="Arial" w:eastAsia="Arial" w:hAnsi="Arial"/>
          <w:sz w:val="16"/>
          <w:szCs w:val="16"/>
          <w:color w:val="auto"/>
        </w:rPr>
        <w:t>Contacts: Investor Relations (801) 303-3555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ClearOne Communications, Inc.</w:t>
      </w:r>
    </w:p>
    <w:p>
      <w:pPr>
        <w:spacing w:after="0" w:line="747" w:lineRule="exact"/>
        <w:rPr>
          <w:sz w:val="20"/>
          <w:szCs w:val="20"/>
          <w:color w:val="auto"/>
        </w:rPr>
      </w:pPr>
    </w:p>
    <w:p>
      <w:pPr>
        <w:sectPr>
          <w:pgSz w:w="11900" w:h="16838" w:orient="portrait"/>
          <w:cols w:equalWidth="0" w:num="2">
            <w:col w:w="1360" w:space="720"/>
            <w:col w:w="9260"/>
          </w:cols>
          <w:pgMar w:left="240" w:top="166" w:right="319" w:bottom="0" w:gutter="0" w:footer="0" w:header="0"/>
        </w:sectPr>
      </w:pPr>
    </w:p>
    <w:p>
      <w:pPr>
        <w:spacing w:after="0"/>
        <w:rPr>
          <w:sz w:val="20"/>
          <w:szCs w:val="20"/>
          <w:color w:val="auto"/>
        </w:rPr>
      </w:pPr>
      <w:r>
        <w:rPr>
          <w:rFonts w:ascii="Arial" w:cs="Arial" w:eastAsia="Arial" w:hAnsi="Arial"/>
          <w:sz w:val="18"/>
          <w:szCs w:val="18"/>
          <w:color w:val="auto"/>
        </w:rPr>
        <w:t>Robert Jaffe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PondelWilkinson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(310) 279-5980</w:t>
      </w: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CLEARONE REPORTS FISCAL 2007 THIRD QUARTER FINANCIAL RESULTS</w:t>
      </w:r>
    </w:p>
    <w:p>
      <w:pPr>
        <w:sectPr>
          <w:pgSz w:w="11900" w:h="16838" w:orient="portrait"/>
          <w:cols w:equalWidth="0" w:num="1">
            <w:col w:w="11340"/>
          </w:cols>
          <w:pgMar w:left="240" w:top="166" w:right="319" w:bottom="0" w:gutter="0" w:footer="0" w:header="0"/>
          <w:type w:val="continuous"/>
        </w:sectPr>
      </w:pPr>
    </w:p>
    <w:p>
      <w:pPr>
        <w:spacing w:after="0" w:line="29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Salt Lake City, UT - April 26, 2007 - </w:t>
      </w:r>
      <w:r>
        <w:rPr>
          <w:rFonts w:ascii="Arial" w:cs="Arial" w:eastAsia="Arial" w:hAnsi="Arial"/>
          <w:sz w:val="18"/>
          <w:szCs w:val="18"/>
          <w:color w:val="auto"/>
        </w:rPr>
        <w:t>ClearOne Communications, Inc. (OTC: CLRO.OB) today reported financial results for the third quarter of fiscal 2007</w:t>
      </w:r>
      <w:r>
        <w:rPr>
          <w:rFonts w:ascii="Arial" w:cs="Arial" w:eastAsia="Arial" w:hAnsi="Arial"/>
          <w:sz w:val="18"/>
          <w:szCs w:val="18"/>
          <w:b w:val="1"/>
          <w:bCs w:val="1"/>
          <w:color w:val="auto"/>
        </w:rPr>
        <w:t xml:space="preserve"> </w:t>
      </w:r>
      <w:r>
        <w:rPr>
          <w:rFonts w:ascii="Arial" w:cs="Arial" w:eastAsia="Arial" w:hAnsi="Arial"/>
          <w:sz w:val="18"/>
          <w:szCs w:val="18"/>
          <w:color w:val="auto"/>
        </w:rPr>
        <w:t>ended March 31, 2007.</w:t>
      </w:r>
    </w:p>
    <w:p>
      <w:pPr>
        <w:spacing w:after="0" w:line="22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For the fiscal 2007 third quarter, revenue increased to $9.4 million from $8.3 million in the same quarter of last year. Gross profit grew to $5.2 million from $4.0 million for the prior year period. Operating income was $550,000 compared with an operating loss of $1.2 million in the same quarter last year. Net income was $1.2 million, or $0.11 per diluted share, which included income from discontinued operations of $263,000. This compares with net income for the prior year period of $540,000, or $0.04 per diluted share, which included income from discontinued operations of $677,000.</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company’s improved financial performance reflected increased sales of our higher margin, market-leading professional audio conferencing products,” said Zee Hakimoglu, president and chief executive officer of ClearOne. “We have stepped-up our efforts on communicating the unique attributes and differentiated value of our entire product line to industry professionals and end-users.”</w:t>
      </w:r>
    </w:p>
    <w:p>
      <w:pPr>
        <w:spacing w:after="0" w:line="235"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For the first nine months of fiscal 2007, revenue increased to $28.9 million from $26.2 million in the same period of fiscal 2006. Gross profit grew to $15.5 million from $13.4 million for the prior year period. Operating income was $1.8 million compared with an operating loss of $1.0 million in the same period last year. Net income rose to $3.0 million, or $0.25 per diluted share, which included income from discontinued operations of $304,000. This compares with net income for the prior year period of $2.6 million, or $0.21 per diluted share, which included income from discontinued operations of $1.8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At March 31, 2007, the company had cash, cash equivalents, and marketable securities of $22.0 million and no long-term debt.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www.clearone.com.</w:t>
      </w:r>
    </w:p>
    <w:p>
      <w:pPr>
        <w:spacing w:after="0" w:line="2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statements regarding the company’s ability to successfully commercialize newer products and enter new markets,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40" w:type="dxa"/>
            <w:vAlign w:val="bottom"/>
            <w:gridSpan w:val="3"/>
          </w:tcPr>
          <w:p>
            <w:pPr>
              <w:spacing w:after="0"/>
              <w:rPr>
                <w:sz w:val="20"/>
                <w:szCs w:val="20"/>
                <w:color w:val="auto"/>
              </w:rPr>
            </w:pPr>
            <w:r>
              <w:rPr>
                <w:rFonts w:ascii="Arial" w:cs="Arial" w:eastAsia="Arial" w:hAnsi="Arial"/>
                <w:sz w:val="18"/>
                <w:szCs w:val="18"/>
                <w:color w:val="auto"/>
              </w:rPr>
              <w:t>http://www.b2i.us/irpass.asp?BzID=509&amp;to=ea&amp;s=0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777"/>
        </w:trPr>
        <w:tc>
          <w:tcPr>
            <w:tcW w:w="1720" w:type="dxa"/>
            <w:vAlign w:val="bottom"/>
            <w:tcBorders>
              <w:top w:val="single" w:sz="8" w:color="auto"/>
            </w:tcBorders>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3700" w:type="dxa"/>
            <w:vAlign w:val="bottom"/>
          </w:tcPr>
          <w:p>
            <w:pPr>
              <w:ind w:left="560"/>
              <w:spacing w:after="0"/>
              <w:rPr>
                <w:sz w:val="20"/>
                <w:szCs w:val="20"/>
                <w:color w:val="auto"/>
              </w:rPr>
            </w:pPr>
            <w:r>
              <w:rPr>
                <w:rFonts w:ascii="Arial" w:cs="Arial" w:eastAsia="Arial" w:hAnsi="Arial"/>
                <w:sz w:val="18"/>
                <w:szCs w:val="18"/>
                <w:b w:val="1"/>
                <w:bCs w:val="1"/>
                <w:color w:val="auto"/>
              </w:rPr>
              <w:t>FINANCIAL TABLES FOLLOW</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13"/>
        </w:trPr>
        <w:tc>
          <w:tcPr>
            <w:tcW w:w="17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rPr>
              <w:t>CLEARONE COMMUNICATIONS, INC.</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1720" w:type="dxa"/>
            <w:vAlign w:val="bottom"/>
          </w:tcPr>
          <w:p>
            <w:pPr>
              <w:spacing w:after="0"/>
              <w:rPr>
                <w:sz w:val="21"/>
                <w:szCs w:val="21"/>
                <w:color w:val="auto"/>
              </w:rPr>
            </w:pPr>
          </w:p>
        </w:tc>
        <w:tc>
          <w:tcPr>
            <w:tcW w:w="6880" w:type="dxa"/>
            <w:vAlign w:val="bottom"/>
            <w:gridSpan w:val="5"/>
          </w:tcPr>
          <w:p>
            <w:pPr>
              <w:jc w:val="center"/>
              <w:ind w:left="95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5920" w:type="dxa"/>
            <w:vAlign w:val="bottom"/>
            <w:gridSpan w:val="3"/>
          </w:tcPr>
          <w:p>
            <w:pPr>
              <w:jc w:val="center"/>
              <w:ind w:left="1910"/>
              <w:spacing w:after="0"/>
              <w:rPr>
                <w:sz w:val="20"/>
                <w:szCs w:val="20"/>
                <w:color w:val="auto"/>
              </w:rPr>
            </w:pPr>
            <w:r>
              <w:rPr>
                <w:rFonts w:ascii="Arial" w:cs="Arial" w:eastAsia="Arial" w:hAnsi="Arial"/>
                <w:sz w:val="18"/>
                <w:szCs w:val="18"/>
                <w:b w:val="1"/>
                <w:bCs w:val="1"/>
                <w:color w:val="auto"/>
                <w:w w:val="88"/>
              </w:rPr>
              <w:t>(in thousands of dollars, except per share amounts)</w:t>
            </w: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Unaudited</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March 31,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w:t>
            </w:r>
          </w:p>
        </w:tc>
      </w:tr>
      <w:tr>
        <w:trPr>
          <w:trHeight w:val="270"/>
        </w:trPr>
        <w:tc>
          <w:tcPr>
            <w:tcW w:w="17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60" w:type="dxa"/>
            <w:vAlign w:val="bottom"/>
          </w:tcPr>
          <w:p>
            <w:pPr>
              <w:spacing w:after="0"/>
              <w:rPr>
                <w:sz w:val="23"/>
                <w:szCs w:val="23"/>
                <w:color w:val="auto"/>
              </w:rPr>
            </w:pPr>
          </w:p>
        </w:tc>
      </w:tr>
      <w:tr>
        <w:trPr>
          <w:trHeight w:val="480"/>
        </w:trPr>
        <w:tc>
          <w:tcPr>
            <w:tcW w:w="17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700" w:type="dxa"/>
            <w:vAlign w:val="bottom"/>
          </w:tcPr>
          <w:p>
            <w:pPr>
              <w:ind w:left="38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1720" w:type="dxa"/>
            <w:vAlign w:val="bottom"/>
          </w:tcPr>
          <w:p>
            <w:pPr>
              <w:spacing w:after="0"/>
              <w:rPr>
                <w:sz w:val="21"/>
                <w:szCs w:val="21"/>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1,312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1,240</w:t>
            </w:r>
          </w:p>
        </w:tc>
      </w:tr>
      <w:tr>
        <w:trPr>
          <w:trHeight w:val="243"/>
        </w:trPr>
        <w:tc>
          <w:tcPr>
            <w:tcW w:w="1720" w:type="dxa"/>
            <w:vAlign w:val="bottom"/>
          </w:tcPr>
          <w:p>
            <w:pPr>
              <w:spacing w:after="0"/>
              <w:rPr>
                <w:sz w:val="21"/>
                <w:szCs w:val="21"/>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20,650</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20,550</w:t>
            </w:r>
          </w:p>
        </w:tc>
      </w:tr>
      <w:tr>
        <w:trPr>
          <w:trHeight w:val="243"/>
        </w:trPr>
        <w:tc>
          <w:tcPr>
            <w:tcW w:w="1720" w:type="dxa"/>
            <w:vAlign w:val="bottom"/>
          </w:tcPr>
          <w:p>
            <w:pPr>
              <w:spacing w:after="0"/>
              <w:rPr>
                <w:sz w:val="21"/>
                <w:szCs w:val="21"/>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6,847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7,784</w:t>
            </w:r>
          </w:p>
        </w:tc>
      </w:tr>
      <w:tr>
        <w:trPr>
          <w:trHeight w:val="243"/>
        </w:trPr>
        <w:tc>
          <w:tcPr>
            <w:tcW w:w="1720" w:type="dxa"/>
            <w:vAlign w:val="bottom"/>
          </w:tcPr>
          <w:p>
            <w:pPr>
              <w:spacing w:after="0"/>
              <w:rPr>
                <w:sz w:val="21"/>
                <w:szCs w:val="21"/>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Note receivable</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6,953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6,614</w:t>
            </w:r>
          </w:p>
        </w:tc>
      </w:tr>
      <w:tr>
        <w:trPr>
          <w:trHeight w:val="243"/>
        </w:trPr>
        <w:tc>
          <w:tcPr>
            <w:tcW w:w="1720" w:type="dxa"/>
            <w:vAlign w:val="bottom"/>
          </w:tcPr>
          <w:p>
            <w:pPr>
              <w:spacing w:after="0"/>
              <w:rPr>
                <w:sz w:val="21"/>
                <w:szCs w:val="21"/>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 receivable</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3,240</w:t>
            </w:r>
          </w:p>
        </w:tc>
      </w:tr>
      <w:tr>
        <w:trPr>
          <w:trHeight w:val="243"/>
        </w:trPr>
        <w:tc>
          <w:tcPr>
            <w:tcW w:w="1720" w:type="dxa"/>
            <w:vAlign w:val="bottom"/>
          </w:tcPr>
          <w:p>
            <w:pPr>
              <w:spacing w:after="0"/>
              <w:rPr>
                <w:sz w:val="21"/>
                <w:szCs w:val="21"/>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Deferred income taxes, net</w:t>
            </w:r>
          </w:p>
        </w:tc>
        <w:tc>
          <w:tcPr>
            <w:tcW w:w="10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r>
      <w:tr>
        <w:trPr>
          <w:trHeight w:val="243"/>
        </w:trPr>
        <w:tc>
          <w:tcPr>
            <w:tcW w:w="1720" w:type="dxa"/>
            <w:vAlign w:val="bottom"/>
          </w:tcPr>
          <w:p>
            <w:pPr>
              <w:spacing w:after="0"/>
              <w:rPr>
                <w:sz w:val="21"/>
                <w:szCs w:val="21"/>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r>
      <w:tr>
        <w:trPr>
          <w:trHeight w:val="270"/>
        </w:trPr>
        <w:tc>
          <w:tcPr>
            <w:tcW w:w="1720" w:type="dxa"/>
            <w:vAlign w:val="bottom"/>
          </w:tcPr>
          <w:p>
            <w:pPr>
              <w:spacing w:after="0"/>
              <w:rPr>
                <w:sz w:val="23"/>
                <w:szCs w:val="23"/>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Net assets of discontinued operations</w:t>
            </w: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60" w:type="dxa"/>
            <w:vAlign w:val="bottom"/>
          </w:tcPr>
          <w:p>
            <w:pPr>
              <w:spacing w:after="0"/>
              <w:rPr>
                <w:sz w:val="23"/>
                <w:szCs w:val="23"/>
                <w:color w:val="auto"/>
              </w:rPr>
            </w:pPr>
          </w:p>
        </w:tc>
      </w:tr>
      <w:tr>
        <w:trPr>
          <w:trHeight w:val="237"/>
        </w:trPr>
        <w:tc>
          <w:tcPr>
            <w:tcW w:w="1720" w:type="dxa"/>
            <w:vAlign w:val="bottom"/>
          </w:tcPr>
          <w:p>
            <w:pPr>
              <w:spacing w:after="0"/>
              <w:rPr>
                <w:sz w:val="20"/>
                <w:szCs w:val="20"/>
                <w:color w:val="auto"/>
              </w:rPr>
            </w:pPr>
          </w:p>
        </w:tc>
        <w:tc>
          <w:tcPr>
            <w:tcW w:w="5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36,353</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40,376</w:t>
            </w:r>
          </w:p>
        </w:tc>
      </w:tr>
    </w:tbl>
    <w:p>
      <w:pPr>
        <w:spacing w:after="0" w:line="20" w:lineRule="exact"/>
        <w:rPr>
          <w:sz w:val="20"/>
          <w:szCs w:val="20"/>
          <w:color w:val="auto"/>
        </w:rPr>
      </w:pPr>
    </w:p>
    <w:p>
      <w:pPr>
        <w:sectPr>
          <w:pgSz w:w="11900" w:h="16838" w:orient="portrait"/>
          <w:cols w:equalWidth="0" w:num="1">
            <w:col w:w="11340"/>
          </w:cols>
          <w:pgMar w:left="240" w:top="166" w:right="31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tcPr>
          <w:p>
            <w:pPr>
              <w:ind w:left="560"/>
              <w:spacing w:after="0"/>
              <w:rPr>
                <w:sz w:val="20"/>
                <w:szCs w:val="20"/>
                <w:color w:val="auto"/>
              </w:rPr>
            </w:pPr>
            <w:r>
              <w:rPr>
                <w:rFonts w:ascii="Arial" w:cs="Arial" w:eastAsia="Arial" w:hAnsi="Arial"/>
                <w:sz w:val="18"/>
                <w:szCs w:val="18"/>
                <w:color w:val="auto"/>
              </w:rPr>
              <w:t>Note receivable - long-term</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6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39,140</w:t>
            </w:r>
          </w:p>
        </w:tc>
        <w:tc>
          <w:tcPr>
            <w:tcW w:w="140" w:type="dxa"/>
            <w:vAlign w:val="bottom"/>
            <w:tcBorders>
              <w:top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42,038</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60" w:type="dxa"/>
            <w:vAlign w:val="bottom"/>
            <w:gridSpan w:val="2"/>
            <w:shd w:val="clear" w:color="auto" w:fill="CCEEFF"/>
          </w:tcPr>
          <w:p>
            <w:pPr>
              <w:spacing w:after="0"/>
              <w:rPr>
                <w:sz w:val="19"/>
                <w:szCs w:val="19"/>
                <w:color w:val="auto"/>
              </w:rPr>
            </w:pPr>
          </w:p>
        </w:tc>
        <w:tc>
          <w:tcPr>
            <w:tcW w:w="1120" w:type="dxa"/>
            <w:vAlign w:val="bottom"/>
            <w:gridSpan w:val="2"/>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60" w:type="dxa"/>
            <w:vAlign w:val="bottom"/>
            <w:gridSpan w:val="5"/>
          </w:tcPr>
          <w:p>
            <w:pPr>
              <w:ind w:left="90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1,946</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2,597</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taxes</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1,814</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2,397</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product revenue</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6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9,327</w:t>
            </w:r>
          </w:p>
        </w:tc>
        <w:tc>
          <w:tcPr>
            <w:tcW w:w="14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10,865</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tcPr>
          <w:p>
            <w:pPr>
              <w:ind w:left="560"/>
              <w:spacing w:after="0"/>
              <w:rPr>
                <w:sz w:val="20"/>
                <w:szCs w:val="20"/>
                <w:color w:val="auto"/>
              </w:rPr>
            </w:pPr>
            <w:r>
              <w:rPr>
                <w:rFonts w:ascii="Arial" w:cs="Arial" w:eastAsia="Arial" w:hAnsi="Arial"/>
                <w:sz w:val="18"/>
                <w:szCs w:val="18"/>
                <w:color w:val="auto"/>
              </w:rPr>
              <w:t>Deferred rent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894</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920" w:type="dxa"/>
            <w:vAlign w:val="bottom"/>
            <w:gridSpan w:val="2"/>
          </w:tcPr>
          <w:p>
            <w:pPr>
              <w:ind w:left="56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578</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633</w:t>
            </w: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10,931</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11,626</w:t>
            </w: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6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6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60" w:type="dxa"/>
            <w:vAlign w:val="bottom"/>
            <w:gridSpan w:val="5"/>
          </w:tcPr>
          <w:p>
            <w:pPr>
              <w:ind w:left="160"/>
              <w:spacing w:after="0"/>
              <w:rPr>
                <w:sz w:val="20"/>
                <w:szCs w:val="20"/>
                <w:color w:val="auto"/>
              </w:rPr>
            </w:pPr>
            <w:r>
              <w:rPr>
                <w:rFonts w:ascii="Arial" w:cs="Arial" w:eastAsia="Arial" w:hAnsi="Arial"/>
                <w:sz w:val="18"/>
                <w:szCs w:val="18"/>
                <w:color w:val="auto"/>
                <w:w w:val="90"/>
              </w:rPr>
              <w:t>Common stock, par value $0.001, 50,000,000 shares authorized,</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120" w:type="dxa"/>
            <w:vAlign w:val="bottom"/>
            <w:tcBorders>
              <w:right w:val="single" w:sz="8" w:color="CCEEFF"/>
            </w:tcBorders>
            <w:gridSpan w:val="9"/>
            <w:shd w:val="clear" w:color="auto" w:fill="CCEEFF"/>
          </w:tcPr>
          <w:p>
            <w:pPr>
              <w:ind w:left="160"/>
              <w:spacing w:after="0"/>
              <w:rPr>
                <w:sz w:val="20"/>
                <w:szCs w:val="20"/>
                <w:color w:val="auto"/>
              </w:rPr>
            </w:pPr>
            <w:r>
              <w:rPr>
                <w:rFonts w:ascii="Arial" w:cs="Arial" w:eastAsia="Arial" w:hAnsi="Arial"/>
                <w:sz w:val="18"/>
                <w:szCs w:val="18"/>
                <w:color w:val="auto"/>
              </w:rPr>
              <w:t>10,881,262 and 12,184,727 shares issued and outstanding, respectively</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47,578</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52,764</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(19,380)</w:t>
            </w: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(22,364)</w:t>
            </w: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3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60" w:type="dxa"/>
            <w:vAlign w:val="bottom"/>
            <w:tcBorders>
              <w:top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28,209</w:t>
            </w:r>
          </w:p>
        </w:tc>
        <w:tc>
          <w:tcPr>
            <w:tcW w:w="140" w:type="dxa"/>
            <w:vAlign w:val="bottom"/>
            <w:tcBorders>
              <w:top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30,412</w:t>
            </w: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1"/>
              </w:rPr>
              <w:t>Total liabilities and shareholders' equity</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right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39,140</w:t>
            </w: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42,038</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7"/>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120" w:type="dxa"/>
            <w:vAlign w:val="bottom"/>
            <w:gridSpan w:val="9"/>
          </w:tcPr>
          <w:p>
            <w:pPr>
              <w:jc w:val="center"/>
              <w:ind w:left="1710"/>
              <w:spacing w:after="0"/>
              <w:rPr>
                <w:sz w:val="20"/>
                <w:szCs w:val="20"/>
                <w:color w:val="auto"/>
              </w:rPr>
            </w:pPr>
            <w:r>
              <w:rPr>
                <w:rFonts w:ascii="Arial" w:cs="Arial" w:eastAsia="Arial" w:hAnsi="Arial"/>
                <w:sz w:val="18"/>
                <w:szCs w:val="18"/>
                <w:b w:val="1"/>
                <w:bCs w:val="1"/>
                <w:color w:val="auto"/>
              </w:rPr>
              <w:t>CLEARONE COMMUNICATIONS, INC.</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0" w:type="dxa"/>
            <w:vAlign w:val="bottom"/>
            <w:gridSpan w:val="11"/>
          </w:tcPr>
          <w:p>
            <w:pPr>
              <w:jc w:val="center"/>
              <w:ind w:left="101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50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120" w:type="dxa"/>
            <w:vAlign w:val="bottom"/>
            <w:gridSpan w:val="9"/>
          </w:tcPr>
          <w:p>
            <w:pPr>
              <w:jc w:val="right"/>
              <w:ind w:right="200"/>
              <w:spacing w:after="0"/>
              <w:rPr>
                <w:sz w:val="20"/>
                <w:szCs w:val="20"/>
                <w:color w:val="auto"/>
              </w:rPr>
            </w:pPr>
            <w:r>
              <w:rPr>
                <w:rFonts w:ascii="Arial" w:cs="Arial" w:eastAsia="Arial" w:hAnsi="Arial"/>
                <w:sz w:val="18"/>
                <w:szCs w:val="18"/>
                <w:b w:val="1"/>
                <w:bCs w:val="1"/>
                <w:color w:val="auto"/>
              </w:rPr>
              <w:t>(in thousands of dollars, except per share amounts)</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7"/>
          </w:tcPr>
          <w:p>
            <w:pPr>
              <w:jc w:val="right"/>
              <w:ind w:right="33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0"/>
                <w:szCs w:val="20"/>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20"/>
                <w:szCs w:val="20"/>
                <w:color w:val="auto"/>
              </w:rPr>
            </w:pPr>
          </w:p>
        </w:tc>
        <w:tc>
          <w:tcPr>
            <w:tcW w:w="110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20"/>
                <w:szCs w:val="20"/>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2007</w:t>
            </w:r>
          </w:p>
        </w:tc>
        <w:tc>
          <w:tcPr>
            <w:tcW w:w="2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40" w:type="dxa"/>
            <w:vAlign w:val="bottom"/>
            <w:gridSpan w:val="3"/>
          </w:tcPr>
          <w:p>
            <w:pPr>
              <w:spacing w:after="0"/>
              <w:rPr>
                <w:sz w:val="20"/>
                <w:szCs w:val="20"/>
                <w:color w:val="auto"/>
              </w:rPr>
            </w:pPr>
          </w:p>
        </w:tc>
        <w:tc>
          <w:tcPr>
            <w:tcW w:w="320" w:type="dxa"/>
            <w:vAlign w:val="bottom"/>
            <w:gridSpan w:val="2"/>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8,278</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28,873</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right w:val="single" w:sz="8" w:color="CCEEFF"/>
            </w:tcBorders>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26,158</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top w:val="single" w:sz="8" w:color="CCEEFF"/>
            </w:tcBorders>
            <w:gridSpan w:val="2"/>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3"/>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4,190</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13,366</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right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12,737</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920" w:type="dxa"/>
            <w:vAlign w:val="bottom"/>
            <w:tcBorders>
              <w:top w:val="single" w:sz="8" w:color="CCEEFF"/>
            </w:tcBorders>
            <w:gridSpan w:val="2"/>
          </w:tcPr>
          <w:p>
            <w:pPr>
              <w:ind w:left="32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5,165</w:t>
            </w:r>
          </w:p>
        </w:tc>
        <w:tc>
          <w:tcPr>
            <w:tcW w:w="180" w:type="dxa"/>
            <w:vAlign w:val="bottom"/>
            <w:tcBorders>
              <w:top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4,025</w:t>
            </w:r>
          </w:p>
        </w:tc>
        <w:tc>
          <w:tcPr>
            <w:tcW w:w="180" w:type="dxa"/>
            <w:vAlign w:val="bottom"/>
            <w:tcBorders>
              <w:top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15,507</w:t>
            </w: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13,421</w:t>
            </w:r>
          </w:p>
        </w:tc>
        <w:tc>
          <w:tcPr>
            <w:tcW w:w="8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gridSpan w:val="2"/>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4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Marketing and selling</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5,711</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tcPr>
          <w:p>
            <w:pPr>
              <w:ind w:left="1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1,060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2,260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4,288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Settlement in shareholders' class action</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spacing w:after="0"/>
              <w:rPr>
                <w:sz w:val="21"/>
                <w:szCs w:val="21"/>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(1,205)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920" w:type="dxa"/>
            <w:vAlign w:val="bottom"/>
            <w:gridSpan w:val="2"/>
          </w:tcPr>
          <w:p>
            <w:pPr>
              <w:ind w:left="160"/>
              <w:spacing w:after="0"/>
              <w:rPr>
                <w:sz w:val="20"/>
                <w:szCs w:val="20"/>
                <w:color w:val="auto"/>
              </w:rPr>
            </w:pPr>
            <w:r>
              <w:rPr>
                <w:rFonts w:ascii="Arial" w:cs="Arial" w:eastAsia="Arial" w:hAnsi="Arial"/>
                <w:sz w:val="18"/>
                <w:szCs w:val="18"/>
                <w:color w:val="auto"/>
              </w:rPr>
              <w:t>Research and product development</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w:t>
            </w:r>
          </w:p>
        </w:tc>
        <w:tc>
          <w:tcPr>
            <w:tcW w:w="1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2,201</w:t>
            </w:r>
          </w:p>
        </w:tc>
        <w:tc>
          <w:tcPr>
            <w:tcW w:w="1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5,782</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39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13,753</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right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14,403</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top w:val="single" w:sz="8" w:color="CCEEFF"/>
            </w:tcBorders>
            <w:gridSpan w:val="2"/>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gridSpan w:val="2"/>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1,754</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right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top w:val="single" w:sz="8" w:color="CCEEFF"/>
            </w:tcBorders>
            <w:gridSpan w:val="2"/>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gridSpan w:val="2"/>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1,229</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right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60" w:type="dxa"/>
            <w:vAlign w:val="bottom"/>
            <w:tcBorders>
              <w:top w:val="single" w:sz="8" w:color="CCEEFF"/>
            </w:tcBorders>
          </w:tcPr>
          <w:p>
            <w:pPr>
              <w:spacing w:after="0"/>
              <w:rPr>
                <w:sz w:val="20"/>
                <w:szCs w:val="20"/>
                <w:color w:val="auto"/>
              </w:rPr>
            </w:pPr>
          </w:p>
        </w:tc>
        <w:tc>
          <w:tcPr>
            <w:tcW w:w="336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(loss) from continuing operations before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2,983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spacing w:after="0"/>
              <w:rPr>
                <w:sz w:val="20"/>
                <w:szCs w:val="20"/>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0"/>
        </w:trPr>
        <w:tc>
          <w:tcPr>
            <w:tcW w:w="3940" w:type="dxa"/>
            <w:vAlign w:val="bottom"/>
            <w:gridSpan w:val="3"/>
          </w:tcPr>
          <w:p>
            <w:pPr>
              <w:spacing w:after="0"/>
              <w:rPr>
                <w:sz w:val="20"/>
                <w:szCs w:val="20"/>
                <w:color w:val="auto"/>
              </w:rPr>
            </w:pPr>
            <w:r>
              <w:rPr>
                <w:rFonts w:ascii="Arial" w:cs="Arial" w:eastAsia="Arial" w:hAnsi="Arial"/>
                <w:sz w:val="18"/>
                <w:szCs w:val="18"/>
                <w:color w:val="auto"/>
              </w:rPr>
              <w:t>(Provision) benefit from income taxes</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782</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1,150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9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2,680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right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154305</wp:posOffset>
            </wp:positionV>
            <wp:extent cx="579755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ectPr>
          <w:pgSz w:w="11900" w:h="16838" w:orient="portrait"/>
          <w:cols w:equalWidth="0" w:num="1">
            <w:col w:w="9140"/>
          </w:cols>
          <w:pgMar w:left="1380" w:top="140" w:right="1379" w:bottom="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Discontinued operations: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from discontinued operations</w:t>
      </w:r>
    </w:p>
    <w:p>
      <w:pPr>
        <w:spacing w:after="0" w:line="36" w:lineRule="exact"/>
        <w:rPr>
          <w:sz w:val="20"/>
          <w:szCs w:val="20"/>
          <w:color w:val="auto"/>
        </w:rPr>
      </w:pPr>
    </w:p>
    <w:p>
      <w:pPr>
        <w:ind w:left="180" w:right="420"/>
        <w:spacing w:after="0" w:line="301" w:lineRule="auto"/>
        <w:rPr>
          <w:sz w:val="20"/>
          <w:szCs w:val="20"/>
          <w:color w:val="auto"/>
        </w:rPr>
      </w:pPr>
      <w:r>
        <w:rPr>
          <w:rFonts w:ascii="Arial" w:cs="Arial" w:eastAsia="Arial" w:hAnsi="Arial"/>
          <w:sz w:val="18"/>
          <w:szCs w:val="18"/>
          <w:color w:val="auto"/>
        </w:rPr>
        <w:t>Gain (loss) on disposal of discontinued operations Income tax 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50</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495</w:t>
            </w:r>
          </w:p>
        </w:tc>
        <w:tc>
          <w:tcPr>
            <w:tcW w:w="90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43"/>
        </w:trPr>
        <w:tc>
          <w:tcPr>
            <w:tcW w:w="800" w:type="dxa"/>
            <w:vAlign w:val="bottom"/>
          </w:tcPr>
          <w:p>
            <w:pPr>
              <w:jc w:val="right"/>
              <w:ind w:right="390"/>
              <w:spacing w:after="0"/>
              <w:rPr>
                <w:sz w:val="20"/>
                <w:szCs w:val="20"/>
                <w:color w:val="auto"/>
              </w:rPr>
            </w:pPr>
            <w:r>
              <w:rPr>
                <w:rFonts w:ascii="Arial" w:cs="Arial" w:eastAsia="Arial" w:hAnsi="Arial"/>
                <w:sz w:val="18"/>
                <w:szCs w:val="18"/>
                <w:color w:val="auto"/>
                <w:w w:val="99"/>
              </w:rPr>
              <w:t>420</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1,030</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(10)</w:t>
            </w:r>
          </w:p>
        </w:tc>
        <w:tc>
          <w:tcPr>
            <w:tcW w:w="900" w:type="dxa"/>
            <w:vAlign w:val="bottom"/>
          </w:tcPr>
          <w:p>
            <w:pPr>
              <w:jc w:val="right"/>
              <w:spacing w:after="0"/>
              <w:rPr>
                <w:sz w:val="20"/>
                <w:szCs w:val="20"/>
                <w:color w:val="auto"/>
              </w:rPr>
            </w:pPr>
            <w:r>
              <w:rPr>
                <w:rFonts w:ascii="Arial" w:cs="Arial" w:eastAsia="Arial" w:hAnsi="Arial"/>
                <w:sz w:val="18"/>
                <w:szCs w:val="18"/>
                <w:color w:val="auto"/>
              </w:rPr>
              <w:t>2,676</w:t>
            </w:r>
          </w:p>
        </w:tc>
      </w:tr>
      <w:tr>
        <w:trPr>
          <w:trHeight w:val="270"/>
        </w:trPr>
        <w:tc>
          <w:tcPr>
            <w:tcW w:w="800" w:type="dxa"/>
            <w:vAlign w:val="bottom"/>
          </w:tcPr>
          <w:p>
            <w:pPr>
              <w:jc w:val="right"/>
              <w:ind w:right="330"/>
              <w:spacing w:after="0"/>
              <w:rPr>
                <w:sz w:val="20"/>
                <w:szCs w:val="20"/>
                <w:color w:val="auto"/>
              </w:rPr>
            </w:pPr>
            <w:r>
              <w:rPr>
                <w:rFonts w:ascii="Arial" w:cs="Arial" w:eastAsia="Arial" w:hAnsi="Arial"/>
                <w:sz w:val="18"/>
                <w:szCs w:val="18"/>
                <w:color w:val="auto"/>
                <w:w w:val="85"/>
              </w:rPr>
              <w:t>(157)</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(403)</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(181)</w:t>
            </w:r>
          </w:p>
        </w:tc>
        <w:tc>
          <w:tcPr>
            <w:tcW w:w="900" w:type="dxa"/>
            <w:vAlign w:val="bottom"/>
          </w:tcPr>
          <w:p>
            <w:pPr>
              <w:jc w:val="right"/>
              <w:spacing w:after="0"/>
              <w:rPr>
                <w:sz w:val="20"/>
                <w:szCs w:val="20"/>
                <w:color w:val="auto"/>
              </w:rPr>
            </w:pPr>
            <w:r>
              <w:rPr>
                <w:rFonts w:ascii="Arial" w:cs="Arial" w:eastAsia="Arial" w:hAnsi="Arial"/>
                <w:sz w:val="18"/>
                <w:szCs w:val="18"/>
                <w:color w:val="auto"/>
              </w:rPr>
              <w:t>(1,098)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-3113405</wp:posOffset>
            </wp:positionH>
            <wp:positionV relativeFrom="paragraph">
              <wp:posOffset>-325120</wp:posOffset>
            </wp:positionV>
            <wp:extent cx="579755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4200" w:space="720"/>
            <w:col w:w="4220"/>
          </w:cols>
          <w:pgMar w:left="1380" w:top="140" w:right="1379" w:bottom="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92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63"/>
        </w:trPr>
        <w:tc>
          <w:tcPr>
            <w:tcW w:w="20" w:type="dxa"/>
            <w:vAlign w:val="bottom"/>
          </w:tcPr>
          <w:p>
            <w:pPr>
              <w:spacing w:after="0"/>
              <w:rPr>
                <w:sz w:val="22"/>
                <w:szCs w:val="22"/>
                <w:color w:val="auto"/>
              </w:rPr>
            </w:pPr>
          </w:p>
        </w:tc>
        <w:tc>
          <w:tcPr>
            <w:tcW w:w="3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8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9140"/>
          </w:cols>
          <w:pgMar w:left="1380" w:top="140" w:right="1379" w:bottom="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March 31,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March 31,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Basic earnings per common share from continuing</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tcPr>
          <w:p>
            <w:pPr>
              <w:spacing w:after="0" w:line="201" w:lineRule="exact"/>
              <w:rPr>
                <w:sz w:val="20"/>
                <w:szCs w:val="20"/>
                <w:color w:val="auto"/>
              </w:rPr>
            </w:pPr>
            <w:r>
              <w:rPr>
                <w:rFonts w:ascii="Arial" w:cs="Arial" w:eastAsia="Arial" w:hAnsi="Arial"/>
                <w:sz w:val="18"/>
                <w:szCs w:val="18"/>
                <w:color w:val="auto"/>
                <w:w w:val="96"/>
              </w:rPr>
              <w:t>Diluted earnings per common share from continuing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20" w:type="dxa"/>
            <w:vAlign w:val="bottom"/>
          </w:tcPr>
          <w:p>
            <w:pPr>
              <w:spacing w:after="0" w:line="201" w:lineRule="exact"/>
              <w:rPr>
                <w:sz w:val="20"/>
                <w:szCs w:val="20"/>
                <w:color w:val="auto"/>
              </w:rPr>
            </w:pPr>
            <w:r>
              <w:rPr>
                <w:rFonts w:ascii="Arial" w:cs="Arial" w:eastAsia="Arial" w:hAnsi="Arial"/>
                <w:sz w:val="18"/>
                <w:szCs w:val="18"/>
                <w:color w:val="auto"/>
                <w:w w:val="95"/>
              </w:rPr>
              <w:t>Basic earnings per common share from discontinued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0"/>
                <w:szCs w:val="20"/>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Diluted earnings per common share from discontinued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4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gridSpan w:val="2"/>
          </w:tcPr>
          <w:p>
            <w:pPr>
              <w:spacing w:after="0"/>
              <w:rPr>
                <w:sz w:val="20"/>
                <w:szCs w:val="20"/>
                <w:color w:val="auto"/>
              </w:rPr>
            </w:pPr>
            <w:r>
              <w:rPr>
                <w:rFonts w:ascii="Arial" w:cs="Arial" w:eastAsia="Arial" w:hAnsi="Arial"/>
                <w:sz w:val="18"/>
                <w:szCs w:val="18"/>
                <w:color w:val="auto"/>
              </w:rPr>
              <w:t>Basic weighted average shares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10,994,607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12,184,727</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11,705,853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11,882,375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11,101,791</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12,187,446</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11,770,145</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12,214,401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140"/>
      </w:cols>
      <w:pgMar w:left="1380" w:top="445"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2019-12-13T18:11:59Z</dcterms:created>
  <dcterms:modified xsi:type="dcterms:W3CDTF">2019-12-13T18:11:59Z</dcterms:modified>
</cp:coreProperties>
</file>