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510"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2024</w:t>
      </w:r>
    </w:p>
    <w:p>
      <w:pPr>
        <w:spacing w:after="0" w:line="3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transition period _______ to 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34"/>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34"/>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34"/>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30"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30"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August 12, 2024 was 23,969,148.</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2024</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shd w:val="clear" w:color="auto" w:fill="CCEEFF"/>
          </w:tcPr>
          <w:p>
            <w:pPr>
              <w:spacing w:after="0"/>
              <w:rPr>
                <w:sz w:val="20"/>
                <w:szCs w:val="20"/>
                <w:color w:val="auto"/>
              </w:rPr>
            </w:pPr>
          </w:p>
        </w:tc>
        <w:tc>
          <w:tcPr>
            <w:tcW w:w="95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2024 and December 31, 2023</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six months ended June</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9"/>
        </w:trPr>
        <w:tc>
          <w:tcPr>
            <w:tcW w:w="920" w:type="dxa"/>
            <w:vAlign w:val="bottom"/>
            <w:shd w:val="clear" w:color="auto" w:fill="CCEEFF"/>
          </w:tcPr>
          <w:p>
            <w:pPr>
              <w:spacing w:after="0"/>
              <w:rPr>
                <w:sz w:val="11"/>
                <w:szCs w:val="11"/>
                <w:color w:val="auto"/>
              </w:rPr>
            </w:pPr>
          </w:p>
        </w:tc>
        <w:tc>
          <w:tcPr>
            <w:tcW w:w="950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2024 and 2023</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500" w:type="dxa"/>
            <w:vAlign w:val="bottom"/>
            <w:gridSpan w:val="18"/>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2024 and 2023</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900" w:type="dxa"/>
            <w:vAlign w:val="bottom"/>
            <w:tcBorders>
              <w:bottom w:val="single" w:sz="8" w:color="CCEEFF"/>
            </w:tcBorders>
            <w:gridSpan w:val="17"/>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1,852</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2,574</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14,599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3,855</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1,772</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1,726</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23,969,148 and 23,969,148 shares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31,616</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(5,794)</w:t>
            </w: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8"/>
                <w:szCs w:val="18"/>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6,498</w:t>
            </w: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(3,544)</w:t>
            </w:r>
          </w:p>
        </w:tc>
      </w:tr>
      <w:tr>
        <w:trPr>
          <w:trHeight w:val="229"/>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(2,805)</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(4,705)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w:t>
            </w:r>
          </w:p>
        </w:tc>
      </w:tr>
      <w:tr>
        <w:trPr>
          <w:trHeight w:val="230"/>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55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CEEFF"/>
            </w:tcBorders>
          </w:tcPr>
          <w:p>
            <w:pPr>
              <w:spacing w:after="0"/>
              <w:rPr>
                <w:sz w:val="22"/>
                <w:szCs w:val="22"/>
                <w:color w:val="auto"/>
              </w:rPr>
            </w:pPr>
          </w:p>
        </w:tc>
      </w:tr>
      <w:tr>
        <w:trPr>
          <w:trHeight w:val="196"/>
        </w:trPr>
        <w:tc>
          <w:tcPr>
            <w:tcW w:w="5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23,955,802</w:t>
            </w: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23,955,785</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23,955,802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23,955,785</w:t>
            </w:r>
          </w:p>
        </w:tc>
      </w:tr>
      <w:tr>
        <w:trPr>
          <w:trHeight w:val="230"/>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3,536</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2,344</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(9,332)</w:t>
            </w:r>
          </w:p>
        </w:tc>
      </w:tr>
      <w:tr>
        <w:trPr>
          <w:trHeight w:val="20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Borders>
              <w:bottom w:val="single" w:sz="8" w:color="CCEEFF"/>
            </w:tcBorders>
          </w:tcPr>
          <w:p>
            <w:pPr>
              <w:spacing w:after="0"/>
              <w:rPr>
                <w:sz w:val="18"/>
                <w:szCs w:val="18"/>
                <w:color w:val="auto"/>
              </w:rPr>
            </w:pPr>
          </w:p>
        </w:tc>
      </w:tr>
      <w:tr>
        <w:trPr>
          <w:trHeight w:val="210"/>
        </w:trPr>
        <w:tc>
          <w:tcPr>
            <w:tcW w:w="7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payment</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(28,979)</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100" w:type="dxa"/>
            <w:vAlign w:val="bottom"/>
            <w:tcBorders>
              <w:bottom w:val="single" w:sz="8" w:color="CCEEFF"/>
            </w:tcBorders>
          </w:tcPr>
          <w:p>
            <w:pPr>
              <w:spacing w:after="0"/>
              <w:rPr>
                <w:sz w:val="19"/>
                <w:szCs w:val="19"/>
                <w:color w:val="auto"/>
              </w:rPr>
            </w:pPr>
          </w:p>
        </w:tc>
      </w:tr>
      <w:tr>
        <w:trPr>
          <w:trHeight w:val="210"/>
        </w:trPr>
        <w:tc>
          <w:tcPr>
            <w:tcW w:w="7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(15,385)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w:t>
            </w: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bl>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2024 and December 31, 2023, the results of operations for the three and six months ended June 30, 2024 and 2023, and the cash flows for the six months ended June 30, 2024 and 2023. The results of operations for the three and six months ended June 30, 2024 and 2023 are not necessarily indicative of the results for a full-year period. These interim unaudited condensed consolidated financial statements should be read in conjunction with the financial statements included in our Annual Report on Form 10-K for the year ended December 31, 2023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2023. There have been no changes to these policies during the quarter ended June 30, 2024 that are of significance or potential significance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2024, our cash and cash equivalents were approximately $2,450 compared to $17,835 as of December 31, 2023. Our working capital was $21,707 as of June 30, 2024. Net cash used in operating activities was $2,722 for the six months ended June 30, 2024, a decrease of $55,642 compared to $52,920 of cash provided by operating activities for the six months ended June 30, 2023. The decrease in cash is mainly due to payment of dividends $14,490 in April 2024 and $28,979 in May 2023.These conditions raise substantial doubt about continuing as a going concern, but substantial doubt is alleviated because the Company believes, although there can be no assurance, that the current cash position and effective management of working capital, will provide the liquidity needed to meet our operating needs through at least August 14,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2,429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1,043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w:t>
            </w:r>
          </w:p>
        </w:tc>
        <w:tc>
          <w:tcPr>
            <w:tcW w:w="2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tcPr>
          <w:p>
            <w:pPr>
              <w:spacing w:after="0"/>
              <w:rPr>
                <w:sz w:val="19"/>
                <w:szCs w:val="19"/>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20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21"/>
                <w:szCs w:val="21"/>
                <w:color w:val="auto"/>
              </w:rPr>
            </w:pPr>
          </w:p>
        </w:tc>
      </w:tr>
      <w:tr>
        <w:trPr>
          <w:trHeight w:val="209"/>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2,304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3"/>
              </w:rPr>
              <w:t>5,926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2,304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2,842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7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10"/>
        </w:trPr>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2,304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3"/>
              </w:rPr>
              <w:t>5,926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7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loss per share does not assume exercise or conversion of securities that would have an anti-dilutive effect.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the amount of net loss for the period available to each weighted-average share of common stock outstanding during the reporting period. Diluted loss per common share is the amount of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23,955,802</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23,955,785</w:t>
            </w:r>
          </w:p>
        </w:tc>
      </w:tr>
      <w:tr>
        <w:trPr>
          <w:trHeight w:val="243"/>
        </w:trPr>
        <w:tc>
          <w:tcPr>
            <w:tcW w:w="5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23,969,148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23,955,802</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23,969,148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23,955,785</w:t>
            </w:r>
          </w:p>
        </w:tc>
        <w:tc>
          <w:tcPr>
            <w:tcW w:w="100" w:type="dxa"/>
            <w:vAlign w:val="bottom"/>
            <w:tcBorders>
              <w:bottom w:val="single" w:sz="8" w:color="CCEEFF"/>
            </w:tcBorders>
          </w:tcPr>
          <w:p>
            <w:pPr>
              <w:spacing w:after="0"/>
              <w:rPr>
                <w:sz w:val="21"/>
                <w:szCs w:val="21"/>
                <w:color w:val="auto"/>
              </w:rPr>
            </w:pPr>
          </w:p>
        </w:tc>
      </w:tr>
      <w:tr>
        <w:trPr>
          <w:trHeight w:val="196"/>
        </w:trPr>
        <w:tc>
          <w:tcPr>
            <w:tcW w:w="5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options, warrants and convertible portion of senior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outstanding</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6,287,019</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6,327,495</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options, warrants and convertible portion of senior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not included in the computation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6,287,019</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6,327,495</w:t>
            </w:r>
          </w:p>
        </w:tc>
      </w:tr>
      <w:tr>
        <w:trPr>
          <w:trHeight w:val="459"/>
        </w:trPr>
        <w:tc>
          <w:tcPr>
            <w:tcW w:w="528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as of June 30, 2024 and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4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32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in an unrealized loss position as of June 30, 2024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0"/>
                <w:szCs w:val="20"/>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4"/>
                <w:szCs w:val="24"/>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as of June 30, 2024 and December 31, 2023 consisted of the following:</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760" w:type="dxa"/>
            <w:vAlign w:val="bottom"/>
          </w:tcPr>
          <w:p>
            <w:pPr>
              <w:spacing w:after="0"/>
              <w:rPr>
                <w:sz w:val="20"/>
                <w:szCs w:val="20"/>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0"/>
        </w:trPr>
        <w:tc>
          <w:tcPr>
            <w:tcW w:w="6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(9,358)</w:t>
            </w:r>
          </w:p>
        </w:tc>
      </w:tr>
      <w:tr>
        <w:trPr>
          <w:trHeight w:val="223"/>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three and six months ended June 30, 2024 and 2023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r>
      <w:tr>
        <w:trPr>
          <w:trHeight w:val="459"/>
        </w:trPr>
        <w:tc>
          <w:tcPr>
            <w:tcW w:w="3960" w:type="dxa"/>
            <w:vAlign w:val="bottom"/>
          </w:tcPr>
          <w:p>
            <w:pPr>
              <w:spacing w:after="0"/>
              <w:rPr>
                <w:sz w:val="24"/>
                <w:szCs w:val="24"/>
                <w:color w:val="auto"/>
              </w:rPr>
            </w:pPr>
          </w:p>
        </w:tc>
        <w:tc>
          <w:tcPr>
            <w:tcW w:w="1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9"/>
              </w:rPr>
              <w:t>11</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7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June 30, 2024 and December 31, 2023 consisted of the following: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5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8,539</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three and six months ended June 30, 2024 and 2023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4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78"/>
        </w:trPr>
        <w:tc>
          <w:tcPr>
            <w:tcW w:w="5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(gain) incurred on valuation of inventory at lower of cost or</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value and write-off of obsolete inventory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three and six months ended June 30, 2024 and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5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expiring in August 2024. This facility supports the Company's administrative, marketing, customer support, and research and product development activities. The Company is planning to renew the lease.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June 30, 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(Remainder)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31,608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74,934</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(28,979)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(28,979)</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25,552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43,366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 of Common Stock and Warrants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plans for the six months ended June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4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4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beginning of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June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end of 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total remaining unrecognized compensation cost related to non-vested stock options, net of forfeitures, was approximately $97, which will be recognized over a weighted average period of 2.21 years.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5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5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six months ended June 30, 2024 mostly represents income tax expense (benefit) recorded for jurisdictions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approximately $1,079 of uncertain tax positions as of June 30, 2024. Due to the inherent uncertainty of the underlying tax positions, it is not possible to forecast the payment of this liability for any particular year, therefore, it is reflected in other long-term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our expectations regarding the ongoing transition of manufacturing of our products from China to Singapore by our electronics manufacturing services provider;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2023.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for the period ended June 30, 2024 and in Part I, Item 1A “Risk Factors” in our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11, 2024, we announced a one-time special cash dividend of $0.50 per share of ClearOne common stock, paid on April 10, 2024 to shareholders of record on April 2,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2024 we 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revenue decreased by 58% in the second quarter of 2024 when compared to the second quarter of 2023, primarily due to a significant decrease in revenues from the audio conferencing category. The revenue decline was also caused by significantly reduced demand for our products in many regions including USA, Europe and China when compared to 2023-Q2 revenues. We believe this revenue decline was primarily due to the cumulative impact of past production shortages. We believe that lack of product availability has caused some of our channel partners to purchase and install competing brands. Historically, we have seen a lag of several months between the time that our professional conferencing products are specified for installation and the date when those products are installed. Since our product availability was constrained through a significant part of Q4 2023, we believe our revenue was impacted negatively by these market dynamics through much of Q2 2024. We have also faced sales headwinds from our products’ lack of Microsoft Teams certification, despite their longtime functional compatibility with this platform. Our work through the first half of 2024 has focused on mitigating these impacts through maintaining consistent dialogues, product demonstrations, and feedback cycles with end users and channel partners, along with improving our visibility at key industry events. In addition, we saw a reduction in sales in the Middle East region, where we had previously experienced consistent sales growth, as we transitioned to a new distributor for the Middle East region. We believe our revenue performance in 2024-Q2 also was to a small extent impacted negatively due to increased costs associated with electronic raw materials that have affected the global manufacturing of high tech products. We expect these increased costs in various degrees to continue through 2024 and 2025.</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gross profit margin decreased to (0.9)% during the second quarter of 2024 from 33.7% during the second quarter of 2023. Our gross profit margin decreased to 19.1% during the first six months of 2024 compared to 32.7% during the first six months of 2023. This is due to scrapping of inventory items and increase in the reserve on Unite Camera from 35% to 50%.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increased from $1.0 million in the second quarter of 2023 to $2.8 million in the second quarter of 2024. The increase in net loss was mainly due to</w:t>
      </w:r>
    </w:p>
    <w:p>
      <w:pPr>
        <w:spacing w:after="0" w:line="27" w:lineRule="exact"/>
        <w:rPr>
          <w:sz w:val="20"/>
          <w:szCs w:val="20"/>
          <w:color w:val="auto"/>
        </w:rPr>
      </w:pPr>
    </w:p>
    <w:p>
      <w:pPr>
        <w:jc w:val="both"/>
        <w:ind w:firstLine="8"/>
        <w:spacing w:after="0" w:line="255" w:lineRule="auto"/>
        <w:tabs>
          <w:tab w:leader="none" w:pos="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revenues and increase in operating expenses related to inventory.Net loss increased from $1.9 million for the first half of 2023 to $4.7 million for the first half of 2024. The increase was mainly due to (a) decrease in revenue by $3.7 million, (b) significant decrease in Gross margin from 32.7% to 19.1% and (c) decrease in interest income.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generating operating profits through our strategic initiatives namely product innovation and cost reduction.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 gain market share and achieve certain non-financial goals. It has become increasingly important to have higher interoperability with other products in the audio visual market as well as certifications from leading video conferencing service providers like Microsoft and Zoom.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wide range of professional microphone products and video collaboration products. Despite our strong leadership position in the installed professional audio conferencing market, we face challenges to revenue growth due to the lack of component availability to build our products in 2023 driving growth to competitors, pricing pressures from new competitors attracted to the commercial market due to higher margins, and the lack of certifications from Microsoft. Notably, the Microsoft Teams device certification program is closed to new meeting room devices and solutions. Although we have requested admission into this certification program on multiple occasions ClearOne has been denied admission by Microsoft so far.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growth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 (approximately 61% in the first six months of 2024) from operations outside North and South America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$23 thousand on June 30, 2024 compared to $30 thousand on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and six months ended June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and six months ended June 30, 2024 (“2024-Q2”) ("2024-H1") and 2023 ("2023-Q2") ("2023-H1"), respectively, together with the percentage of total revenue which each such item represents: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7"/>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92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7"/>
        </w:trPr>
        <w:tc>
          <w:tcPr>
            <w:tcW w:w="26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Favorable</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(Adverse) in %</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(Adverse) in %</w:t>
            </w: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3,635</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product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873</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decreased to $2.3 million in 2024-Q2 compared to $5.5 million in 2023-Q2 due to a 60.5% decline in audio conferencing, a 30% decline in video products, and a 61% decrease in microphones. Our traditional ceiling mics, personal audio conferencing products, and video cameras suffered revenue declines due to lack of demand. When comparing 2024-Q2 to 2023-Q2, all sales regions suffered revenue loss. Revenues from Americas declined by 64%,from Europe and Africa by 41%, and from Asia Pacific (including Middle East, India and Australia) by 50%.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decreased to $5.9 million in 2024-H1 compared to $9.7 million 2023-H1 due to a 47% decline in audio conferencing, a 24% decline in video products, and a 33% decrease in microphones. Our traditional ceiling mics, personal audio conferencing products. and video cameras suffered revenue declines due to lack of demand. When comparing 2024-H1 to 2023-H1, all sales region suffered revenue loss. Revenues from Americas declined by 54%, from Europe and Africa by 42% ,and from Asia Pacific (including Middle east , India and Australia) by 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margin decreased from 33.7% during 2023-Q2 to( 0.9)% during 2024-Q2.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margin decreased from 32.7% during 2023-H1 to 19.1% during 2024-H1.</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declines in the periods represented were due to increased inventory scrap costs, increasing the inventory reserve to write down the value for certain items, and an increase in purchase price variance from increasing vendor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$0.1 million of Converge Pro and Beamforming microphone array products, $0.4 million of cameras, and $0.9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in 2024-Q2 was $2.9 million compared to $3.2 million in 2023-Q2. Total operating expenses were $6.1 million for 2024-H1 compared to $6.7 million for 2023-H1.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S&amp;M expenses decreased in 2024-Q2 to $1.2 million from $1.3 million in 2023-Q2. The decrease was primarily due to decrease in salaries, commissions, and consulting expenses from sales department restructuring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expenses remained consistent at $2.5 million when comparing 2024-H1 to 2023-H1.</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were consistent at $0.9 million when comparing 2024-Q2 to 2023-Q2.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decreased to $1.8 million in 2024-H1 compared to $1.9 million for 2023-H1</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decreased to $0.8 million in 2024-Q2 compared to $1.0 million in 2023-Q2. The reduction was primarily due to (a) decrease in insurance expenses, (c) and a reduction in amortization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decreased to $1.9 million in 2024-H1 compared to $2.3 million in 2023-H1. The reduction was primarily due to (a) a decrease in legal expenses, (b) and a decrease in insurance expenses, (c) reduction in employee related expenses.(d) and a reduction in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was $0 in 2024-Q2 compared to $0.1 million in 2023-Q2. Interest expense decreased to $0.0 million in 2024-H1 compared to $0.4 million in 2023-H1 The interest expense was NIL due to repayment of all the debts in full in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interest income, foreign currency changes and gain or loss on disposal of assets. Other income for 2024-Q2 included $0.3 million of interest income received on marketable securities compared to $0.5 million in 2023-Q2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six months ended June 30, 2024 and 2023, we did not recognize any benefit from the losses incurred due to setting up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our cash and cash equivalents were approximately $2.5 million compared to $17.8 million as of December 31, 2023. Our working capital was $21.7 million and $39.1 million as of June 30, 2024 and December 31,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approximately $2.7 million in the six months ended June 30, 2024, a decrease of approximately $55.6 million from $52.9 million of cash provided by operating activities in the six months ended June 30, 2023. The decrease in cash inflow was primarily due to the difference between $55 million in receipts from legal settlements received in first half of 2023 and $0 received in fist half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six months ended June 30, 2024 was $1.8 million compared to $7.4 million of cash used in investing activities in the six months ended June 30, 2023. The increase in cash provided by investing activities was primarily due to proceeds from sale of marketable securities of $5.4 million offset by purchases of marketable securities of $3.4 million in the six months ended June 30,2024 compared to $2.3 million and $9.3 million respectively compared to the six months ended June 30,2023.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2024 was $14.5 million compared to $31.4 million of cash being used in the six months ended June 30, 2023. This was comprised primarily of dividend distributions payments made.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although there can be no assurance, that the current cash position and effective management of working capital, will provide the liquidity needed to meet our operating needs through at least August 14,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open purchase orders of approximately $3.02 million mostly for the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inventory totaling $16.4 million, of which non-current inventory accounted for $1.8 million. This compares to total inventories of $13.8 million, which includes non-current inventory of $3.1 million as of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June 30, 2024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June 30, 2024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June 30,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June 30, 2024,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factors under Part I, Item 1A in our Annual Report on Form 10-K for the year ended December 31, 2023 are hereby supplemented with the following additional risk factor: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20, 2024, we received a letter (the “Notice”)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5550(a)(2) (the “Minimum Bid Price Requirement”). The last reported closing price of our common stock on the Nasdaq Capital Market on August 13, 2024 was $0.6411 per share and has been below the $1.00 closing bid price since May 6, 2024. In accordance with Nasdaq Marketplace Rule 5810(c)(3) (A), we have a period of 180 calendar days from June 20, 2024, or until December 17, 2024, to regain compliance with the Minimum Bid Price Requirement. If at any time before December 17, 2024, the closing bid price of our common stock closes at or above $1.00 per share for a minimum of 10 consecutive trading days (which number days may be extended by Nasdaq), Nasdaq will provide written notification that we have achieved compliance with the Minimum Bid Price Requirement, and the matter would be resolved. If compliance is not achieved within the 180-day period, Nasdaq would provide written notification to us that our common stock is subject to delisting. In the event that we fail to regain compliance with Nasdaq continued listing standards by the expiration of the applicable cure period or any extension period, Nasdaq will commence suspension and delisting procedures with respect to our common stock, which could impair the value of your investment.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426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c>
          <w:tcPr>
            <w:tcW w:w="49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4960" w:type="dxa"/>
            <w:vAlign w:val="bottom"/>
          </w:tcPr>
          <w:p>
            <w:pPr>
              <w:spacing w:after="0"/>
              <w:rPr>
                <w:sz w:val="24"/>
                <w:szCs w:val="24"/>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479"/>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608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5"/>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1"/>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38"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Pr>
          <w:p>
            <w:pPr>
              <w:spacing w:after="0"/>
              <w:rPr>
                <w:sz w:val="21"/>
                <w:szCs w:val="21"/>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2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Quarterly Report of ClearOne, Inc. on Form 10-Q for the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2024-08-14T12:31:52Z</dcterms:created>
  <dcterms:modified xsi:type="dcterms:W3CDTF">2024-08-14T12:31:52Z</dcterms:modified>
</cp:coreProperties>
</file>