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January 25, 2007</w:t>
      </w: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tbl>
      <w:tblPr>
        <w:tblLayout w:type="fixed"/>
        <w:tblInd w:w="2880" w:type="dxa"/>
        <w:tblCellMar>
          <w:top w:w="0" w:type="dxa"/>
          <w:left w:w="0" w:type="dxa"/>
          <w:bottom w:w="0" w:type="dxa"/>
          <w:right w:w="0" w:type="dxa"/>
        </w:tblCellMar>
      </w:tblPr>
      <w:tr>
        <w:trPr>
          <w:trHeight w:val="282"/>
        </w:trPr>
        <w:tc>
          <w:tcPr>
            <w:tcW w:w="28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28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35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Salt Lake City, Utah</w:t>
            </w: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24"/>
        </w:trPr>
        <w:tc>
          <w:tcPr>
            <w:tcW w:w="3520" w:type="dxa"/>
            <w:vAlign w:val="bottom"/>
            <w:tcBorders>
              <w:top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January 25, 2007, ClearOne Communications, Inc. (the “Company”) issued a press release announcing its financial results for the second quarter ended December 31, 2006. The full text of the Company’s press release is furnished herewith as Exhibit 99.1.</w:t>
      </w:r>
    </w:p>
    <w:p>
      <w:pPr>
        <w:spacing w:after="0" w:line="2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0"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50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Title of Document</w:t>
            </w:r>
          </w:p>
        </w:tc>
        <w:tc>
          <w:tcPr>
            <w:tcW w:w="498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Location</w:t>
            </w:r>
          </w:p>
        </w:tc>
      </w:tr>
      <w:tr>
        <w:trPr>
          <w:trHeight w:val="195"/>
        </w:trPr>
        <w:tc>
          <w:tcPr>
            <w:tcW w:w="140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10020" w:type="dxa"/>
            <w:vAlign w:val="bottom"/>
            <w:gridSpan w:val="2"/>
          </w:tcPr>
          <w:p>
            <w:pPr>
              <w:ind w:left="560"/>
              <w:spacing w:after="0" w:line="195" w:lineRule="exact"/>
              <w:rPr>
                <w:sz w:val="20"/>
                <w:szCs w:val="20"/>
                <w:color w:val="auto"/>
              </w:rPr>
            </w:pPr>
            <w:r>
              <w:rPr>
                <w:rFonts w:ascii="Arial" w:cs="Arial" w:eastAsia="Arial" w:hAnsi="Arial"/>
                <w:sz w:val="18"/>
                <w:szCs w:val="18"/>
                <w:color w:val="auto"/>
              </w:rPr>
              <w:t>Press Release dated January 25, 2007 captioned “ClearOne Reports Fiscal 2007 Second Quarter Financial This Filing</w:t>
            </w:r>
          </w:p>
        </w:tc>
      </w:tr>
      <w:tr>
        <w:trPr>
          <w:trHeight w:val="230"/>
        </w:trPr>
        <w:tc>
          <w:tcPr>
            <w:tcW w:w="1400" w:type="dxa"/>
            <w:vAlign w:val="bottom"/>
          </w:tcPr>
          <w:p>
            <w:pPr>
              <w:spacing w:after="0"/>
              <w:rPr>
                <w:sz w:val="20"/>
                <w:szCs w:val="20"/>
                <w:color w:val="auto"/>
              </w:rPr>
            </w:pPr>
          </w:p>
        </w:tc>
        <w:tc>
          <w:tcPr>
            <w:tcW w:w="5040" w:type="dxa"/>
            <w:vAlign w:val="bottom"/>
          </w:tcPr>
          <w:p>
            <w:pPr>
              <w:ind w:left="560"/>
              <w:spacing w:after="0"/>
              <w:rPr>
                <w:sz w:val="20"/>
                <w:szCs w:val="20"/>
                <w:color w:val="auto"/>
              </w:rPr>
            </w:pPr>
            <w:r>
              <w:rPr>
                <w:rFonts w:ascii="Arial" w:cs="Arial" w:eastAsia="Arial" w:hAnsi="Arial"/>
                <w:sz w:val="18"/>
                <w:szCs w:val="18"/>
                <w:color w:val="auto"/>
              </w:rPr>
              <w:t>Results.”</w:t>
            </w:r>
          </w:p>
        </w:tc>
        <w:tc>
          <w:tcPr>
            <w:tcW w:w="4980" w:type="dxa"/>
            <w:vAlign w:val="bottom"/>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January 25, 2007</w:t>
            </w:r>
          </w:p>
        </w:tc>
        <w:tc>
          <w:tcPr>
            <w:tcW w:w="2080" w:type="dxa"/>
            <w:vAlign w:val="bottom"/>
          </w:tcPr>
          <w:p>
            <w:pPr>
              <w:ind w:left="1320"/>
              <w:spacing w:after="0"/>
              <w:rPr>
                <w:sz w:val="20"/>
                <w:szCs w:val="20"/>
                <w:color w:val="auto"/>
              </w:rPr>
            </w:pPr>
            <w:r>
              <w:rPr>
                <w:rFonts w:ascii="Arial" w:cs="Arial" w:eastAsia="Arial" w:hAnsi="Arial"/>
                <w:sz w:val="18"/>
                <w:szCs w:val="18"/>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3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30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2" w:name="page3"/>
    <w:bookmarkEnd w:id="2"/>
    <w:p>
      <w:pPr>
        <w:jc w:val="both"/>
        <w:ind w:left="8180"/>
        <w:spacing w:after="0"/>
        <w:tabs>
          <w:tab w:leader="none" w:pos="9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Contacts:</w:t>
        <w:tab/>
        <w:t>ClearOne Communications,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(801) 303-3555</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Jaffe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PondelWilkinson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(310) 279-5980</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REPORTS FISCAL 2007 SECOND QUARTER FINANCIAL RESULTS</w:t>
      </w:r>
    </w:p>
    <w:p>
      <w:pPr>
        <w:spacing w:after="0" w:line="27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Salt Lake City, UT - January 25, 2007 - </w:t>
      </w:r>
      <w:r>
        <w:rPr>
          <w:rFonts w:ascii="Arial" w:cs="Arial" w:eastAsia="Arial" w:hAnsi="Arial"/>
          <w:sz w:val="18"/>
          <w:szCs w:val="18"/>
          <w:color w:val="auto"/>
        </w:rPr>
        <w:t>ClearOne Communications, Inc. (OTC: CLRO.OB) today reported financial results for the second quarter of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2007 ended December 31, 2006.</w:t>
      </w:r>
    </w:p>
    <w:p>
      <w:pPr>
        <w:spacing w:after="0" w:line="2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fiscal 2007 second quarter, revenue increased to $10.1 million from $9.1 million in the same quarter of last year. Gross profit grew to $5.2 million from $4.6 million for the prior year period. Operating income was $915,000 compared with an operating loss of $413,000 in the same quarter last year. Net income was $1.1 million, or $0.09 per diluted share, compared with net income for the prior year period of $81,000, or $0.01 per diluted share, which included income from discontinued operations of $157,000.</w:t>
      </w:r>
    </w:p>
    <w:p>
      <w:pPr>
        <w:spacing w:after="0" w:line="200" w:lineRule="exact"/>
        <w:rPr>
          <w:sz w:val="20"/>
          <w:szCs w:val="20"/>
          <w:color w:val="auto"/>
        </w:rPr>
      </w:pPr>
    </w:p>
    <w:p>
      <w:pPr>
        <w:spacing w:after="0" w:line="31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“During the second quarter, higher revenues and enhanced gross margins led to a significantly improved bottom line,” said Zee Hakimoglu, president and chief executive officer of ClearOne. “We also successfully completed a tender offer, repurchasing more than one million shares of the company’s common stock, and took an important step to facilitate future growth by moving to a new corporate headquarters that has increased space for product development.”</w:t>
      </w:r>
    </w:p>
    <w:p>
      <w:pPr>
        <w:spacing w:after="0" w:line="200" w:lineRule="exact"/>
        <w:rPr>
          <w:sz w:val="20"/>
          <w:szCs w:val="20"/>
          <w:color w:val="auto"/>
        </w:rPr>
      </w:pPr>
    </w:p>
    <w:p>
      <w:pPr>
        <w:spacing w:after="0" w:line="2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first six months of fiscal 2007, revenue increased to $19.5 million from $17.9 million in the same period of fiscal 2006. Gross profit grew to $10.3 million from $9.4 million for the prior year period. Operating income was $1.2 million compared with operating income of $174,000 in the same period last year. Net income was $1.8 million, or $0.15 per diluted share, compared with net income for the prior year period of $2.1 million, or $0.17 per diluted share, which included income from discontinued operations of $1.2 million.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2006, the company had cash, cash equivalents, and marketable securities of $18.3 million and no long-term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CLEARONE COMMUNICATIONS,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December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60" w:type="dxa"/>
            <w:vAlign w:val="bottom"/>
            <w:gridSpan w:val="2"/>
          </w:tcPr>
          <w:p>
            <w:pPr>
              <w:ind w:left="270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20,550</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Note receivable</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2,607</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Assets of Discontinued Operations</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626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34,888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39,743</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1,647</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receivable - long-term</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spacing w:after="0"/>
              <w:rPr>
                <w:sz w:val="24"/>
                <w:szCs w:val="24"/>
                <w:color w:val="auto"/>
              </w:rPr>
            </w:pPr>
          </w:p>
        </w:tc>
        <w:tc>
          <w:tcPr>
            <w:tcW w:w="6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37,853</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41,405</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60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1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2,597</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2,397</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5,871</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626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10,865</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6260" w:type="dxa"/>
            <w:vAlign w:val="bottom"/>
            <w:gridSpan w:val="2"/>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10,993</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11,072,349 and 12,184,727 shares issued and outstanding, respectively</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52,764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(20,603)</w:t>
            </w:r>
          </w:p>
        </w:tc>
        <w:tc>
          <w:tcPr>
            <w:tcW w:w="1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(22,364)</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44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30,412</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6260" w:type="dxa"/>
            <w:vAlign w:val="bottom"/>
            <w:gridSpan w:val="2"/>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37,853</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41,405</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80" w:type="dxa"/>
            <w:vAlign w:val="bottom"/>
            <w:vMerge w:val="restart"/>
          </w:tcPr>
          <w:p>
            <w:pPr>
              <w:ind w:left="424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144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440" w:type="dxa"/>
            <w:vAlign w:val="bottom"/>
            <w:tcBorders>
              <w:bottom w:val="single" w:sz="8" w:color="808080"/>
            </w:tcBorders>
          </w:tcPr>
          <w:p>
            <w:pPr>
              <w:spacing w:after="0"/>
              <w:rPr>
                <w:sz w:val="8"/>
                <w:szCs w:val="8"/>
                <w:color w:val="auto"/>
              </w:rPr>
            </w:pPr>
          </w:p>
        </w:tc>
        <w:tc>
          <w:tcPr>
            <w:tcW w:w="6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t>CLEARONE COMMUNICATIONS, INC.</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5,247</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10,342</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9,396</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from income taxes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Gain on disposal of discontinued operations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7"/>
              </w:rPr>
              <w:t>Basic earnings per common share from continuing</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Diluted earnings per common share from continuing</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Basic earnings per common share from discontinued</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0"/>
              </w:rPr>
              <w:t>Diluted earnings per common share from discontinued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11,922,641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12,184,727</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12,053,745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11,734,485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Diluted weighted average shares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11,957,706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12,195,466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12,100,794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12,230,035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140"/>
      </w:cols>
      <w:pgMar w:left="1380" w:top="66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2019-12-13T18:13:12Z</dcterms:created>
  <dcterms:modified xsi:type="dcterms:W3CDTF">2019-12-13T18:13:12Z</dcterms:modified>
</cp:coreProperties>
</file>