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52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5239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Narayanan Narasimhan</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5225 WILEY POST WAY,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CLRO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03/11/2016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6"/>
        <w:spacing w:after="0"/>
        <w:rPr>
          <w:sz w:val="20"/>
          <w:szCs w:val="20"/>
          <w:color w:val="auto"/>
        </w:rPr>
      </w:pPr>
      <w:r>
        <w:rPr>
          <w:rFonts w:ascii="Arial" w:cs="Arial" w:eastAsia="Arial" w:hAnsi="Arial"/>
          <w:sz w:val="17"/>
          <w:szCs w:val="17"/>
          <w:color w:val="0000FF"/>
        </w:rPr>
        <w:t>SENIOR VP FINANCE</w:t>
      </w:r>
    </w:p>
    <w:p>
      <w:pPr>
        <w:spacing w:after="0" w:line="334"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20" w:type="dxa"/>
            <w:vAlign w:val="bottom"/>
            <w:gridSpan w:val="8"/>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SALT LAKE</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UT</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84116</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6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4,156</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11.96</w:t>
            </w:r>
          </w:p>
        </w:tc>
        <w:tc>
          <w:tcPr>
            <w:tcW w:w="140" w:type="dxa"/>
            <w:vAlign w:val="bottom"/>
          </w:tcPr>
          <w:p>
            <w:pPr>
              <w:spacing w:after="0"/>
              <w:rPr>
                <w:sz w:val="17"/>
                <w:szCs w:val="17"/>
                <w:color w:val="auto"/>
              </w:rPr>
            </w:pPr>
          </w:p>
        </w:tc>
        <w:tc>
          <w:tcPr>
            <w:tcW w:w="1080" w:type="dxa"/>
            <w:vAlign w:val="bottom"/>
          </w:tcPr>
          <w:p>
            <w:pPr>
              <w:ind w:left="280"/>
              <w:spacing w:after="0"/>
              <w:rPr>
                <w:sz w:val="20"/>
                <w:szCs w:val="20"/>
                <w:color w:val="auto"/>
              </w:rPr>
            </w:pPr>
            <w:r>
              <w:rPr>
                <w:rFonts w:ascii="Arial" w:cs="Arial" w:eastAsia="Arial" w:hAnsi="Arial"/>
                <w:sz w:val="13"/>
                <w:szCs w:val="13"/>
                <w:color w:val="0000FF"/>
              </w:rPr>
              <w:t>03/11/2016</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40"/>
              <w:spacing w:after="0"/>
              <w:rPr>
                <w:sz w:val="20"/>
                <w:szCs w:val="20"/>
                <w:color w:val="auto"/>
              </w:rPr>
            </w:pPr>
            <w:r>
              <w:rPr>
                <w:rFonts w:ascii="Arial" w:cs="Arial" w:eastAsia="Arial" w:hAnsi="Arial"/>
                <w:sz w:val="13"/>
                <w:szCs w:val="13"/>
                <w:color w:val="0000FF"/>
              </w:rPr>
              <w:t>25,000</w:t>
            </w:r>
          </w:p>
        </w:tc>
        <w:tc>
          <w:tcPr>
            <w:tcW w:w="36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03/11/2026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25,000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Securities Beneficially Owned include 1,433 shares acquired pursuant to issuer's employee stock purchase plan on February 3, 2016 in a transaction exempt from Section 16 reporting requirements under Rule 16b-3.</w:t>
      </w:r>
    </w:p>
    <w:p>
      <w:pPr>
        <w:spacing w:after="0" w:line="9"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One-third of the options granted will vest on the first anniversary of the date of grant, which was March 11, 2016. The remaining options vest in equal monthly increments over the subsequent 24-month period.</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1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Narsi Narayanan</w:t>
            </w:r>
          </w:p>
        </w:tc>
        <w:tc>
          <w:tcPr>
            <w:tcW w:w="11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03/15/2016</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68533"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2019-12-23T21:37:18Z</dcterms:created>
  <dcterms:modified xsi:type="dcterms:W3CDTF">2019-12-23T21:37:18Z</dcterms:modified>
</cp:coreProperties>
</file>