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October 26, 2006</w:t>
      </w: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(Exact Name of Registrant as Specified in Its Charter)</w:t>
      </w: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61" w:lineRule="exact"/>
        <w:rPr>
          <w:sz w:val="24"/>
          <w:szCs w:val="24"/>
          <w:color w:val="auto"/>
        </w:rPr>
      </w:pPr>
    </w:p>
    <w:tbl>
      <w:tblPr>
        <w:tblLayout w:type="fixed"/>
        <w:tblInd w:w="2300" w:type="dxa"/>
        <w:tblCellMar>
          <w:top w:w="0" w:type="dxa"/>
          <w:left w:w="0" w:type="dxa"/>
          <w:bottom w:w="0" w:type="dxa"/>
          <w:right w:w="0" w:type="dxa"/>
        </w:tblCellMar>
      </w:tblPr>
      <w:tr>
        <w:trPr>
          <w:trHeight w:val="282"/>
        </w:trPr>
        <w:tc>
          <w:tcPr>
            <w:tcW w:w="340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000-17219</w:t>
            </w:r>
          </w:p>
        </w:tc>
        <w:tc>
          <w:tcPr>
            <w:tcW w:w="3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400" w:type="dxa"/>
            <w:vAlign w:val="bottom"/>
          </w:tcPr>
          <w:p>
            <w:pPr>
              <w:ind w:left="700"/>
              <w:spacing w:after="0" w:line="201" w:lineRule="exact"/>
              <w:rPr>
                <w:sz w:val="20"/>
                <w:szCs w:val="20"/>
                <w:color w:val="auto"/>
              </w:rPr>
            </w:pPr>
            <w:r>
              <w:rPr>
                <w:rFonts w:ascii="Arial" w:cs="Arial" w:eastAsia="Arial" w:hAnsi="Arial"/>
                <w:sz w:val="18"/>
                <w:szCs w:val="18"/>
                <w:color w:val="auto"/>
              </w:rPr>
              <w:t>(Commission File Number)</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80" w:type="dxa"/>
            <w:vAlign w:val="bottom"/>
            <w:gridSpan w:val="3"/>
          </w:tcPr>
          <w:p>
            <w:pPr>
              <w:jc w:val="center"/>
              <w:ind w:right="4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80" w:type="dxa"/>
            <w:vAlign w:val="bottom"/>
            <w:gridSpan w:val="3"/>
          </w:tcPr>
          <w:p>
            <w:pPr>
              <w:jc w:val="center"/>
              <w:ind w:right="430"/>
              <w:spacing w:after="0"/>
              <w:rPr>
                <w:sz w:val="20"/>
                <w:szCs w:val="20"/>
                <w:color w:val="auto"/>
              </w:rPr>
            </w:pPr>
            <w:r>
              <w:rPr>
                <w:rFonts w:ascii="Arial" w:cs="Arial" w:eastAsia="Arial" w:hAnsi="Arial"/>
                <w:sz w:val="18"/>
                <w:szCs w:val="18"/>
                <w:color w:val="auto"/>
                <w:w w:val="94"/>
              </w:rPr>
              <w:t>identification number)</w:t>
            </w:r>
          </w:p>
        </w:tc>
      </w:tr>
      <w:tr>
        <w:trPr>
          <w:trHeight w:val="493"/>
        </w:trPr>
        <w:tc>
          <w:tcPr>
            <w:tcW w:w="4260" w:type="dxa"/>
            <w:vAlign w:val="bottom"/>
            <w:gridSpan w:val="3"/>
          </w:tcPr>
          <w:p>
            <w:pPr>
              <w:ind w:left="900"/>
              <w:spacing w:after="0"/>
              <w:rPr>
                <w:sz w:val="20"/>
                <w:szCs w:val="20"/>
                <w:color w:val="auto"/>
              </w:rPr>
            </w:pPr>
            <w:r>
              <w:rPr>
                <w:rFonts w:ascii="Arial" w:cs="Arial" w:eastAsia="Arial" w:hAnsi="Arial"/>
                <w:sz w:val="18"/>
                <w:szCs w:val="18"/>
                <w:b w:val="1"/>
                <w:bCs w:val="1"/>
                <w:color w:val="auto"/>
                <w:w w:val="96"/>
              </w:rPr>
              <w:t>1825 Research Way, Salt Lake City, Utah</w:t>
            </w:r>
          </w:p>
        </w:tc>
        <w:tc>
          <w:tcPr>
            <w:tcW w:w="25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84119</w:t>
            </w:r>
          </w:p>
        </w:tc>
      </w:tr>
      <w:tr>
        <w:trPr>
          <w:trHeight w:val="230"/>
        </w:trPr>
        <w:tc>
          <w:tcPr>
            <w:tcW w:w="4260" w:type="dxa"/>
            <w:vAlign w:val="bottom"/>
            <w:tcBorders>
              <w:top w:val="single" w:sz="8" w:color="auto"/>
            </w:tcBorders>
            <w:gridSpan w:val="3"/>
          </w:tcPr>
          <w:p>
            <w:pPr>
              <w:ind w:left="1040"/>
              <w:spacing w:after="0"/>
              <w:rPr>
                <w:sz w:val="20"/>
                <w:szCs w:val="20"/>
                <w:color w:val="auto"/>
              </w:rPr>
            </w:pPr>
            <w:r>
              <w:rPr>
                <w:rFonts w:ascii="Arial" w:cs="Arial" w:eastAsia="Arial" w:hAnsi="Arial"/>
                <w:sz w:val="18"/>
                <w:szCs w:val="18"/>
                <w:color w:val="auto"/>
              </w:rPr>
              <w:t>(Address of principal executive offices)</w:t>
            </w:r>
          </w:p>
        </w:tc>
        <w:tc>
          <w:tcPr>
            <w:tcW w:w="6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8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October 26, 2006, ClearOne Communications, Inc. (the “Company”) issued a press release announcing its financial results for the first quarter ended September 30, 2006. The full text of the Company’s press release is furnished herewith as Exhibit 99.1.</w:t>
      </w:r>
    </w:p>
    <w:p>
      <w:pPr>
        <w:spacing w:after="0" w:line="26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10"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6"/>
              </w:rPr>
              <w:t>Exhibit No.</w:t>
            </w:r>
          </w:p>
        </w:tc>
        <w:tc>
          <w:tcPr>
            <w:tcW w:w="8080" w:type="dxa"/>
            <w:vAlign w:val="bottom"/>
            <w:tcBorders>
              <w:bottom w:val="single" w:sz="8" w:color="auto"/>
            </w:tcBorders>
          </w:tcPr>
          <w:p>
            <w:pPr>
              <w:ind w:left="3440"/>
              <w:spacing w:after="0"/>
              <w:rPr>
                <w:sz w:val="20"/>
                <w:szCs w:val="20"/>
                <w:color w:val="auto"/>
              </w:rPr>
            </w:pPr>
            <w:r>
              <w:rPr>
                <w:rFonts w:ascii="Arial" w:cs="Arial" w:eastAsia="Arial" w:hAnsi="Arial"/>
                <w:sz w:val="18"/>
                <w:szCs w:val="18"/>
                <w:color w:val="auto"/>
              </w:rPr>
              <w:t>Title of Document</w:t>
            </w:r>
          </w:p>
        </w:tc>
        <w:tc>
          <w:tcPr>
            <w:tcW w:w="16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Location</w:t>
            </w:r>
          </w:p>
        </w:tc>
      </w:tr>
      <w:tr>
        <w:trPr>
          <w:trHeight w:val="195"/>
        </w:trPr>
        <w:tc>
          <w:tcPr>
            <w:tcW w:w="168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99.1</w:t>
            </w:r>
          </w:p>
        </w:tc>
        <w:tc>
          <w:tcPr>
            <w:tcW w:w="8080" w:type="dxa"/>
            <w:vAlign w:val="bottom"/>
          </w:tcPr>
          <w:p>
            <w:pPr>
              <w:ind w:left="280"/>
              <w:spacing w:after="0" w:line="195" w:lineRule="exact"/>
              <w:rPr>
                <w:sz w:val="20"/>
                <w:szCs w:val="20"/>
                <w:color w:val="auto"/>
              </w:rPr>
            </w:pPr>
            <w:r>
              <w:rPr>
                <w:rFonts w:ascii="Arial" w:cs="Arial" w:eastAsia="Arial" w:hAnsi="Arial"/>
                <w:sz w:val="18"/>
                <w:szCs w:val="18"/>
                <w:color w:val="auto"/>
                <w:w w:val="93"/>
              </w:rPr>
              <w:t>Press Release dated October 26, 2006 captioned “ClearOne Reports Fiscal 2007 First Quarter Financial</w:t>
            </w:r>
          </w:p>
        </w:tc>
        <w:tc>
          <w:tcPr>
            <w:tcW w:w="16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7"/>
              </w:rPr>
              <w:t>This Filing</w:t>
            </w:r>
          </w:p>
        </w:tc>
      </w:tr>
      <w:tr>
        <w:trPr>
          <w:trHeight w:val="230"/>
        </w:trPr>
        <w:tc>
          <w:tcPr>
            <w:tcW w:w="1680" w:type="dxa"/>
            <w:vAlign w:val="bottom"/>
          </w:tcPr>
          <w:p>
            <w:pPr>
              <w:spacing w:after="0"/>
              <w:rPr>
                <w:sz w:val="20"/>
                <w:szCs w:val="20"/>
                <w:color w:val="auto"/>
              </w:rPr>
            </w:pPr>
          </w:p>
        </w:tc>
        <w:tc>
          <w:tcPr>
            <w:tcW w:w="8080" w:type="dxa"/>
            <w:vAlign w:val="bottom"/>
          </w:tcPr>
          <w:p>
            <w:pPr>
              <w:ind w:left="280"/>
              <w:spacing w:after="0"/>
              <w:rPr>
                <w:sz w:val="20"/>
                <w:szCs w:val="20"/>
                <w:color w:val="auto"/>
              </w:rPr>
            </w:pPr>
            <w:r>
              <w:rPr>
                <w:rFonts w:ascii="Arial" w:cs="Arial" w:eastAsia="Arial" w:hAnsi="Arial"/>
                <w:sz w:val="18"/>
                <w:szCs w:val="18"/>
                <w:color w:val="auto"/>
              </w:rPr>
              <w:t>Results.”</w:t>
            </w: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Date: October 26, 2006</w:t>
            </w:r>
          </w:p>
        </w:tc>
        <w:tc>
          <w:tcPr>
            <w:tcW w:w="2080" w:type="dxa"/>
            <w:vAlign w:val="bottom"/>
          </w:tcPr>
          <w:p>
            <w:pPr>
              <w:ind w:left="1320"/>
              <w:spacing w:after="0"/>
              <w:rPr>
                <w:sz w:val="20"/>
                <w:szCs w:val="20"/>
                <w:color w:val="auto"/>
              </w:rPr>
            </w:pPr>
            <w:r>
              <w:rPr>
                <w:rFonts w:ascii="Arial" w:cs="Arial" w:eastAsia="Arial" w:hAnsi="Arial"/>
                <w:sz w:val="18"/>
                <w:szCs w:val="18"/>
                <w:color w:val="auto"/>
              </w:rPr>
              <w:t>By:</w:t>
            </w: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3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30"/>
        </w:trPr>
        <w:tc>
          <w:tcPr>
            <w:tcW w:w="30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729"/>
        </w:trPr>
        <w:tc>
          <w:tcPr>
            <w:tcW w:w="3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340" w:type="dxa"/>
            <w:vAlign w:val="bottom"/>
          </w:tcPr>
          <w:p>
            <w:pPr>
              <w:jc w:val="right"/>
              <w:ind w:right="55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607" w:right="239" w:bottom="1440" w:gutter="0" w:footer="0" w:header="0"/>
        </w:sectPr>
      </w:pPr>
    </w:p>
    <w:bookmarkStart w:id="2" w:name="page3"/>
    <w:bookmarkEnd w:id="2"/>
    <w:p>
      <w:pPr>
        <w:ind w:left="70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Contacts:</w:t>
      </w:r>
    </w:p>
    <w:p>
      <w:pPr>
        <w:spacing w:after="0" w:line="20" w:lineRule="exact"/>
        <w:rPr>
          <w:sz w:val="20"/>
          <w:szCs w:val="20"/>
          <w:color w:val="auto"/>
        </w:rPr>
      </w:pPr>
      <w:r>
        <w:rPr>
          <w:sz w:val="20"/>
          <w:szCs w:val="20"/>
          <w:color w:val="auto"/>
        </w:rPr>
        <w:br w:type="column"/>
      </w:r>
    </w:p>
    <w:p>
      <w:pPr>
        <w:jc w:val="right"/>
        <w:spacing w:after="0" w:line="271" w:lineRule="auto"/>
        <w:rPr>
          <w:sz w:val="20"/>
          <w:szCs w:val="20"/>
          <w:color w:val="auto"/>
        </w:rPr>
      </w:pPr>
      <w:r>
        <w:rPr>
          <w:rFonts w:ascii="Arial" w:cs="Arial" w:eastAsia="Arial" w:hAnsi="Arial"/>
          <w:sz w:val="18"/>
          <w:szCs w:val="18"/>
          <w:color w:val="auto"/>
        </w:rPr>
        <w:t>ClearOne Communications, Inc. Investor Relations (801) 303-3555</w:t>
      </w:r>
    </w:p>
    <w:p>
      <w:pPr>
        <w:spacing w:after="0" w:line="200" w:lineRule="exact"/>
        <w:rPr>
          <w:sz w:val="20"/>
          <w:szCs w:val="20"/>
          <w:color w:val="auto"/>
        </w:rPr>
      </w:pPr>
    </w:p>
    <w:p>
      <w:pPr>
        <w:sectPr>
          <w:pgSz w:w="11900" w:h="16838" w:orient="portrait"/>
          <w:cols w:equalWidth="0" w:num="2">
            <w:col w:w="8380" w:space="720"/>
            <w:col w:w="2320"/>
          </w:cols>
          <w:pgMar w:left="240" w:top="287" w:right="239" w:bottom="1440" w:gutter="0" w:footer="0" w:header="0"/>
        </w:sectPr>
      </w:pP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Robert Jaffe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PondelWilkinson Inc.</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(310) 279-5980</w:t>
      </w:r>
    </w:p>
    <w:p>
      <w:pPr>
        <w:sectPr>
          <w:pgSz w:w="11900" w:h="16838" w:orient="portrait"/>
          <w:cols w:equalWidth="0" w:num="1">
            <w:col w:w="11420"/>
          </w:cols>
          <w:pgMar w:left="240" w:top="287" w:right="239" w:bottom="1440" w:gutter="0" w:footer="0" w:header="0"/>
          <w:type w:val="continuous"/>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REPORTS FISCAL 2007 FIRST QUARTER FINANCIAL RESULTS</w:t>
      </w:r>
    </w:p>
    <w:p>
      <w:pPr>
        <w:spacing w:after="0" w:line="27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Salt Lake City, UT - October 26, 2006 - </w:t>
      </w:r>
      <w:r>
        <w:rPr>
          <w:rFonts w:ascii="Arial" w:cs="Arial" w:eastAsia="Arial" w:hAnsi="Arial"/>
          <w:sz w:val="18"/>
          <w:szCs w:val="18"/>
          <w:color w:val="auto"/>
        </w:rPr>
        <w:t>ClearOne Communications, Inc. (OTC: CLRO.OB) today reported financial results for the first quarter of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2007 ended September 30, 2006.</w:t>
      </w:r>
    </w:p>
    <w:p>
      <w:pPr>
        <w:spacing w:after="0" w:line="22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For the fiscal 2007 first quarter, revenue increased to $9.4 million from $8.8 million in the same quarter of last year. Gross profit grew to $5.1 million from $4.8 million for the prior year period. Operating income was $289,000 compared with $587,000 in the same quarter last year which included a $1.2 million benefit related to the settlement in a shareholders’ class action lawsuit. Net income was $677,000, or $0.06 per diluted share compared with net income for the prior year period of $2.0 million, or $0.16 per diluted share, which included income from discontinued operations of $1.0 million. In August 2006, ClearOne sold its document and educational camera product line, which is now reflected in the company’s financial statements as discontinued operations.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the solid top line and gross margin improvement, we realized a significant reduction in general and administrative costs mainly as result of the termination of the SEC investigation and related professional fees,” said Zee Hakimoglu, president and chief executive officer of ClearOne. “We are focused on positioning ClearOne for continued growth and profitability. Over the last couple of months, we divested our camera product line to focus on our core business, authorized a stock buy-back and added industry savvy professionals to our management team. In addition, our stock began trading on the OTC Bulletin Board moving up from the Pink Sheets after becoming current with our required SEC filings.”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2006, the company had cash, cash equivalents, and marketable securities of $22.3 million and no long-term debt.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4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type w:val="continuous"/>
        </w:sectPr>
      </w:pPr>
    </w:p>
    <w:bookmarkStart w:id="3" w:name="page4"/>
    <w:bookmarkEnd w:id="3"/>
    <w:p>
      <w:pPr>
        <w:jc w:val="center"/>
        <w:ind w:right="80"/>
        <w:spacing w:after="0"/>
        <w:rPr>
          <w:sz w:val="20"/>
          <w:szCs w:val="20"/>
          <w:color w:val="auto"/>
        </w:rPr>
      </w:pPr>
      <w:r>
        <w:rPr>
          <w:rFonts w:ascii="Arial" w:cs="Arial" w:eastAsia="Arial" w:hAnsi="Arial"/>
          <w:sz w:val="18"/>
          <w:szCs w:val="18"/>
          <w:b w:val="1"/>
          <w:bCs w:val="1"/>
          <w:color w:val="auto"/>
        </w:rPr>
        <w:t>CLEARONE COMMUNICATIONS, INC.</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w w:val="97"/>
              </w:rPr>
              <w:t>September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1160" w:type="dxa"/>
            <w:vAlign w:val="bottom"/>
          </w:tcPr>
          <w:p>
            <w:pPr>
              <w:spacing w:after="0"/>
              <w:rPr>
                <w:sz w:val="24"/>
                <w:szCs w:val="24"/>
                <w:color w:val="auto"/>
              </w:rPr>
            </w:pPr>
          </w:p>
        </w:tc>
        <w:tc>
          <w:tcPr>
            <w:tcW w:w="6480" w:type="dxa"/>
            <w:vAlign w:val="bottom"/>
          </w:tcPr>
          <w:p>
            <w:pPr>
              <w:ind w:left="29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20,550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20,550</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2,607</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39,743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 long-term</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4"/>
                <w:szCs w:val="24"/>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40,407</w:t>
            </w: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41,405</w:t>
            </w:r>
          </w:p>
        </w:tc>
        <w:tc>
          <w:tcPr>
            <w:tcW w:w="8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2,397</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10,865</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10,993</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12,185,427 and 11,264,233 shares issued and outstanding, respectively</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52,997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52,764</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(21,687)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(22,364)</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30,412</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40,407</w:t>
            </w:r>
          </w:p>
        </w:tc>
        <w:tc>
          <w:tcPr>
            <w:tcW w:w="10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41,405</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ind w:left="56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7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64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8"/>
          <w:szCs w:val="18"/>
          <w:b w:val="1"/>
          <w:bCs w:val="1"/>
          <w:color w:val="auto"/>
        </w:rPr>
        <w:t>CLEARONE COMMUNICATIONS, INC.</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w w:val="97"/>
              </w:rPr>
              <w:t>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8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inventory write-offs</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cost of goods sold</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(Provision) benefit from income taxes</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disposal of discontinued operations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 from continuing operations</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Diluted earnings per common share from continuing operations</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Basic earnings per common share from discontinued operations</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from discontinued operations</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Basic weighted average shares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12,184,849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11,284,244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12,231,744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12,278,664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45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140"/>
      </w:cols>
      <w:pgMar w:left="1380" w:top="661"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2019-12-12T10:53:32Z</dcterms:created>
  <dcterms:modified xsi:type="dcterms:W3CDTF">2019-12-12T10:53:32Z</dcterms:modified>
</cp:coreProperties>
</file>