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19, 2022 (May 19,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ClearOne,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001-33660</w:t>
            </w: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51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7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5180" w:type="dxa"/>
            <w:vAlign w:val="bottom"/>
            <w:tcBorders>
              <w:top w:val="single" w:sz="8" w:color="auto"/>
            </w:tcBorders>
          </w:tcPr>
          <w:p>
            <w:pPr>
              <w:jc w:val="center"/>
              <w:ind w:left="2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 (801) 975-7200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5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3760" w:type="dxa"/>
            <w:vAlign w:val="bottom"/>
            <w:gridSpan w:val="2"/>
          </w:tcPr>
          <w:p>
            <w:pPr>
              <w:spacing w:after="0"/>
              <w:rPr>
                <w:sz w:val="21"/>
                <w:szCs w:val="21"/>
                <w:color w:val="auto"/>
              </w:rPr>
            </w:pPr>
          </w:p>
        </w:tc>
        <w:tc>
          <w:tcPr>
            <w:tcW w:w="7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 w:type="dxa"/>
            <w:vAlign w:val="bottom"/>
            <w:tcBorders>
              <w:right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 w:type="dxa"/>
            <w:vAlign w:val="bottom"/>
            <w:tcBorders>
              <w:right w:val="single" w:sz="8" w:color="auto"/>
            </w:tcBorders>
          </w:tcPr>
          <w:p>
            <w:pPr>
              <w:spacing w:after="0"/>
              <w:rPr>
                <w:sz w:val="18"/>
                <w:szCs w:val="18"/>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4"/>
        </w:trPr>
        <w:tc>
          <w:tcPr>
            <w:tcW w:w="60" w:type="dxa"/>
            <w:vAlign w:val="bottom"/>
          </w:tcPr>
          <w:p>
            <w:pPr>
              <w:spacing w:after="0"/>
              <w:rPr>
                <w:sz w:val="3"/>
                <w:szCs w:val="3"/>
                <w:color w:val="auto"/>
              </w:rPr>
            </w:pPr>
          </w:p>
        </w:tc>
        <w:tc>
          <w:tcPr>
            <w:tcW w:w="4540" w:type="dxa"/>
            <w:vAlign w:val="bottom"/>
            <w:gridSpan w:val="3"/>
          </w:tcPr>
          <w:p>
            <w:pPr>
              <w:spacing w:after="0"/>
              <w:rPr>
                <w:sz w:val="3"/>
                <w:szCs w:val="3"/>
                <w:color w:val="auto"/>
              </w:rPr>
            </w:pPr>
          </w:p>
        </w:tc>
        <w:tc>
          <w:tcPr>
            <w:tcW w:w="2860" w:type="dxa"/>
            <w:vAlign w:val="bottom"/>
          </w:tcPr>
          <w:p>
            <w:pPr>
              <w:spacing w:after="0"/>
              <w:rPr>
                <w:sz w:val="3"/>
                <w:szCs w:val="3"/>
                <w:color w:val="auto"/>
              </w:rPr>
            </w:pPr>
          </w:p>
        </w:tc>
        <w:tc>
          <w:tcPr>
            <w:tcW w:w="40" w:type="dxa"/>
            <w:vAlign w:val="bottom"/>
          </w:tcPr>
          <w:p>
            <w:pPr>
              <w:spacing w:after="0"/>
              <w:rPr>
                <w:sz w:val="3"/>
                <w:szCs w:val="3"/>
                <w:color w:val="auto"/>
              </w:rPr>
            </w:pPr>
          </w:p>
        </w:tc>
        <w:tc>
          <w:tcPr>
            <w:tcW w:w="3740" w:type="dxa"/>
            <w:vAlign w:val="bottom"/>
          </w:tcPr>
          <w:p>
            <w:pPr>
              <w:spacing w:after="0"/>
              <w:rPr>
                <w:sz w:val="3"/>
                <w:szCs w:val="3"/>
                <w:color w:val="auto"/>
              </w:rPr>
            </w:pPr>
          </w:p>
        </w:tc>
      </w:tr>
      <w:tr>
        <w:trPr>
          <w:trHeight w:val="203"/>
        </w:trPr>
        <w:tc>
          <w:tcPr>
            <w:tcW w:w="60" w:type="dxa"/>
            <w:vAlign w:val="bottom"/>
            <w:tcBorders>
              <w:right w:val="single" w:sz="8" w:color="auto"/>
            </w:tcBorders>
          </w:tcPr>
          <w:p>
            <w:pPr>
              <w:spacing w:after="0"/>
              <w:rPr>
                <w:sz w:val="17"/>
                <w:szCs w:val="17"/>
                <w:color w:val="auto"/>
              </w:rPr>
            </w:pPr>
          </w:p>
        </w:tc>
        <w:tc>
          <w:tcPr>
            <w:tcW w:w="3720" w:type="dxa"/>
            <w:vAlign w:val="bottom"/>
            <w:tcBorders>
              <w:top w:val="single" w:sz="8" w:color="auto"/>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Common Stock, $0.001</w:t>
            </w:r>
          </w:p>
        </w:tc>
        <w:tc>
          <w:tcPr>
            <w:tcW w:w="40" w:type="dxa"/>
            <w:vAlign w:val="bottom"/>
            <w:tcBorders>
              <w:right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860" w:type="dxa"/>
            <w:vAlign w:val="bottom"/>
            <w:tcBorders>
              <w:top w:val="single" w:sz="8" w:color="auto"/>
              <w:bottom w:val="single" w:sz="8" w:color="auto"/>
            </w:tcBorders>
          </w:tcPr>
          <w:p>
            <w:pPr>
              <w:jc w:val="center"/>
              <w:ind w:right="690"/>
              <w:spacing w:after="0" w:line="203" w:lineRule="exact"/>
              <w:rPr>
                <w:sz w:val="20"/>
                <w:szCs w:val="20"/>
                <w:color w:val="auto"/>
              </w:rPr>
            </w:pPr>
            <w:r>
              <w:rPr>
                <w:rFonts w:ascii="Times New Roman" w:cs="Times New Roman" w:eastAsia="Times New Roman" w:hAnsi="Times New Roman"/>
                <w:sz w:val="18"/>
                <w:szCs w:val="18"/>
                <w:color w:val="auto"/>
                <w:w w:val="99"/>
              </w:rPr>
              <w:t>CLRO</w:t>
            </w:r>
          </w:p>
        </w:tc>
        <w:tc>
          <w:tcPr>
            <w:tcW w:w="40" w:type="dxa"/>
            <w:vAlign w:val="bottom"/>
            <w:tcBorders>
              <w:right w:val="single" w:sz="8" w:color="auto"/>
            </w:tcBorders>
          </w:tcPr>
          <w:p>
            <w:pPr>
              <w:spacing w:after="0"/>
              <w:rPr>
                <w:sz w:val="17"/>
                <w:szCs w:val="17"/>
                <w:color w:val="auto"/>
              </w:rPr>
            </w:pPr>
          </w:p>
        </w:tc>
        <w:tc>
          <w:tcPr>
            <w:tcW w:w="3740" w:type="dxa"/>
            <w:vAlign w:val="bottom"/>
            <w:tcBorders>
              <w:top w:val="single" w:sz="8" w:color="auto"/>
              <w:bottom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21" w:lineRule="exact"/>
        <w:rPr>
          <w:sz w:val="24"/>
          <w:szCs w:val="24"/>
          <w:color w:val="auto"/>
        </w:rPr>
      </w:pPr>
    </w:p>
    <w:p>
      <w:pPr>
        <w:ind w:right="52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19, 2022, ClearOne, Inc. (the “Company”) issued a press release announcing its financial results for the three months ended March 31, 2022. The full text of the press release is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of ClearOne, Inc. dated May 19, 2022.</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104.1</w:t>
      </w:r>
      <w:r>
        <w:rPr>
          <w:sz w:val="20"/>
          <w:szCs w:val="20"/>
          <w:color w:val="auto"/>
        </w:rPr>
        <w:tab/>
      </w:r>
      <w:r>
        <w:rPr>
          <w:rFonts w:ascii="Times New Roman" w:cs="Times New Roman" w:eastAsia="Times New Roman" w:hAnsi="Times New Roman"/>
          <w:sz w:val="17"/>
          <w:szCs w:val="17"/>
          <w:color w:val="auto"/>
        </w:rPr>
        <w:t>The cover page from this Current Report on Form 8-K, formatted in Inline XBRL.</w:t>
      </w:r>
    </w:p>
    <w:p>
      <w:pPr>
        <w:spacing w:after="0" w:line="2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2022</w:t>
            </w:r>
          </w:p>
        </w:tc>
        <w:tc>
          <w:tcPr>
            <w:tcW w:w="80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Zeynep Hakimoglu</w:t>
            </w:r>
          </w:p>
        </w:tc>
      </w:tr>
      <w:tr>
        <w:trPr>
          <w:trHeight w:val="218"/>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Zeynep Hakimoglu</w:t>
            </w: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1"/>
        </w:trPr>
        <w:tc>
          <w:tcPr>
            <w:tcW w:w="3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ClearOne, Inc. Reports First Quarter 2022 Financial Results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Quarterly overall Year-over-Year Revenue up by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Sequential quarterly revenue up by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Strong performance from microphone, core audio conferencing, and personal conferencing products drive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SALT LAKE CITY, UTAH – May 19, 2022 – ClearOne Inc. (NASDAQ: CLRO), a global provider of audio and visual communication solutions, reported financial results for the three months ended March 31, 2022.</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are pleased with a strong start to 2022. Notwithstanding the significant challenges posed by the global supply chain crisis that have deeply impacted our industry negatively, ClearOne was able to deliver impressive revenue gains lead by our ground-breaking BMA 360 and BMA-CT based solutions and backed by a strong performance from traditional ceiling microphones and personal audio conferencing products," said Zee Hakimoglu, CEO of ClearOne.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margin continues to be challenged by various factors including the increase in material costs of critical electronic components due to the once-in-a-generation extraordinary global supply chain crisis, as well as burgeoning inflation causing freight, labor, and general cost increases in the production and logistics chain," Hakimoglu added.</w:t>
      </w:r>
    </w:p>
    <w:p>
      <w:pPr>
        <w:spacing w:after="0" w:line="12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committed to realizing the full potential of our business by focusing on factors that are within our control through timely and decisive strategic planning and decision making. This includes driving our global team to meet our 2022 goals to launch a host of new innovative products that we believe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will intercept important new market demands while bringing fresh revenue opportunities to ClearOne, demonstrating the power of our diversified portfolio of products, and aggressively mitigating the impact of inflation and supply chain obstacles. On all fronts, including our litigation against Shure, we look forward to a fruitful year ahead," Hakimoglu concluded.</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29"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In March 2022, the Company filed motions asking the U.S. District Court of Northern Illinois to schedule trial dates for two key cases that ClearOne filed against Shure in that District Court, which together allege patent infringement of three ClearOne patents and misappropriation of ClearOne’s trade secrets. The Court denied that request without prejudice in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-394335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5"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In January 2022, the Company filed a motion asking the U.S. District Court of Delaware to schedule a trial date on ClearOne’s counterclaims of unfair competition and tortious interference with business relations. Shure opposed that motion and asked the Court to stay proceedings on ClearOne’s counterclaims. The Court has yet to decide on these 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-394335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8"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This week, our BMA 360 was awarded the prestigious Best in Market Award at Integrated Systems Europe (ISE), the world’s largest AV and systems integration show. The microphone was one of only three winners in this year’s program presented by leading industry publication Sound &amp; Video Contractor. The 2022 Best in Market Awards is the BMA 360’s sixth industry accolade since its launch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-394335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5"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8"/>
          <w:szCs w:val="18"/>
          <w:color w:val="auto"/>
        </w:rPr>
        <w:t>Also in May, DIALOG® 10, the industry’s only pro-quality single-channel wireless USB microphone system won a 2022 Top New Technology (TNT) Award in the Microphone category. TNT Awards recognize new and outstanding products and services in the commercial and residential AV industry and this program is hosted by industry-leading publications CE Pro and Commercial Integrator. This is the second win for DIALOG® 10 having won a 2022 NSCA Excellence in Product Innovation Award in February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-529590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198" w:lineRule="exact"/>
        <w:rPr>
          <w:sz w:val="20"/>
          <w:szCs w:val="20"/>
          <w:color w:val="auto"/>
        </w:rPr>
      </w:pPr>
    </w:p>
    <w:p>
      <w:pPr>
        <w:ind w:left="540"/>
        <w:spacing w:after="0" w:line="278" w:lineRule="auto"/>
        <w:rPr>
          <w:sz w:val="20"/>
          <w:szCs w:val="20"/>
          <w:color w:val="auto"/>
        </w:rPr>
      </w:pPr>
      <w:r>
        <w:rPr>
          <w:rFonts w:ascii="Times New Roman" w:cs="Times New Roman" w:eastAsia="Times New Roman" w:hAnsi="Times New Roman"/>
          <w:sz w:val="18"/>
          <w:szCs w:val="18"/>
          <w:color w:val="auto"/>
        </w:rPr>
        <w:t>Revenue in 2022-Q1 was $7.5 million, compared to $7.0 million in 2021-Q1 and $7.2 million in 2021-Q4. The increase in year-over-year revenue was mainly due to a 23% increase in microphones and a 13% increase in audio conferencing products which were partially offset by a 22% decrease in video products. Increase in revenue from microphones and core audio conferencing products continued to be driven by our new solutions incorporating our beamforming BMA-CT and BMA 360 array ceiling tiles and professional audio mixers. Despite this year-over-year revenue growth in microphones and core audio conferencing products, revenue from our audio conferencing products and microphones remain far below levels achieved prior to infringement of our strategic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-862330</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4" w:lineRule="exact"/>
        <w:rPr>
          <w:sz w:val="20"/>
          <w:szCs w:val="20"/>
          <w:color w:val="auto"/>
        </w:rPr>
      </w:pPr>
    </w:p>
    <w:p>
      <w:pPr>
        <w:ind w:left="540" w:right="120"/>
        <w:spacing w:after="0" w:line="281" w:lineRule="auto"/>
        <w:rPr>
          <w:sz w:val="20"/>
          <w:szCs w:val="20"/>
          <w:color w:val="auto"/>
        </w:rPr>
      </w:pPr>
      <w:r>
        <w:rPr>
          <w:rFonts w:ascii="Times New Roman" w:cs="Times New Roman" w:eastAsia="Times New Roman" w:hAnsi="Times New Roman"/>
          <w:sz w:val="18"/>
          <w:szCs w:val="18"/>
          <w:color w:val="auto"/>
        </w:rPr>
        <w:t>GAAP gross profit in 2022-Q1 was $2.8 million compared to $3.0 million in 2021-Q1 and $2.6 million in 2021-Q4. GAAP gross profit margin was 37.3% in 2022-Q1, compared to 42.7% in 2021-Q1 and 36.6% in 2021-Q4. The gross profit margin was negatively impacted due to increase in material costs due to continuing supply chain constraints, and increased freight and tariff costs, which were partially offset by the absence of inventory obsolescence costs in 2022-Q1.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-564515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1" w:lineRule="exact"/>
        <w:rPr>
          <w:sz w:val="20"/>
          <w:szCs w:val="20"/>
          <w:color w:val="auto"/>
        </w:rPr>
      </w:pPr>
    </w:p>
    <w:p>
      <w:pPr>
        <w:ind w:left="540" w:right="540"/>
        <w:spacing w:after="0" w:line="297" w:lineRule="auto"/>
        <w:rPr>
          <w:sz w:val="20"/>
          <w:szCs w:val="20"/>
          <w:color w:val="auto"/>
        </w:rPr>
      </w:pPr>
      <w:r>
        <w:rPr>
          <w:rFonts w:ascii="Times New Roman" w:cs="Times New Roman" w:eastAsia="Times New Roman" w:hAnsi="Times New Roman"/>
          <w:sz w:val="18"/>
          <w:szCs w:val="18"/>
          <w:color w:val="auto"/>
        </w:rPr>
        <w:t>Operating expenses in 2022-Q1 were $4.7 million, compared to $4.5 million in 2021-Q1 and $5.1 million in 2021-Q4. Non-GAAP operating expenses in 2022-Q1 were $4.0 million, compared to $4.0 million in 2021-Q1 and $4.4 million in 2021-Q4.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-274320</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5" w:lineRule="exact"/>
        <w:rPr>
          <w:sz w:val="20"/>
          <w:szCs w:val="20"/>
          <w:color w:val="auto"/>
        </w:rPr>
      </w:pPr>
    </w:p>
    <w:p>
      <w:pPr>
        <w:ind w:left="540" w:right="20"/>
        <w:spacing w:after="0" w:line="273" w:lineRule="auto"/>
        <w:rPr>
          <w:sz w:val="20"/>
          <w:szCs w:val="20"/>
          <w:color w:val="auto"/>
        </w:rPr>
      </w:pPr>
      <w:r>
        <w:rPr>
          <w:rFonts w:ascii="Times New Roman" w:cs="Times New Roman" w:eastAsia="Times New Roman" w:hAnsi="Times New Roman"/>
          <w:sz w:val="18"/>
          <w:szCs w:val="18"/>
          <w:color w:val="auto"/>
        </w:rPr>
        <w:t>GAAP net loss in 2022-Q1 was $2.0 million, or $0.08 per share, compared to net loss of $1.7 million, or $0.09 per share, in 2021-Q1 and net loss of $2.3 million, or $0.10 per share, in 2021-Q4. Non-GAAP net loss in 2022-Q1 was $1.3 million, or $0.05 per share, compared to net loss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-248285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97" w:lineRule="auto"/>
        <w:rPr>
          <w:sz w:val="20"/>
          <w:szCs w:val="20"/>
          <w:color w:val="auto"/>
        </w:rPr>
      </w:pPr>
      <w:r>
        <w:rPr>
          <w:rFonts w:ascii="Times New Roman" w:cs="Times New Roman" w:eastAsia="Times New Roman" w:hAnsi="Times New Roman"/>
          <w:sz w:val="18"/>
          <w:szCs w:val="18"/>
          <w:color w:val="auto"/>
        </w:rPr>
        <w:t>$1.1 million, or $0.06 per share, in 2021-Q1 and net loss of $1.6 million, or $0.07 per share, in 2021-Q4. The year-over-year increase in Non-GAAP was primarily due to reduced gross profit caused by higher cost of goods sold as a percentage of revenue.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in 000, except per share)</w:t>
            </w:r>
          </w:p>
        </w:tc>
        <w:tc>
          <w:tcPr>
            <w:tcW w:w="2120" w:type="dxa"/>
            <w:vAlign w:val="bottom"/>
          </w:tcPr>
          <w:p>
            <w:pPr>
              <w:spacing w:after="0"/>
              <w:rPr>
                <w:sz w:val="18"/>
                <w:szCs w:val="18"/>
                <w:color w:val="auto"/>
              </w:rPr>
            </w:pPr>
          </w:p>
        </w:tc>
        <w:tc>
          <w:tcPr>
            <w:tcW w:w="4560" w:type="dxa"/>
            <w:vAlign w:val="bottom"/>
            <w:gridSpan w:val="5"/>
          </w:tcPr>
          <w:p>
            <w:pPr>
              <w:jc w:val="right"/>
              <w:ind w:right="13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86"/>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 in %</w:t>
            </w:r>
          </w:p>
        </w:tc>
        <w:tc>
          <w:tcPr>
            <w:tcW w:w="200" w:type="dxa"/>
            <w:vAlign w:val="bottom"/>
          </w:tcPr>
          <w:p>
            <w:pPr>
              <w:spacing w:after="0"/>
              <w:rPr>
                <w:sz w:val="16"/>
                <w:szCs w:val="16"/>
                <w:color w:val="auto"/>
              </w:rPr>
            </w:pPr>
          </w:p>
        </w:tc>
      </w:tr>
      <w:tr>
        <w:trPr>
          <w:trHeight w:val="215"/>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Favorable/(Adverse)</w:t>
            </w:r>
          </w:p>
        </w:tc>
      </w:tr>
      <w:tr>
        <w:trPr>
          <w:trHeight w:val="213"/>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6"/>
              </w:rPr>
              <w:t>GAAP</w:t>
            </w:r>
          </w:p>
        </w:tc>
        <w:tc>
          <w:tcPr>
            <w:tcW w:w="4060" w:type="dxa"/>
            <w:vAlign w:val="bottom"/>
            <w:tcBorders>
              <w:bottom w:val="single" w:sz="8" w:color="CCEEFF"/>
            </w:tcBorders>
            <w:gridSpan w:val="2"/>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7,545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7,038</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2,816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3,003</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2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4,669</w:t>
            </w:r>
          </w:p>
        </w:tc>
        <w:tc>
          <w:tcPr>
            <w:tcW w:w="4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4,527</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(1,524)</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400" w:type="dxa"/>
            <w:vAlign w:val="bottom"/>
          </w:tcPr>
          <w:p>
            <w:pPr>
              <w:spacing w:after="0"/>
              <w:rPr>
                <w:sz w:val="19"/>
                <w:szCs w:val="19"/>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(1,655)</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(0.09)</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r>
      <w:tr>
        <w:trPr>
          <w:trHeight w:val="189"/>
        </w:trPr>
        <w:tc>
          <w:tcPr>
            <w:tcW w:w="4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Non-GAAP</w:t>
            </w:r>
          </w:p>
        </w:tc>
        <w:tc>
          <w:tcPr>
            <w:tcW w:w="2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2,818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3,006</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12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3,966</w:t>
            </w:r>
          </w:p>
        </w:tc>
        <w:tc>
          <w:tcPr>
            <w:tcW w:w="4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3,988</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2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(982)</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400" w:type="dxa"/>
            <w:vAlign w:val="bottom"/>
          </w:tcPr>
          <w:p>
            <w:pPr>
              <w:spacing w:after="0"/>
              <w:rPr>
                <w:sz w:val="19"/>
                <w:szCs w:val="19"/>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(1,113)</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2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(886)</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4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loss per share (diluted)</w:t>
            </w:r>
          </w:p>
        </w:tc>
        <w:tc>
          <w:tcPr>
            <w:tcW w:w="2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(0.06)</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14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of March 31, 2022, cash, cash equivalents and investments were $2.4 million, compared to $4.1 million as of December 31, 2021. As of March 31, 2022, the Company carried a debt of $3.0 million on account of senior convertible notes issued in December 2020 and a Paycheck Protection Program</w:t>
      </w:r>
    </w:p>
    <w:p>
      <w:pPr>
        <w:jc w:val="right"/>
        <w:ind w:left="5580" w:right="5580" w:hanging="5572"/>
        <w:spacing w:after="0" w:line="414" w:lineRule="auto"/>
        <w:tabs>
          <w:tab w:leader="none" w:pos="47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obtained in April 2020. The PPP Loan was forgiven in April 2022.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14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4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2021 (the “10-K”), the footnotes thereto and the limitations set forth therein. Investors may not rely on the press release without reference to the 10-Q, the 10-K and the Public Filings.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2"/>
        </w:trPr>
        <w:tc>
          <w:tcPr>
            <w:tcW w:w="8060" w:type="dxa"/>
            <w:vAlign w:val="bottom"/>
            <w:tcBorders>
              <w:top w:val="single" w:sz="8" w:color="CCEEFF"/>
            </w:tcBorders>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1,422</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 of allowance for doubtful accounts of $326 and $326, respectively</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5,077</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9,865</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7,540</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3,370</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inventories, net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3,210</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24,675</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4,596</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62,754</w:t>
            </w:r>
          </w:p>
        </w:tc>
        <w:tc>
          <w:tcPr>
            <w:tcW w:w="2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19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4,125</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2,826</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1,336</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23,948,587 and 22,410,126 shares issued</w:t>
            </w:r>
          </w:p>
        </w:tc>
        <w:tc>
          <w:tcPr>
            <w:tcW w:w="140" w:type="dxa"/>
            <w:vAlign w:val="bottom"/>
          </w:tcPr>
          <w:p>
            <w:pPr>
              <w:spacing w:after="0"/>
              <w:rPr>
                <w:sz w:val="17"/>
                <w:szCs w:val="17"/>
                <w:color w:val="auto"/>
              </w:rPr>
            </w:pPr>
          </w:p>
        </w:tc>
        <w:tc>
          <w:tcPr>
            <w:tcW w:w="150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spacing w:after="0"/>
              <w:rPr>
                <w:sz w:val="17"/>
                <w:szCs w:val="17"/>
                <w:color w:val="auto"/>
              </w:rPr>
            </w:pPr>
          </w:p>
        </w:tc>
        <w:tc>
          <w:tcPr>
            <w:tcW w:w="10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74,831</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72,795</w:t>
            </w:r>
          </w:p>
        </w:tc>
        <w:tc>
          <w:tcPr>
            <w:tcW w:w="0" w:type="dxa"/>
            <w:vAlign w:val="bottom"/>
          </w:tcPr>
          <w:p>
            <w:pPr>
              <w:spacing w:after="0"/>
              <w:rPr>
                <w:sz w:val="1"/>
                <w:szCs w:val="1"/>
                <w:color w:val="auto"/>
              </w:rPr>
            </w:pPr>
          </w:p>
        </w:tc>
      </w:tr>
      <w:tr>
        <w:trPr>
          <w:trHeight w:val="23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(23,039)</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(21,072)</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51,536</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62,754</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4,035</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23,897,305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18,775,773</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23,897,305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18,775,773</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3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3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7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2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28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2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20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11"/>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100" w:type="dxa"/>
            <w:vAlign w:val="bottom"/>
            <w:shd w:val="clear" w:color="auto" w:fill="CCEEFF"/>
          </w:tcPr>
          <w:p>
            <w:pPr>
              <w:spacing w:after="0"/>
              <w:rPr>
                <w:sz w:val="18"/>
                <w:szCs w:val="18"/>
                <w:color w:val="auto"/>
              </w:rPr>
            </w:pPr>
          </w:p>
        </w:tc>
      </w:tr>
      <w:tr>
        <w:trPr>
          <w:trHeight w:val="223"/>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8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8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operating loss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(1,853</w:t>
            </w: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r>
      <w:tr>
        <w:trPr>
          <w:trHeight w:val="227"/>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r>
      <w:tr>
        <w:trPr>
          <w:trHeight w:val="232"/>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511</w:t>
            </w:r>
          </w:p>
        </w:tc>
      </w:tr>
      <w:tr>
        <w:trPr>
          <w:trHeight w:val="19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Non-GAAP operating loss</w:t>
            </w: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(1,967</w:t>
            </w:r>
            <w:r>
              <w:rPr>
                <w:rFonts w:ascii="Times New Roman" w:cs="Times New Roman" w:eastAsia="Times New Roman" w:hAnsi="Times New Roman"/>
                <w:sz w:val="17"/>
                <w:szCs w:val="17"/>
                <w:color w:val="auto"/>
              </w:rPr>
              <w:t>)</w:t>
            </w: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(1,655)</w:t>
            </w:r>
          </w:p>
        </w:tc>
      </w:tr>
      <w:tr>
        <w:trPr>
          <w:trHeight w:val="230"/>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r>
      <w:tr>
        <w:trPr>
          <w:trHeight w:val="227"/>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511</w:t>
            </w:r>
          </w:p>
        </w:tc>
      </w:tr>
      <w:tr>
        <w:trPr>
          <w:trHeight w:val="199"/>
        </w:trPr>
        <w:tc>
          <w:tcPr>
            <w:tcW w:w="8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net loss</w:t>
            </w: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8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(1,967</w:t>
            </w: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w:t>
            </w:r>
          </w:p>
        </w:tc>
      </w:tr>
      <w:tr>
        <w:trPr>
          <w:trHeight w:val="213"/>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Number of shares used in computing GAAP loss per share (diluted)</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23,897,305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18,775,773</w:t>
            </w:r>
          </w:p>
        </w:tc>
      </w:tr>
      <w:tr>
        <w:trPr>
          <w:trHeight w:val="232"/>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loss per share (diluted)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(0.08</w:t>
            </w: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29"/>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net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(1,262</w:t>
            </w:r>
            <w:r>
              <w:rPr>
                <w:rFonts w:ascii="Times New Roman" w:cs="Times New Roman" w:eastAsia="Times New Roman" w:hAnsi="Times New Roman"/>
                <w:sz w:val="17"/>
                <w:szCs w:val="17"/>
                <w:color w:val="auto"/>
              </w:rPr>
              <w:t>)</w:t>
            </w: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29"/>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Number of shares used in computing Non-GAAP loss per share (diluted)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23,897,305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18,775,773</w:t>
            </w:r>
          </w:p>
        </w:tc>
      </w:tr>
      <w:tr>
        <w:trPr>
          <w:trHeight w:val="230"/>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Non-GAAP loss per share (diluted)</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(0.05</w:t>
            </w:r>
            <w:r>
              <w:rPr>
                <w:rFonts w:ascii="Times New Roman" w:cs="Times New Roman" w:eastAsia="Times New Roman" w:hAnsi="Times New Roman"/>
                <w:sz w:val="17"/>
                <w:szCs w:val="17"/>
                <w:color w:val="auto"/>
              </w:rPr>
              <w:t>)</w:t>
            </w: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29"/>
        </w:trPr>
        <w:tc>
          <w:tcPr>
            <w:tcW w:w="8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(1,967</w:t>
            </w:r>
            <w:r>
              <w:rPr>
                <w:rFonts w:ascii="Times New Roman" w:cs="Times New Roman" w:eastAsia="Times New Roman" w:hAnsi="Times New Roman"/>
                <w:sz w:val="17"/>
                <w:szCs w:val="17"/>
                <w:color w:val="auto"/>
              </w:rPr>
              <w:t>)</w:t>
            </w: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(1,655)</w:t>
            </w:r>
          </w:p>
        </w:tc>
      </w:tr>
      <w:tr>
        <w:trPr>
          <w:trHeight w:val="230"/>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r>
      <w:tr>
        <w:trPr>
          <w:trHeight w:val="227"/>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r>
      <w:tr>
        <w:trPr>
          <w:trHeight w:val="232"/>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511</w:t>
            </w:r>
          </w:p>
        </w:tc>
      </w:tr>
      <w:tr>
        <w:trPr>
          <w:trHeight w:val="213"/>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w:t>
            </w:r>
          </w:p>
        </w:tc>
      </w:tr>
      <w:tr>
        <w:trPr>
          <w:trHeight w:val="232"/>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 Griffin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801-975-7200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6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2022-05-19T16:54:45Z</dcterms:created>
  <dcterms:modified xsi:type="dcterms:W3CDTF">2022-05-19T16:54:45Z</dcterms:modified>
</cp:coreProperties>
</file>