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16, 2019 (April 16,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2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of Incorporation)</w:t>
            </w: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5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8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2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16, ClearOne, Inc. (the “Company”) issued a press release announcing its financial results for the three and twelve months months ended December 31, 2018.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ClearOne, Inc. dated April 16, 2019.</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81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2019</w:t>
            </w:r>
          </w:p>
        </w:tc>
        <w:tc>
          <w:tcPr>
            <w:tcW w:w="81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191"/>
        </w:trPr>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28651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651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ClearOne Reports Fourth Quarter 2019 Financial Results</w:t>
      </w:r>
    </w:p>
    <w:p>
      <w:pPr>
        <w:spacing w:after="0" w:line="2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Q4 Video revenue up year-over-year by 8% and sequentially by 45%</w:t>
      </w:r>
    </w:p>
    <w:p>
      <w:pPr>
        <w:spacing w:after="0" w:line="36"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Overall Revenue in Q4 sequentially up by 8%</w:t>
      </w:r>
    </w:p>
    <w:p>
      <w:pPr>
        <w:spacing w:after="0" w:line="36"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Overall Revenue continued to be impacted by infringement of ClearOne’s strategic patents</w:t>
      </w:r>
    </w:p>
    <w:p>
      <w:pPr>
        <w:spacing w:after="0" w:line="36"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Under absorption of overhead costs continued to reduce gross margin</w:t>
      </w:r>
    </w:p>
    <w:p>
      <w:pPr>
        <w:spacing w:after="0" w:line="36"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Non-GAAP Operating expenses declined by 16% year-over-year</w:t>
      </w:r>
    </w:p>
    <w:p>
      <w:pPr>
        <w:spacing w:after="0" w:line="36"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Balance Sheet strengthened through an oversubscribed rights offering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SALT LAKE CITY, April 16, 2019 (GLOBE NEWSWIRE) -- ClearOne (NASDAQ: CLRO), a global provider of audio and visual communication solutions, reported financial results for the three months and twelve months ended December 31, 2018.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made modest progress on the revenue front with revenue growing sequentially in Q4 and video products growing year over year and also sequentially,” said Zee Hakimoglu, CEO and Chair of ClearOne. “Since ClearOne’s beginning, we have invested heavily in innovation to provide an unequaled user experience. Our patents and trade secrets help protect that investment, and we must take </w:t>
      </w:r>
      <w:r>
        <w:rPr>
          <w:rFonts w:ascii="Times New Roman" w:cs="Times New Roman" w:eastAsia="Times New Roman" w:hAnsi="Times New Roman"/>
          <w:sz w:val="18"/>
          <w:szCs w:val="18"/>
          <w:u w:val="single" w:color="auto"/>
          <w:color w:val="auto"/>
        </w:rPr>
        <w:t>strong legal action</w:t>
      </w:r>
      <w:r>
        <w:rPr>
          <w:rFonts w:ascii="Times New Roman" w:cs="Times New Roman" w:eastAsia="Times New Roman" w:hAnsi="Times New Roman"/>
          <w:sz w:val="18"/>
          <w:szCs w:val="18"/>
          <w:color w:val="auto"/>
        </w:rPr>
        <w:t xml:space="preserve"> when others fail to respect them. We believe that our </w:t>
      </w:r>
      <w:r>
        <w:rPr>
          <w:rFonts w:ascii="Times New Roman" w:cs="Times New Roman" w:eastAsia="Times New Roman" w:hAnsi="Times New Roman"/>
          <w:sz w:val="18"/>
          <w:szCs w:val="18"/>
          <w:u w:val="single" w:color="auto"/>
          <w:color w:val="auto"/>
        </w:rPr>
        <w:t>recent strategic victory</w:t>
      </w:r>
      <w:r>
        <w:rPr>
          <w:rFonts w:ascii="Times New Roman" w:cs="Times New Roman" w:eastAsia="Times New Roman" w:hAnsi="Times New Roman"/>
          <w:sz w:val="18"/>
          <w:szCs w:val="18"/>
          <w:color w:val="auto"/>
        </w:rPr>
        <w:t xml:space="preserve"> in the PTAB proceedings against Shure with respect to our foundational ‘553 patent vindicates our legal strategy. We are encouraged by the results of the various legal proceedings regarding our patents to date, and we will continue to vigorously enforce our intellectual property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2018 revenue was $7.2 million, compared to $9.3 million in Q4 2017 and $6.7 million in Q3 2018. The year-over-year decrease reflects an impact of the on-going harm of infringement of ClearOne’s patents resulting in slower adoption of our latest generation professional audio-conferencing platform. The patent infringement has also negatively impacted revenue from ClearOne’s other products. Sequential increase in revenue was due to better performance of video products.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Q4 2018 was $3.0 million compared to $4.8 million in Q4 2017 and $3.0 million in Q3 2018. GAAP gross profit margin was 42% in Q4 2018, compared to 51% in Q4 2017 and 45% in Q3 2018. The gross profit margin decrease was primarily due to a decline in professional audio licensing revenues and due to reduced overhead absorption into inventory. The proportion of overhead costs absorbed into inventory has declined due to a sharp decline in our inventory purchasing activity causing increased amounts of overhead costs to be expensed.</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Q4 2018 were $5.6 million, compared to $5.8 million in Q4 2017 and $5.3 million in Q3 2018. The majority of the decrease in operating expenses over Q4 2017 is attributable to decreases in employee related costs, bad debts, legal expenses, advertising expenses, commissions to independent reps, amortization of demonstration equipment costs and R&amp;D project costs, partially offset by increases in amortization of intangible assets, consultant fees and health care benefits. Non-GAAP operating expenses in Q4 2018 were $5.1 million, compared to $6.1 million in Q4 2017 and $4.9 million in Q3 2018. The sequential increase in GAAP and non-GAAP operating expenses was mainly due to higher costs related to health care benefits provided to employees.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Q4 2018 was $2.5 million, or $0.23 per share, compared to net loss of $3.6 million, or $0.43 per share, in Q4 2017 and net loss of $10.1 million, or $1.22 per share, in Q3 2018. Net loss in Q4 2018 was largely caused by operating losses on account of reduction in revenue and associated gross profit. Net loss in Q4 2018 was lesser than net loss in Q4 2017 largely due to the absence of a true-up of provision of $2.6 million for income taxes in Q4 2017. Net loss in Q3 2018 was largely caused by the non-cash write-off of deferred tax assets amounting to $7.8 million and reduction in revenue and associated gross profit. Non-GAAP net loss was $2.0 million, or $0.18 per share, in Q4 2018, compared to non-GAAP net loss of $2.3 million in Q4 2017 and non-GAAP net loss was $9.6 million, or $1.15 per share, in Q3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620" w:type="dxa"/>
            <w:vAlign w:val="bottom"/>
          </w:tcPr>
          <w:p>
            <w:pPr>
              <w:spacing w:after="0"/>
              <w:rPr>
                <w:sz w:val="18"/>
                <w:szCs w:val="18"/>
                <w:color w:val="auto"/>
              </w:rPr>
            </w:pPr>
          </w:p>
        </w:tc>
        <w:tc>
          <w:tcPr>
            <w:tcW w:w="3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c>
          <w:tcPr>
            <w:tcW w:w="13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GAAP</w:t>
            </w:r>
          </w:p>
        </w:tc>
        <w:tc>
          <w:tcPr>
            <w:tcW w:w="242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9,255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41,804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4,753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13,371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24,009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32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(16,193)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(14,172)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Non-GAAP</w:t>
            </w:r>
          </w:p>
        </w:tc>
        <w:tc>
          <w:tcPr>
            <w:tcW w:w="2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4,759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13,385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24,036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2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32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(1,490)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571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34"/>
        </w:trPr>
        <w:tc>
          <w:tcPr>
            <w:tcW w:w="2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 cash, cash equivalents and investments were $15.9 million, as compared with $18.6 million at December 31, 2017.</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4, 2018, the Company closed a subscription rights offering (the “Rights Offering”) in which the Company raised $10.0 million in gross proceeds. In the Rights Offering, the Company issued one subscription right to each of Company’s shareholders for each share of Company’s common stock that they held. Each subscription right entitled the shareholder to purchase one share of Company’s common stock at a purchase price of $1.20 per share. At the closing, the Company sold 8,306,535 shares of the Company’s common stock and returned subscriptions for 754,868 shares that were oversubscribed after allocating oversubscribed shares on a pro-rata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continued to have no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$631 and $472, respectively</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Distributor channel inventories</w:t>
            </w: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16,630,597 and 8,319,022 shares issued and</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earnings/(accumulated deficit)</w:t>
            </w: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14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28,156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proceeds, net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(2,603)</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(2,601)</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(16,687)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10,834,801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8,384,938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8,942,629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10,834,801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8,384,938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8,942,629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(2,536)</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13,371</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13,385</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(10,327)</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proceeds,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expenses unrelated to regular operations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(16,687)</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proceeds,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expenses unrelated to regular operations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(14,846)</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(16,687)</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loss per share (diluted)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10,834,801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8,384,938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8,942,629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loss per share (diluted)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(14,846)</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loss per share (diluted)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10,834,801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8,384,938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8,942,629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loss per share (diluted)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(16,687)</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proceeds,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 unrelated to regular operations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(7,909)</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2019-12-28T13:45:26Z</dcterms:created>
  <dcterms:modified xsi:type="dcterms:W3CDTF">2019-12-28T13:45:26Z</dcterms:modified>
</cp:coreProperties>
</file>