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860" w:right="1760" w:hanging="852"/>
        <w:spacing w:after="0" w:line="282"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2017</w:t>
      </w:r>
    </w:p>
    <w:p>
      <w:pPr>
        <w:spacing w:after="0" w:line="162" w:lineRule="exact"/>
        <w:rPr>
          <w:sz w:val="24"/>
          <w:szCs w:val="24"/>
          <w:color w:val="auto"/>
        </w:rPr>
      </w:pPr>
    </w:p>
    <w:p>
      <w:pPr>
        <w:ind w:left="860" w:right="1400" w:hanging="852"/>
        <w:spacing w:after="0" w:line="282" w:lineRule="auto"/>
        <w:tabs>
          <w:tab w:leader="none" w:pos="159"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 to _________</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001-33660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14605</wp:posOffset>
            </wp:positionV>
            <wp:extent cx="1500505"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0505" cy="3257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CLEARONE,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3480" w:type="dxa"/>
            <w:vAlign w:val="bottom"/>
            <w:gridSpan w:val="2"/>
          </w:tcPr>
          <w:p>
            <w:pPr>
              <w:jc w:val="center"/>
              <w:ind w:right="2050"/>
              <w:spacing w:after="0"/>
              <w:rPr>
                <w:sz w:val="20"/>
                <w:szCs w:val="20"/>
                <w:color w:val="auto"/>
              </w:rPr>
            </w:pPr>
            <w:r>
              <w:rPr>
                <w:rFonts w:ascii="Arial" w:cs="Arial" w:eastAsia="Arial" w:hAnsi="Arial"/>
                <w:sz w:val="18"/>
                <w:szCs w:val="18"/>
                <w:b w:val="1"/>
                <w:bCs w:val="1"/>
                <w:color w:val="auto"/>
                <w:w w:val="94"/>
              </w:rPr>
              <w:t>Utah</w:t>
            </w:r>
          </w:p>
        </w:tc>
        <w:tc>
          <w:tcPr>
            <w:tcW w:w="4720" w:type="dxa"/>
            <w:vAlign w:val="bottom"/>
            <w:gridSpan w:val="3"/>
          </w:tcPr>
          <w:p>
            <w:pPr>
              <w:jc w:val="right"/>
              <w:ind w:right="1170"/>
              <w:spacing w:after="0"/>
              <w:rPr>
                <w:sz w:val="20"/>
                <w:szCs w:val="20"/>
                <w:color w:val="auto"/>
              </w:rPr>
            </w:pPr>
            <w:r>
              <w:rPr>
                <w:rFonts w:ascii="Arial" w:cs="Arial" w:eastAsia="Arial" w:hAnsi="Arial"/>
                <w:sz w:val="18"/>
                <w:szCs w:val="18"/>
                <w:b w:val="1"/>
                <w:bCs w:val="1"/>
                <w:color w:val="auto"/>
              </w:rPr>
              <w:t>87-0398877</w:t>
            </w:r>
          </w:p>
        </w:tc>
        <w:tc>
          <w:tcPr>
            <w:tcW w:w="1100" w:type="dxa"/>
            <w:vAlign w:val="bottom"/>
          </w:tcPr>
          <w:p>
            <w:pPr>
              <w:spacing w:after="0"/>
              <w:rPr>
                <w:sz w:val="20"/>
                <w:szCs w:val="20"/>
                <w:color w:val="auto"/>
              </w:rPr>
            </w:pPr>
          </w:p>
        </w:tc>
      </w:tr>
      <w:tr>
        <w:trPr>
          <w:trHeight w:val="195"/>
        </w:trPr>
        <w:tc>
          <w:tcPr>
            <w:tcW w:w="560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4480" w:type="dxa"/>
            <w:vAlign w:val="bottom"/>
            <w:tcBorders>
              <w:top w:val="single" w:sz="8" w:color="auto"/>
            </w:tcBorders>
            <w:gridSpan w:val="2"/>
          </w:tcPr>
          <w:p>
            <w:pPr>
              <w:jc w:val="center"/>
              <w:ind w:right="1120"/>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5600" w:type="dxa"/>
            <w:vAlign w:val="bottom"/>
            <w:gridSpan w:val="3"/>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80" w:type="dxa"/>
            <w:vAlign w:val="bottom"/>
            <w:gridSpan w:val="2"/>
          </w:tcPr>
          <w:p>
            <w:pPr>
              <w:jc w:val="center"/>
              <w:ind w:right="1100"/>
              <w:spacing w:after="0"/>
              <w:rPr>
                <w:sz w:val="20"/>
                <w:szCs w:val="20"/>
                <w:color w:val="auto"/>
              </w:rPr>
            </w:pPr>
            <w:r>
              <w:rPr>
                <w:rFonts w:ascii="Arial" w:cs="Arial" w:eastAsia="Arial" w:hAnsi="Arial"/>
                <w:sz w:val="18"/>
                <w:szCs w:val="18"/>
                <w:color w:val="auto"/>
                <w:w w:val="94"/>
              </w:rPr>
              <w:t>identification number)</w:t>
            </w:r>
          </w:p>
        </w:tc>
      </w:tr>
      <w:tr>
        <w:trPr>
          <w:trHeight w:val="432"/>
        </w:trPr>
        <w:tc>
          <w:tcPr>
            <w:tcW w:w="5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4720" w:type="dxa"/>
            <w:vAlign w:val="bottom"/>
            <w:gridSpan w:val="3"/>
          </w:tcPr>
          <w:p>
            <w:pPr>
              <w:jc w:val="right"/>
              <w:ind w:right="1390"/>
              <w:spacing w:after="0"/>
              <w:rPr>
                <w:sz w:val="20"/>
                <w:szCs w:val="20"/>
                <w:color w:val="auto"/>
              </w:rPr>
            </w:pPr>
            <w:r>
              <w:rPr>
                <w:rFonts w:ascii="Arial" w:cs="Arial" w:eastAsia="Arial" w:hAnsi="Arial"/>
                <w:sz w:val="18"/>
                <w:szCs w:val="18"/>
                <w:b w:val="1"/>
                <w:bCs w:val="1"/>
                <w:color w:val="auto"/>
              </w:rPr>
              <w:t>84116</w:t>
            </w:r>
          </w:p>
        </w:tc>
        <w:tc>
          <w:tcPr>
            <w:tcW w:w="1100" w:type="dxa"/>
            <w:vAlign w:val="bottom"/>
          </w:tcPr>
          <w:p>
            <w:pPr>
              <w:spacing w:after="0"/>
              <w:rPr>
                <w:sz w:val="24"/>
                <w:szCs w:val="24"/>
                <w:color w:val="auto"/>
              </w:rPr>
            </w:pPr>
          </w:p>
        </w:tc>
      </w:tr>
      <w:tr>
        <w:trPr>
          <w:trHeight w:val="224"/>
        </w:trPr>
        <w:tc>
          <w:tcPr>
            <w:tcW w:w="56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480" w:type="dxa"/>
            <w:vAlign w:val="bottom"/>
            <w:tcBorders>
              <w:top w:val="single" w:sz="8" w:color="auto"/>
            </w:tcBorders>
            <w:gridSpan w:val="2"/>
          </w:tcPr>
          <w:p>
            <w:pPr>
              <w:jc w:val="center"/>
              <w:ind w:right="1120"/>
              <w:spacing w:after="0"/>
              <w:rPr>
                <w:sz w:val="20"/>
                <w:szCs w:val="20"/>
                <w:color w:val="auto"/>
              </w:rPr>
            </w:pPr>
            <w:r>
              <w:rPr>
                <w:rFonts w:ascii="Arial" w:cs="Arial" w:eastAsia="Arial" w:hAnsi="Arial"/>
                <w:sz w:val="18"/>
                <w:szCs w:val="18"/>
                <w:color w:val="auto"/>
                <w:w w:val="94"/>
              </w:rPr>
              <w:t>(Zip Code)</w:t>
            </w:r>
          </w:p>
        </w:tc>
      </w:tr>
      <w:tr>
        <w:trPr>
          <w:trHeight w:val="418"/>
        </w:trPr>
        <w:tc>
          <w:tcPr>
            <w:tcW w:w="5600" w:type="dxa"/>
            <w:vAlign w:val="bottom"/>
            <w:gridSpan w:val="3"/>
          </w:tcPr>
          <w:p>
            <w:pPr>
              <w:ind w:left="960"/>
              <w:spacing w:after="0"/>
              <w:rPr>
                <w:sz w:val="20"/>
                <w:szCs w:val="20"/>
                <w:color w:val="auto"/>
              </w:rPr>
            </w:pPr>
            <w:r>
              <w:rPr>
                <w:rFonts w:ascii="Arial" w:cs="Arial" w:eastAsia="Arial" w:hAnsi="Arial"/>
                <w:sz w:val="18"/>
                <w:szCs w:val="18"/>
                <w:color w:val="auto"/>
              </w:rPr>
              <w:t>(Registrant’s telephone number, including area code)</w:t>
            </w:r>
          </w:p>
        </w:tc>
        <w:tc>
          <w:tcPr>
            <w:tcW w:w="4720" w:type="dxa"/>
            <w:vAlign w:val="bottom"/>
            <w:gridSpan w:val="3"/>
          </w:tcPr>
          <w:p>
            <w:pPr>
              <w:jc w:val="right"/>
              <w:ind w:right="1150"/>
              <w:spacing w:after="0"/>
              <w:rPr>
                <w:sz w:val="20"/>
                <w:szCs w:val="20"/>
                <w:color w:val="auto"/>
              </w:rPr>
            </w:pPr>
            <w:r>
              <w:rPr>
                <w:rFonts w:ascii="Arial" w:cs="Arial" w:eastAsia="Arial" w:hAnsi="Arial"/>
                <w:sz w:val="18"/>
                <w:szCs w:val="18"/>
                <w:b w:val="1"/>
                <w:bCs w:val="1"/>
                <w:color w:val="auto"/>
              </w:rPr>
              <w:t>801-975-7200</w:t>
            </w:r>
          </w:p>
        </w:tc>
        <w:tc>
          <w:tcPr>
            <w:tcW w:w="1100" w:type="dxa"/>
            <w:vAlign w:val="bottom"/>
          </w:tcPr>
          <w:p>
            <w:pPr>
              <w:spacing w:after="0"/>
              <w:rPr>
                <w:sz w:val="24"/>
                <w:szCs w:val="24"/>
                <w:color w:val="auto"/>
              </w:rPr>
            </w:pPr>
          </w:p>
        </w:tc>
      </w:tr>
      <w:tr>
        <w:trPr>
          <w:trHeight w:val="432"/>
        </w:trPr>
        <w:tc>
          <w:tcPr>
            <w:tcW w:w="2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940" w:type="dxa"/>
            <w:vAlign w:val="bottom"/>
            <w:gridSpan w:val="5"/>
          </w:tcPr>
          <w:p>
            <w:pPr>
              <w:ind w:left="16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392"/>
        </w:trPr>
        <w:tc>
          <w:tcPr>
            <w:tcW w:w="2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Name on each exchange on which registered</w:t>
            </w:r>
          </w:p>
        </w:tc>
      </w:tr>
      <w:tr>
        <w:trPr>
          <w:trHeight w:val="20"/>
        </w:trPr>
        <w:tc>
          <w:tcPr>
            <w:tcW w:w="2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7"/>
        </w:trPr>
        <w:tc>
          <w:tcPr>
            <w:tcW w:w="5600" w:type="dxa"/>
            <w:vAlign w:val="bottom"/>
            <w:gridSpan w:val="3"/>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80" w:type="dxa"/>
            <w:vAlign w:val="bottom"/>
            <w:gridSpan w:val="2"/>
          </w:tcPr>
          <w:p>
            <w:pPr>
              <w:jc w:val="center"/>
              <w:ind w:right="1120"/>
              <w:spacing w:after="0"/>
              <w:rPr>
                <w:sz w:val="20"/>
                <w:szCs w:val="20"/>
                <w:color w:val="auto"/>
              </w:rPr>
            </w:pPr>
            <w:r>
              <w:rPr>
                <w:rFonts w:ascii="Arial" w:cs="Arial" w:eastAsia="Arial" w:hAnsi="Arial"/>
                <w:sz w:val="18"/>
                <w:szCs w:val="18"/>
                <w:color w:val="auto"/>
                <w:w w:val="94"/>
              </w:rPr>
              <w:t>The NASDAQ Capital Market</w:t>
            </w:r>
          </w:p>
        </w:tc>
      </w:tr>
      <w:tr>
        <w:trPr>
          <w:trHeight w:val="432"/>
        </w:trPr>
        <w:tc>
          <w:tcPr>
            <w:tcW w:w="5600" w:type="dxa"/>
            <w:vAlign w:val="bottom"/>
            <w:gridSpan w:val="3"/>
          </w:tcPr>
          <w:p>
            <w:pPr>
              <w:jc w:val="center"/>
              <w:spacing w:after="0"/>
              <w:rPr>
                <w:sz w:val="20"/>
                <w:szCs w:val="20"/>
                <w:color w:val="auto"/>
              </w:rPr>
            </w:pPr>
            <w:r>
              <w:rPr>
                <w:rFonts w:ascii="Arial" w:cs="Arial" w:eastAsia="Arial" w:hAnsi="Arial"/>
                <w:sz w:val="18"/>
                <w:szCs w:val="18"/>
                <w:color w:val="auto"/>
                <w:w w:val="90"/>
              </w:rPr>
              <w:t>Securities registered pursuant to Section 12(g) of the Act</w:t>
            </w:r>
          </w:p>
        </w:tc>
        <w:tc>
          <w:tcPr>
            <w:tcW w:w="2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2"/>
          </w:tcPr>
          <w:p>
            <w:pPr>
              <w:jc w:val="center"/>
              <w:ind w:right="1120"/>
              <w:spacing w:after="0"/>
              <w:rPr>
                <w:sz w:val="20"/>
                <w:szCs w:val="20"/>
                <w:color w:val="auto"/>
              </w:rPr>
            </w:pPr>
            <w:r>
              <w:rPr>
                <w:rFonts w:ascii="Arial" w:cs="Arial" w:eastAsia="Arial" w:hAnsi="Arial"/>
                <w:sz w:val="18"/>
                <w:szCs w:val="18"/>
                <w:b w:val="1"/>
                <w:bCs w:val="1"/>
                <w:color w:val="auto"/>
                <w:w w:val="88"/>
              </w:rPr>
              <w:t>None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 ] Yes [X] No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 ] Yes [X] No</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 ] No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[X] Yes [ ] No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476" w:right="239" w:bottom="1440" w:gutter="0" w:footer="0" w:header="0"/>
        </w:sectPr>
      </w:pPr>
    </w:p>
    <w:p>
      <w:pPr>
        <w:spacing w:after="0" w:line="181" w:lineRule="exact"/>
        <w:rPr>
          <w:sz w:val="24"/>
          <w:szCs w:val="24"/>
          <w:color w:val="auto"/>
        </w:rPr>
      </w:pPr>
    </w:p>
    <w:p>
      <w:pPr>
        <w:ind w:left="360"/>
        <w:spacing w:after="0"/>
        <w:rPr>
          <w:sz w:val="20"/>
          <w:szCs w:val="20"/>
          <w:color w:val="auto"/>
        </w:rPr>
      </w:pPr>
      <w:r>
        <w:rPr>
          <w:rFonts w:ascii="Arial" w:cs="Arial" w:eastAsia="Arial" w:hAnsi="Arial"/>
          <w:sz w:val="17"/>
          <w:szCs w:val="17"/>
          <w:color w:val="auto"/>
        </w:rPr>
        <w:t>Larger Accelerated Filer [ ]</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Non-Accelerated Filer [ ]</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both"/>
        <w:ind w:right="280" w:hanging="11"/>
        <w:spacing w:after="0" w:line="342" w:lineRule="auto"/>
        <w:rPr>
          <w:sz w:val="20"/>
          <w:szCs w:val="20"/>
          <w:color w:val="auto"/>
        </w:rPr>
      </w:pPr>
      <w:r>
        <w:rPr>
          <w:rFonts w:ascii="Arial" w:cs="Arial" w:eastAsia="Arial" w:hAnsi="Arial"/>
          <w:sz w:val="16"/>
          <w:szCs w:val="16"/>
          <w:color w:val="auto"/>
        </w:rPr>
        <w:t>Smaller Reporting Company [ ] Emerging Growth Company [ ]</w:t>
      </w:r>
    </w:p>
    <w:p>
      <w:pPr>
        <w:spacing w:after="0" w:line="124" w:lineRule="exact"/>
        <w:rPr>
          <w:sz w:val="24"/>
          <w:szCs w:val="24"/>
          <w:color w:val="auto"/>
        </w:rPr>
      </w:pPr>
    </w:p>
    <w:p>
      <w:pPr>
        <w:sectPr>
          <w:pgSz w:w="11900" w:h="16838" w:orient="portrait"/>
          <w:cols w:equalWidth="0" w:num="4">
            <w:col w:w="2380" w:space="600"/>
            <w:col w:w="1540" w:space="460"/>
            <w:col w:w="3380" w:space="480"/>
            <w:col w:w="2580"/>
          </w:cols>
          <w:pgMar w:left="240" w:top="476" w:right="239" w:bottom="1440" w:gutter="0" w:footer="0" w:header="0"/>
          <w:type w:val="continuous"/>
        </w:sect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 ] Yes [X] No</w:t>
      </w:r>
    </w:p>
    <w:p>
      <w:pPr>
        <w:spacing w:after="0" w:line="22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 xml:space="preserve">The aggregate market value of the shares of voting common stock held by non-affiliates was approximately $51.2 million at June 30, 2017 </w:t>
      </w:r>
      <w:r>
        <w:rPr>
          <w:rFonts w:ascii="Arial" w:cs="Arial" w:eastAsia="Arial" w:hAnsi="Arial"/>
          <w:sz w:val="16"/>
          <w:szCs w:val="16"/>
          <w:b w:val="1"/>
          <w:bCs w:val="1"/>
          <w:color w:val="auto"/>
        </w:rPr>
        <w:t>,</w:t>
      </w:r>
      <w:r>
        <w:rPr>
          <w:rFonts w:ascii="Arial" w:cs="Arial" w:eastAsia="Arial" w:hAnsi="Arial"/>
          <w:sz w:val="16"/>
          <w:szCs w:val="16"/>
          <w:color w:val="auto"/>
        </w:rPr>
        <w:t xml:space="preserve"> (the Company’s most recently completed second fiscal quarter), based on the $9.43 closing price for the Company’s common stock on the NASDAQ Capital Market on such date.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ClearOne common stock outstanding as of April 20, 2018 was 8,301,473.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Part III is incorporated by reference from registrant’s proxy statement for the 2017 annual meeting of shareholders or an amendment to this Annual Report on Form 10-K, which will be filed with the Securities and Exchange Commission within 120 days after the end of its fiscal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604520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80" w:type="dxa"/>
            <w:vAlign w:val="bottom"/>
            <w:gridSpan w:val="16"/>
          </w:tcPr>
          <w:p>
            <w:pPr>
              <w:jc w:val="center"/>
              <w:ind w:right="3520"/>
              <w:spacing w:after="0"/>
              <w:rPr>
                <w:sz w:val="20"/>
                <w:szCs w:val="20"/>
                <w:color w:val="auto"/>
              </w:rPr>
            </w:pPr>
            <w:r>
              <w:rPr>
                <w:rFonts w:ascii="Arial" w:cs="Arial" w:eastAsia="Arial" w:hAnsi="Arial"/>
                <w:sz w:val="18"/>
                <w:szCs w:val="18"/>
                <w:b w:val="1"/>
                <w:bCs w:val="1"/>
                <w:color w:val="auto"/>
              </w:rPr>
              <w:t>CLEARONE, INC.</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24"/>
          </w:tcPr>
          <w:p>
            <w:pPr>
              <w:jc w:val="center"/>
              <w:ind w:right="1520"/>
              <w:spacing w:after="0"/>
              <w:rPr>
                <w:sz w:val="20"/>
                <w:szCs w:val="20"/>
                <w:color w:val="auto"/>
              </w:rPr>
            </w:pPr>
            <w:r>
              <w:rPr>
                <w:rFonts w:ascii="Arial" w:cs="Arial" w:eastAsia="Arial" w:hAnsi="Arial"/>
                <w:sz w:val="18"/>
                <w:szCs w:val="18"/>
                <w:b w:val="1"/>
                <w:bCs w:val="1"/>
                <w:color w:val="auto"/>
                <w:w w:val="99"/>
              </w:rPr>
              <w:t>ANNUAL REPORT ON FORM 10-K FOR THE YEAR ENDED DECEMBER 31, 2017</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80" w:type="dxa"/>
            <w:vAlign w:val="bottom"/>
            <w:gridSpan w:val="16"/>
          </w:tcPr>
          <w:p>
            <w:pPr>
              <w:jc w:val="center"/>
              <w:ind w:right="3500"/>
              <w:spacing w:after="0"/>
              <w:rPr>
                <w:sz w:val="20"/>
                <w:szCs w:val="20"/>
                <w:color w:val="auto"/>
              </w:rPr>
            </w:pPr>
            <w:r>
              <w:rPr>
                <w:rFonts w:ascii="Arial" w:cs="Arial" w:eastAsia="Arial" w:hAnsi="Arial"/>
                <w:sz w:val="18"/>
                <w:szCs w:val="18"/>
                <w:b w:val="1"/>
                <w:bCs w:val="1"/>
                <w:color w:val="auto"/>
                <w:w w:val="99"/>
              </w:rPr>
              <w:t>TABLE OF CONTENTS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0" w:type="dxa"/>
            <w:vAlign w:val="bottom"/>
            <w:gridSpan w:val="10"/>
            <w:vMerge w:val="restart"/>
          </w:tcPr>
          <w:p>
            <w:pPr>
              <w:jc w:val="center"/>
              <w:ind w:right="4620"/>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0" w:type="dxa"/>
            <w:vAlign w:val="bottom"/>
            <w:gridSpan w:val="10"/>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3960" w:type="dxa"/>
            <w:vAlign w:val="bottom"/>
            <w:gridSpan w:val="18"/>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620" w:type="dxa"/>
            <w:vAlign w:val="bottom"/>
            <w:gridSpan w:val="9"/>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800" w:type="dxa"/>
            <w:vAlign w:val="bottom"/>
            <w:gridSpan w:val="2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9800" w:type="dxa"/>
            <w:vAlign w:val="bottom"/>
            <w:gridSpan w:val="2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Unresolved Staff Comments</w:t>
              </w:r>
            </w:hyperlink>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Properties</w:t>
              </w:r>
            </w:hyperlink>
          </w:p>
        </w:tc>
        <w:tc>
          <w:tcPr>
            <w:tcW w:w="7760" w:type="dxa"/>
            <w:vAlign w:val="bottom"/>
            <w:gridSpan w:val="19"/>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Legal Proceedings</w:t>
              </w:r>
            </w:hyperlink>
          </w:p>
        </w:tc>
        <w:tc>
          <w:tcPr>
            <w:tcW w:w="8460" w:type="dxa"/>
            <w:vAlign w:val="bottom"/>
            <w:gridSpan w:val="24"/>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800" w:type="dxa"/>
            <w:vAlign w:val="bottom"/>
            <w:gridSpan w:val="2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bottom w:val="single" w:sz="8" w:color="0000EE"/>
            </w:tcBorders>
            <w:gridSpan w:val="3"/>
          </w:tcPr>
          <w:p>
            <w:pPr>
              <w:jc w:val="center"/>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w:t>
              </w:r>
            </w:hyperlink>
          </w:p>
        </w:tc>
        <w:tc>
          <w:tcPr>
            <w:tcW w:w="4580" w:type="dxa"/>
            <w:vAlign w:val="bottom"/>
            <w:gridSpan w:val="8"/>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Market for Registrant’s Common Equity, Related Stockholder Matters and Issuer Purchases of Equity Securities</w:t>
              </w:r>
            </w:hyperlink>
          </w:p>
        </w:tc>
        <w:tc>
          <w:tcPr>
            <w:tcW w:w="172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800" w:type="dxa"/>
            <w:vAlign w:val="bottom"/>
            <w:gridSpan w:val="2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Selected Financial Data</w:t>
              </w:r>
            </w:hyperlink>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Management’s Discussion and Analysis of Financial Condition and Results of Operations</w:t>
              </w:r>
            </w:hyperlink>
          </w:p>
        </w:tc>
        <w:tc>
          <w:tcPr>
            <w:tcW w:w="3340" w:type="dxa"/>
            <w:vAlign w:val="bottom"/>
            <w:gridSpan w:val="4"/>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9800" w:type="dxa"/>
            <w:vAlign w:val="bottom"/>
            <w:gridSpan w:val="2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Financial Statements and Supplementary Data</w:t>
              </w:r>
            </w:hyperlink>
          </w:p>
        </w:tc>
        <w:tc>
          <w:tcPr>
            <w:tcW w:w="5500" w:type="dxa"/>
            <w:vAlign w:val="bottom"/>
            <w:gridSpan w:val="14"/>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Changes in and Disagreements with Accountants on Accounting and Financial Disclosure</w:t>
              </w:r>
            </w:hyperlink>
          </w:p>
        </w:tc>
        <w:tc>
          <w:tcPr>
            <w:tcW w:w="3320" w:type="dxa"/>
            <w:vAlign w:val="bottom"/>
            <w:gridSpan w:val="3"/>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9800" w:type="dxa"/>
            <w:vAlign w:val="bottom"/>
            <w:gridSpan w:val="2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8040" w:type="dxa"/>
            <w:vAlign w:val="bottom"/>
            <w:gridSpan w:val="21"/>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bottom w:val="single" w:sz="8" w:color="0000EE"/>
            </w:tcBorders>
            <w:gridSpan w:val="7"/>
          </w:tcPr>
          <w:p>
            <w:pPr>
              <w:jc w:val="cente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III</w:t>
              </w:r>
            </w:hyperlink>
          </w:p>
        </w:tc>
        <w:tc>
          <w:tcPr>
            <w:tcW w:w="454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Directors, Executive Officers and Corporate Governance</w:t>
              </w:r>
            </w:hyperlink>
          </w:p>
        </w:tc>
        <w:tc>
          <w:tcPr>
            <w:tcW w:w="5700" w:type="dxa"/>
            <w:vAlign w:val="bottom"/>
            <w:gridSpan w:val="15"/>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9800" w:type="dxa"/>
            <w:vAlign w:val="bottom"/>
            <w:gridSpan w:val="2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Executive Compensation</w:t>
              </w:r>
            </w:hyperlink>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Security Ownership of Certain Beneficial Owners and Management and Related Stockholder Matters</w:t>
              </w:r>
            </w:hyperlink>
          </w:p>
        </w:tc>
        <w:tc>
          <w:tcPr>
            <w:tcW w:w="2500" w:type="dxa"/>
            <w:vAlign w:val="bottom"/>
            <w:gridSpan w:val="2"/>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Certain Relationships and Related Transactions, and Director Independence</w:t>
              </w:r>
            </w:hyperlink>
          </w:p>
        </w:tc>
        <w:tc>
          <w:tcPr>
            <w:tcW w:w="4340" w:type="dxa"/>
            <w:vAlign w:val="bottom"/>
            <w:gridSpan w:val="5"/>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9800" w:type="dxa"/>
            <w:vAlign w:val="bottom"/>
            <w:gridSpan w:val="2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Principal Accounting Fees and Services</w:t>
              </w:r>
            </w:hyperlink>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60" w:type="dxa"/>
            <w:vAlign w:val="bottom"/>
            <w:gridSpan w:val="12"/>
          </w:tcPr>
          <w:p>
            <w:pPr>
              <w:jc w:val="center"/>
              <w:ind w:right="4560"/>
              <w:spacing w:after="0" w:line="196" w:lineRule="exact"/>
              <w:rPr>
                <w:rFonts w:ascii="Arial" w:cs="Arial" w:eastAsia="Arial" w:hAnsi="Arial"/>
                <w:sz w:val="18"/>
                <w:szCs w:val="18"/>
                <w:b w:val="1"/>
                <w:bCs w:val="1"/>
                <w:color w:val="0000EE"/>
                <w:w w:val="98"/>
              </w:rPr>
            </w:pPr>
            <w:hyperlink w:anchor="page39">
              <w:r>
                <w:rPr>
                  <w:rFonts w:ascii="Arial" w:cs="Arial" w:eastAsia="Arial" w:hAnsi="Arial"/>
                  <w:sz w:val="18"/>
                  <w:szCs w:val="18"/>
                  <w:b w:val="1"/>
                  <w:bCs w:val="1"/>
                  <w:color w:val="0000EE"/>
                  <w:w w:val="98"/>
                </w:rPr>
                <w:t>PART IV</w:t>
              </w:r>
            </w:hyperlink>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Exhibits, Financial Statement Schedules</w:t>
              </w:r>
            </w:hyperlink>
          </w:p>
        </w:tc>
        <w:tc>
          <w:tcPr>
            <w:tcW w:w="1640" w:type="dxa"/>
            <w:vAlign w:val="bottom"/>
            <w:gridSpan w:val="5"/>
          </w:tcPr>
          <w:p>
            <w:pPr>
              <w:spacing w:after="0"/>
              <w:rPr>
                <w:sz w:val="17"/>
                <w:szCs w:val="17"/>
                <w:color w:val="auto"/>
              </w:rPr>
            </w:pPr>
          </w:p>
        </w:tc>
        <w:tc>
          <w:tcPr>
            <w:tcW w:w="700" w:type="dxa"/>
            <w:vAlign w:val="bottom"/>
            <w:tcBorders>
              <w:top w:val="single" w:sz="8" w:color="0000EE"/>
            </w:tcBorders>
            <w:gridSpan w:val="5"/>
          </w:tcPr>
          <w:p>
            <w:pPr>
              <w:spacing w:after="0"/>
              <w:rPr>
                <w:sz w:val="17"/>
                <w:szCs w:val="17"/>
                <w:color w:val="auto"/>
              </w:rPr>
            </w:pPr>
          </w:p>
        </w:tc>
        <w:tc>
          <w:tcPr>
            <w:tcW w:w="4560" w:type="dxa"/>
            <w:vAlign w:val="bottom"/>
            <w:gridSpan w:val="7"/>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16.</w:t>
            </w:r>
          </w:p>
        </w:tc>
        <w:tc>
          <w:tcPr>
            <w:tcW w:w="9800" w:type="dxa"/>
            <w:vAlign w:val="bottom"/>
            <w:gridSpan w:val="29"/>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Form 10-K Summary</w:t>
              </w:r>
            </w:hyperlink>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568"/>
        </w:trPr>
        <w:tc>
          <w:tcPr>
            <w:tcW w:w="90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Examples of forward-looking statements are statements that describe the proposed development, manufacturing, and sale of our products; statements that describe expectations regarding pricing trends, the markets for our products, our anticipated capital expenditures, our cost reduction and operational restructuring initiatives, and future impact of regulatory developments; statements with regard to the nature and extent of competition we may face in the future; statements with respect to the anticipated sources of and need for future financing; and statements with respect to future strategic plans, goals, and objectives and forecasts of future growth and value. Forward-looking statements are contained in this report under “Business” included in Item 1 of Part I, and “Management’s Discussion and Analysis of Financial Condition and Results of Operations” included in Item 7 of Part II of this Annual Report on Form 10-K.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the caption “Item 1A Risk Factors.”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we assume no obligation to update forward-looking statements to reflect subsequent events or circumstances.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References in this Annual Report on Form 10-K to “ClearOne,” “we,” “us,” “CLRO” or “the Company” refer to ClearOne, Inc., a Utah corporation, and, unless the context otherwise requires or is otherwise expressly stated,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ClearOne (the Company) was formed as a Utah corporation in 1983 organized under the laws of the State of Utah. The Company is headquartered in Salt Lake City, Utah, with locations in Gainesville, Florida; Austin, Texas; Corvallis, Oregon; Hong Kong; India, Israel, Spain and United Arab Emirates.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We are a global company that designs, develops and sells conferencing, collaboration and network streaming solutions for voice and visual communications.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and simplicity of our advanced comprehensive solutions offer unprecedented levels of functionality, reliability and scalability.</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design, develop, market, and service a comprehensive line of high-quality conferencing and collaboration products for personal use, as well as traditional tabletop, mid-tier premium and higher-end professional products for large, medium and small businesses. We occupy the number one global market share position, with more than 50% market share in the professional audio conferencing market for our products used by large businesses and organizations such as enterprise, healthcare, education and distance learning, government, legal and finance. Our solutions save organizations time and money by creating a natural environment for collaboration and communication.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 established history of product innovation and plan to continue to apply our expertise in audio, video and network engineering to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primarily through a global network of independent distributors who, in turn, sell our products to dealers, systems integrators and other value-added resellers.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ITEM 1-BUSINESS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believe that attractive acquisition opportunities may arise in the future. We intend to pursue strategic acquisition opportunities that would grow our customer base, expand our product lines, enhance our manufacturing and technical expertise, or otherwise complement our business or further our strategic goals.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website address is www.clearone.com. Our annual reports on Form 10-K, quarterly reports on Form 10-Q, current reports on Form 8-K, and any amendments to such reports are available, free of charge, on our website in the “Investor Relations” section under “Company.” These reports are made available as soon as reasonably practicable after we file such material with, or furnish it to, the SEC.</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discussion of certain risks applicable to our business, results of operations, financial position, and liquidity, see the risk factors described in “Item 1A, Risk Factors” below.</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currently participate in the following markets:</w:t>
      </w:r>
    </w:p>
    <w:p>
      <w:pPr>
        <w:spacing w:after="0" w:line="225" w:lineRule="exact"/>
        <w:rPr>
          <w:sz w:val="20"/>
          <w:szCs w:val="20"/>
          <w:color w:val="auto"/>
        </w:rPr>
      </w:pPr>
    </w:p>
    <w:p>
      <w:pPr>
        <w:ind w:left="760" w:hanging="442"/>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Professional audio visual, including audio conferencing, web conferencing and video conferencing and collaboration;</w:t>
      </w:r>
    </w:p>
    <w:p>
      <w:pPr>
        <w:spacing w:after="0" w:line="23" w:lineRule="exact"/>
        <w:rPr>
          <w:rFonts w:ascii="Arial" w:cs="Arial" w:eastAsia="Arial" w:hAnsi="Arial"/>
          <w:sz w:val="18"/>
          <w:szCs w:val="18"/>
          <w:color w:val="auto"/>
        </w:rPr>
      </w:pPr>
    </w:p>
    <w:p>
      <w:pPr>
        <w:ind w:left="760" w:hanging="442"/>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Professional microphones which includes our patented beamforming microphones, ceiling microphones and wireless microphones;</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Media collaboration including interactive whiteboarding, webinar, wireless sharing and training tools;</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Network streaming which includes audio and video networking, media streaming and video walls; and</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Unified communications, including telephony.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business goals are to:</w:t>
      </w:r>
    </w:p>
    <w:p>
      <w:pPr>
        <w:spacing w:after="0" w:line="225" w:lineRule="exact"/>
        <w:rPr>
          <w:sz w:val="20"/>
          <w:szCs w:val="20"/>
          <w:color w:val="auto"/>
        </w:rPr>
      </w:pPr>
    </w:p>
    <w:p>
      <w:pPr>
        <w:ind w:left="760" w:hanging="442"/>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our leading global market share in professional audio conferencing products for large businesses and organizations;</w:t>
      </w:r>
    </w:p>
    <w:p>
      <w:pPr>
        <w:spacing w:after="0" w:line="23" w:lineRule="exact"/>
        <w:rPr>
          <w:rFonts w:ascii="Arial" w:cs="Arial" w:eastAsia="Arial" w:hAnsi="Arial"/>
          <w:sz w:val="18"/>
          <w:szCs w:val="18"/>
          <w:color w:val="auto"/>
        </w:rPr>
      </w:pPr>
    </w:p>
    <w:p>
      <w:pPr>
        <w:ind w:left="760" w:right="20" w:hanging="442"/>
        <w:spacing w:after="0" w:line="25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Position ClearOne as the preferred AV channel partner uniquely offering a complete value-chain of natively integrated solutions from audio to video maximizing AV partner profitability;</w:t>
      </w:r>
    </w:p>
    <w:p>
      <w:pPr>
        <w:ind w:left="760" w:right="20" w:hanging="442"/>
        <w:spacing w:after="0" w:line="25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Extend total addressable market from installed audio beachhead to adjacent complementary markets – microphones, video collaboration and networked audio and video streaming;</w:t>
      </w:r>
    </w:p>
    <w:p>
      <w:pPr>
        <w:ind w:left="760" w:hanging="442"/>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leverage the video conferencing, collaboration and network streaming technologies to enlarge our current market share;</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Focus on the small and medium business (SMB) market with scaled, lower cost and less complex products and solutions;</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Capitalize on the growing influence of information technology channels in the audio-visual market and introduce more products to these channels;</w:t>
      </w:r>
    </w:p>
    <w:p>
      <w:pPr>
        <w:spacing w:after="0" w:line="32" w:lineRule="exact"/>
        <w:rPr>
          <w:rFonts w:ascii="Arial" w:cs="Arial" w:eastAsia="Arial" w:hAnsi="Arial"/>
          <w:sz w:val="16"/>
          <w:szCs w:val="16"/>
          <w:color w:val="auto"/>
        </w:rPr>
      </w:pPr>
    </w:p>
    <w:p>
      <w:pPr>
        <w:ind w:left="760" w:right="20" w:hanging="442"/>
        <w:spacing w:after="0" w:line="25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Capitalize on emerging market trends as audio visual, information technology, and digital signage converge to meet enterprise and commercial multimedia needs and the users shift from high-priced systems to low cost appliances and cloud solutions;</w:t>
      </w:r>
    </w:p>
    <w:p>
      <w:pPr>
        <w:ind w:left="760" w:right="20" w:hanging="442"/>
        <w:spacing w:after="0" w:line="25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software-based platforms to provide disruptive cloud and networked video conferencing, collaboration and streaming solutions that complement our audio solutions;</w:t>
      </w:r>
    </w:p>
    <w:p>
      <w:pPr>
        <w:ind w:left="760" w:hanging="442"/>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and strengthen our sales channels;</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Consider disciplined strategic acquisitions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focus on our core strengths, which include the following:</w:t>
      </w:r>
    </w:p>
    <w:p>
      <w:pPr>
        <w:spacing w:after="0" w:line="225" w:lineRule="exact"/>
        <w:rPr>
          <w:sz w:val="20"/>
          <w:szCs w:val="20"/>
          <w:color w:val="auto"/>
        </w:rPr>
      </w:pPr>
    </w:p>
    <w:p>
      <w:pPr>
        <w:ind w:left="760" w:hanging="44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a superior conferencing and collaboration experience;</w:t>
      </w:r>
    </w:p>
    <w:p>
      <w:pPr>
        <w:spacing w:after="0" w:line="23" w:lineRule="exact"/>
        <w:rPr>
          <w:rFonts w:ascii="Arial" w:cs="Arial" w:eastAsia="Arial" w:hAnsi="Arial"/>
          <w:sz w:val="18"/>
          <w:szCs w:val="18"/>
          <w:color w:val="auto"/>
        </w:rPr>
      </w:pPr>
    </w:p>
    <w:p>
      <w:pPr>
        <w:ind w:left="760" w:hanging="44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Delivering the complete value chain for audio visual communication;</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Significantly impacting network streaming and control;</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Offering greater innovation, interoperability and value to our customers and partners;</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Leveraging and extending ClearOne technology, leadership and innovation;</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Leveraging our strong domestic and international channels to distribute new products; and</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Strengthening existing customer and partner relationships through dedicated support.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products can be broadly categorized into the following:</w:t>
      </w:r>
    </w:p>
    <w:p>
      <w:pPr>
        <w:spacing w:after="0" w:line="225" w:lineRule="exact"/>
        <w:rPr>
          <w:sz w:val="20"/>
          <w:szCs w:val="20"/>
          <w:color w:val="auto"/>
        </w:rPr>
      </w:pPr>
    </w:p>
    <w:p>
      <w:pPr>
        <w:ind w:left="760" w:hanging="442"/>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Professional audio conferencing including professional microphones</w:t>
      </w:r>
    </w:p>
    <w:p>
      <w:pPr>
        <w:spacing w:after="0" w:line="23" w:lineRule="exact"/>
        <w:rPr>
          <w:rFonts w:ascii="Arial" w:cs="Arial" w:eastAsia="Arial" w:hAnsi="Arial"/>
          <w:sz w:val="18"/>
          <w:szCs w:val="18"/>
          <w:color w:val="auto"/>
        </w:rPr>
      </w:pPr>
    </w:p>
    <w:p>
      <w:pPr>
        <w:ind w:left="760" w:hanging="442"/>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Visual communication products including media collaboration and network streaming</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Unified communications audio end points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AUDIO CONFERENCING INCLUDING MICROPHONES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full range of professional audio communication products includes (i) professional conferencing and sound-reinforcement products used in enterprise, healthcare, education and distance learning, government, legal and finance organizations, (ii) mid-tier premium conferencing products for smaller rooms and small and medium businesses which interface with video and web conferencing systems, and (iii) professional microphones used in various applications.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professional audio communication products, including premium conferencing and professional microphones, contributed 73%, 78% and 80% of our consolidated revenue in 2017, 2016 and 2015, respectively.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professional audio communication products and unified communications audio end points feature our proprietary HDConference®, Distributed Echo Cancellation® and noise cancellation technologies to enhance communication during a conference call by eliminating echo and background noise. Most of our products also feature some of our other HDConference proprietary audio processing technologies such as adaptive modeling and first-microphone priority, which combine to deliver clear, crisp and full-duplex audio. These technologies enable natural and fatigue-free communication between distant conferencing participants.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Conferencing, Sound Reinforcement</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We occupy the number one position in the global professional audio conferencing market with more than 50% of the total global market share. We have been developing high-end, professional conferencing products since 1991 and believe we have established strong brand recognition for these products worldwide. Our professional conferencing products include the CONVERGE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 2, CONVERGE Pro and CONVERGE SR product lines.</w:t>
      </w:r>
    </w:p>
    <w:p>
      <w:pPr>
        <w:spacing w:after="0" w:line="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flagship CONVERGE Pro 2 and CONVERGE Pro product lines lead our professionally installed audio products line. The CONVERGE Pro product line includes the CONVERGE Pro 880, CONVERGE Pro 880T, CONVERGE Pro 880TA, CONVERGE Pro 840T, CONVERGE Pro 8i, CONVERGE Pro TH20 and CONVERGE Pro VH20, and CONVERGE SR product line including CONVERGE SR1212 and SR1212A which together offer various levels of integration and features to allow a commercial system integrator to optimize a system to fit diverse conferencing applications and environments.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started shipping some of the SKUs of the next generation of CONVERGE Pro products broadly called as CONVERGE Pro 2 at the end of 2016. We added more SKUs to CONVERGE Pro 2 line which now includes CONVERGE Pro 2 128, CONVERGE Pro 2 128D, CONVERGE Pro 2 128T, CONVERGE Pro 2 128TD, CONVERGE Pro 2 128V, CONVERGE Pro 2 128VD, CONVERGE Pro 2 120, CONVERGE Pro 2 012, CONVERGE Pro 2 48T, CONVERGE Pro 2 48V, CONVERGE Pro 2 128SR and CONVERGE Pro 2 128SRD. We have been shipping all SKUs in the CONVERGE Pro 2 line of products in 2017.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BUSINESS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CONVERGE Pro 2’s broad DSP platform satisfies clients’ diverse audio needs with these features:</w:t>
      </w:r>
    </w:p>
    <w:p>
      <w:pPr>
        <w:spacing w:after="0" w:line="23" w:lineRule="exact"/>
        <w:rPr>
          <w:sz w:val="20"/>
          <w:szCs w:val="20"/>
          <w:color w:val="auto"/>
        </w:rPr>
      </w:pPr>
    </w:p>
    <w:p>
      <w:pPr>
        <w:ind w:left="380" w:right="20" w:hanging="245"/>
        <w:spacing w:after="0" w:line="250"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very latest and most powerful audio DSP algorithms, including acoustic echo cancellation, noise cancellation, feedback elimination, gain and level control, and microphone gating;</w:t>
      </w:r>
    </w:p>
    <w:p>
      <w:pPr>
        <w:ind w:left="380" w:hanging="245"/>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More microphone inputs to supply greater flexibility;</w:t>
      </w:r>
    </w:p>
    <w:p>
      <w:pPr>
        <w:spacing w:after="0" w:line="9" w:lineRule="exact"/>
        <w:rPr>
          <w:rFonts w:ascii="Arial" w:cs="Arial" w:eastAsia="Arial" w:hAnsi="Arial"/>
          <w:sz w:val="18"/>
          <w:szCs w:val="18"/>
          <w:color w:val="auto"/>
        </w:rPr>
      </w:pPr>
    </w:p>
    <w:p>
      <w:pPr>
        <w:ind w:left="380" w:hanging="245"/>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Integration of VoIP or telephony, USB, and Dante™ for maximum functionality;</w:t>
      </w:r>
    </w:p>
    <w:p>
      <w:pPr>
        <w:spacing w:after="0" w:line="9" w:lineRule="exact"/>
        <w:rPr>
          <w:rFonts w:ascii="Arial" w:cs="Arial" w:eastAsia="Arial" w:hAnsi="Arial"/>
          <w:sz w:val="18"/>
          <w:szCs w:val="18"/>
          <w:color w:val="auto"/>
        </w:rPr>
      </w:pPr>
    </w:p>
    <w:p>
      <w:pPr>
        <w:ind w:left="380" w:hanging="245"/>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new expansion bus that delivers increased audio-channel scalability to support large audio projects;</w:t>
      </w:r>
    </w:p>
    <w:p>
      <w:pPr>
        <w:spacing w:after="0" w:line="9" w:lineRule="exact"/>
        <w:rPr>
          <w:rFonts w:ascii="Arial" w:cs="Arial" w:eastAsia="Arial" w:hAnsi="Arial"/>
          <w:sz w:val="18"/>
          <w:szCs w:val="18"/>
          <w:color w:val="auto"/>
        </w:rPr>
      </w:pPr>
    </w:p>
    <w:p>
      <w:pPr>
        <w:ind w:left="380" w:right="20" w:hanging="245"/>
        <w:spacing w:after="0" w:line="250"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native interface that enables daisy-chaining for any combination of ClearOne peripheral devices, such as the new Beamforming Microphone Array 2, USB Expander unit, GPIO Expander unit and/or the new DIALOG® 20 Wireless Microphone system; and</w:t>
      </w:r>
    </w:p>
    <w:p>
      <w:pPr>
        <w:ind w:left="380" w:hanging="245"/>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software that includes both a traditional matrix view and the unique ClearOne FlowView™.</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CONVERGE Pro 2 line of products is ably supported by a touch panel controller, a GPIO expansion box and a USB expansion box. CONVERGE Pro 2 VoIP SKUs are certified to interoperate with Cisco, Avaya and ShoreTel SIP based VoIP systems. It also interoperates with Microsoft Skype for Business.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Mid-Tier Premium Conferencing</w:t>
      </w:r>
    </w:p>
    <w:p>
      <w:pPr>
        <w:spacing w:after="0" w:line="2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Our INTERACT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 line is a mid-tier, lower cost, conferencing product line designed to meet the needs of our larger customers with smaller conferencing rooms as well as small and medium businesses. The INTERACT product series is comprised of the INTERACT AT and the INTERACT Pro. Both systems can be easily connected to enterprise telephones, analog POTS lines, existing HD video codecs and soft video clients. These INTERACT systems also include a USB audio interface to connect to PCs, laptops and tablets, as well as to rich multimedia devices, such as video or web conferencing systems and emerging unified communication systems for enhanced collaboration.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Microphones: Beamforming Microphone Array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ClearOne Beamforming Microphone Array is the Pro-Audio industry’s first professional-grade microphone array with Beamforming and smart beam selection and ClearOne’s next-generation Acoustic Echo Cancellation. The ultra-sleek design fits into any conferencing environment and delivers the clearest audio pickup available. The 24 microphone element industry-leading Beamforming Microphone Array has focused acoustic beams, digital signal processing, smart beam selection, and acoustic echo canceling to produce the clearest and most intelligible conferencing sound possible. ClearOne began shipping the Beamforming Microphone Array in March 2013. During the first quarter of 2014, we began shipping the Beamforming Microphone Array, including table, wall and ceiling applications, in black to increase market compatibility. This product works with CONVERGE Pro 880, CONVERGE Pro 880T, CONVERGE Pro 880TA and CONVERGE Pro 840T.</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Beamforming Microphone Array 2, the next generation Beamforming Microphone Arrays started shipping in the last quarter of 2017. The Beamforming Microphone Array 2 affirms ClearOne’s clear industry leadership in delivering:</w:t>
      </w:r>
    </w:p>
    <w:p>
      <w:pPr>
        <w:spacing w:after="0" w:line="1" w:lineRule="exact"/>
        <w:rPr>
          <w:sz w:val="20"/>
          <w:szCs w:val="20"/>
          <w:color w:val="auto"/>
        </w:rPr>
      </w:pPr>
    </w:p>
    <w:p>
      <w:pPr>
        <w:ind w:left="760" w:hanging="442"/>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Significantly enhanced and new echo cancellation, using direction of arrival determination for demanding acoustic environments;</w:t>
      </w:r>
    </w:p>
    <w:p>
      <w:pPr>
        <w:spacing w:after="0" w:line="9" w:lineRule="exact"/>
        <w:rPr>
          <w:rFonts w:ascii="Arial" w:cs="Arial" w:eastAsia="Arial" w:hAnsi="Arial"/>
          <w:sz w:val="18"/>
          <w:szCs w:val="18"/>
          <w:color w:val="auto"/>
        </w:rPr>
      </w:pPr>
    </w:p>
    <w:p>
      <w:pPr>
        <w:jc w:val="both"/>
        <w:ind w:left="760" w:right="20" w:hanging="442"/>
        <w:spacing w:after="0" w:line="250"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Faster convergence and better adaptation to changes in room acoustics, such as ambient noise from chairs moving, doors closing, chatter in the background, or any spikes in sound that alter the path of the audio, using separate acoustic echo cancellation for each fixed beam and inhibiting beam selection when the far end is active;</w:t>
      </w:r>
    </w:p>
    <w:p>
      <w:pPr>
        <w:spacing w:after="0" w:line="1" w:lineRule="exact"/>
        <w:rPr>
          <w:rFonts w:ascii="Arial" w:cs="Arial" w:eastAsia="Arial" w:hAnsi="Arial"/>
          <w:sz w:val="18"/>
          <w:szCs w:val="18"/>
          <w:color w:val="auto"/>
        </w:rPr>
      </w:pPr>
    </w:p>
    <w:p>
      <w:pPr>
        <w:ind w:left="760" w:hanging="442"/>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Dramatically better mic pickup, including using an augmenting microphone signal, sharpening the capability to detect softer voices;</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and clearly intelligible audio, even when two people speak at once; and</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Zero consumption of analog mic inputs in the CONVERGE Pro 2 suite of DSP mixers.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Microphones: Ceiling Microphone Array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ClearOne Ceiling Microphone Array enhances almost any professional conferencing application which demands high-quality audio. The Ceiling Microphone Array is easily installed and combines affordability with exceptional audio quality. With three wide-range microphones mounted together into a single unit array, the Ceiling Microphone Array provides the rich sound of three individual unidirectional microphones while maintaining full 360-degree coverage.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Microphones: Wireless Microphones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2013 ClearOne introduced WS800 Wireless Microphone Systems, including four new models of wireless microphones/transmitters (Tabletop/boundary, Gooseneck, Handheld, Bodypack) and a base-station receiver with either 4 or 8 channels, which connect to professional audio mixers. Since the Sabine acquisition in 2014, our portfolio of wireless microphone systems was enhanced by the introduction of digital compressed versions, Dante standard compatible versions and more frequency ranges catering to various international markets.</w:t>
      </w:r>
    </w:p>
    <w:p>
      <w:pPr>
        <w:spacing w:after="0" w:line="19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During 2017, we started shipping DIALOG</w:t>
      </w:r>
      <w:r>
        <w:rPr>
          <w:rFonts w:ascii="Arial" w:cs="Arial" w:eastAsia="Arial" w:hAnsi="Arial"/>
          <w:sz w:val="30"/>
          <w:szCs w:val="30"/>
          <w:color w:val="auto"/>
          <w:vertAlign w:val="superscript"/>
        </w:rPr>
        <w:t>®</w:t>
      </w:r>
      <w:r>
        <w:rPr>
          <w:rFonts w:ascii="Arial" w:cs="Arial" w:eastAsia="Arial" w:hAnsi="Arial"/>
          <w:sz w:val="18"/>
          <w:szCs w:val="18"/>
          <w:color w:val="auto"/>
        </w:rPr>
        <w:t xml:space="preserve"> 20, the two-channel wireless microphone system. Leveraging the full power of ClearOne's robust, adaptive frequency-hopping "spread" spectrum technology within the 2.4 GHz unlicensed spectrum, DIALOG 20 has several advantages over fixed-frequency transmission. DIALOG 20 incorporates flexible features and multiple options usually available only in much larger systems. While DIALOG 20 works seamlessly with all commercially available mixers, it boasts additional features when natively interfacing with our new CONVERGE Pro 2 or new Beamforming Microphone Array 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UNIFIED COMMUNICATIONS AUDIO END POINTS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unified communications audio end points include (i) traditional tabletop conferencing phones used in conference rooms and offices and (ii) affordable personal conferencing products that can be used with PCs, laptops, tablets, smartphones, and other portable devices. Our unified communications audio end points contributed approximately 9%, 11% and 13% of our consolidated revenue in 2017, 2016 and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Tabletop Conferencing</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MAX® product line is comprised of the following product families: MAX EX and MAXAttach® wired conference phones; MAX Wireless and MAXAttach Wireless; and MAX IP and MAXAttach IP tabletop conferencing phones. Designed for use in executive offices or small conference rooms with multiple participants, MAX Wireless can be moved from room to room within 150 feet of its base station. MAXAttach Wireless was the industry’s first and remains the only dual-phone, completely wireless solution. This system gives customers tremendous flexibility in covering larger conference room areas. MAX EX and MAXAttach wired phones can be daisy chained together, up to a total of four phones. This provides even distribution of microphones, loudspeakers, and controls for better sound quality and improved user access in medium to large conference rooms. In addition, all MAXAttach wired phones can be used separately when they are not needed in a daisy-chain configuration. MAX IP and MAXAttach IP are VoIP tabletop conference phones which are based on the industry-standard SIP signaling protocol. These phones can also be daisy-chained together, up to a total of four phones.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Speakerphone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CHAT® product line includes affordable and stylish personal speakerphones and USB headsets. CHAT speakerphones provide full-duplex and rich full bandwidth frequency response for superior audio clarity. CHAT products are designed for a wide variety of applications and devices (fixed or portable) for greatly enhanced collaboration wherever and whenever needed. CHAT speakerphones are offered either as personal speakerphones under CHAT 50, CHAT 60 or CHAT 70 SKUs or as group speakerphones under CHAT 150, CHAT 160 and CHAT 170 SKUs.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1 - BUSINESS</w:t>
      </w:r>
    </w:p>
    <w:p>
      <w:pPr>
        <w:spacing w:after="0" w:line="229" w:lineRule="exact"/>
        <w:rPr>
          <w:sz w:val="20"/>
          <w:szCs w:val="20"/>
          <w:color w:val="auto"/>
        </w:rPr>
      </w:pPr>
    </w:p>
    <w:p>
      <w:pPr>
        <w:jc w:val="both"/>
        <w:ind w:left="20"/>
        <w:spacing w:after="0" w:line="272" w:lineRule="auto"/>
        <w:rPr>
          <w:sz w:val="20"/>
          <w:szCs w:val="20"/>
          <w:color w:val="auto"/>
        </w:rPr>
      </w:pPr>
      <w:r>
        <w:rPr>
          <w:rFonts w:ascii="Arial" w:cs="Arial" w:eastAsia="Arial" w:hAnsi="Arial"/>
          <w:sz w:val="17"/>
          <w:szCs w:val="17"/>
          <w:color w:val="auto"/>
        </w:rPr>
        <w:t>CHAT 50/60/70 personal speakerphones are approximately the size of a deck of cards, and connect to PCs and MACs for rich, clear, hands-free audio and playback. CHAT 150 group speakerphones are designed for small group use. These can also connect many of the same devices and applications as the CHAT personal speakerphones but feature three microphones in larger design for use by a larger number of participants. CHAT 150/160/170 group speakerphones have the ability to add high-quality, full-duplex speakerphones to user enterprise telephone handsets such as Avaya and Cisco. CHAT group speakerphones make it possible to introduce rich, crystal clear conferencing capability without the need for introducing a separate traditional conference phone. CHATAttach® is comprised of two CHAT 150 group speakerphones which can be daisy-chained together to function as a single conferencing system for much larger coverage than a single CHAT 150.</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VISUAL COMMUNICATIONS</w:t>
      </w:r>
    </w:p>
    <w:p>
      <w:pPr>
        <w:spacing w:after="0" w:line="225"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Our visual communication products include media collaboration and network streaming products. Our visual communication products contributed 18%, 11% and 7% of our consolidated revenue in 2017, 2016 and 2015, respectively.</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Media Collaboration</w:t>
      </w:r>
      <w:r>
        <w:rPr>
          <w:rFonts w:ascii="Arial" w:cs="Arial" w:eastAsia="Arial" w:hAnsi="Arial"/>
          <w:sz w:val="18"/>
          <w:szCs w:val="18"/>
          <w:color w:val="auto"/>
        </w:rPr>
        <w:t>:</w:t>
      </w:r>
    </w:p>
    <w:p>
      <w:pPr>
        <w:spacing w:after="0" w:line="225"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Our Media Collaboration suite of products is led by our comprehensive portfolio of industry-leading COLLABORATE® branded HD videoconferencing solutions.</w:t>
      </w:r>
    </w:p>
    <w:p>
      <w:pPr>
        <w:spacing w:after="0" w:line="174" w:lineRule="exact"/>
        <w:rPr>
          <w:sz w:val="20"/>
          <w:szCs w:val="20"/>
          <w:color w:val="auto"/>
        </w:rPr>
      </w:pPr>
    </w:p>
    <w:p>
      <w:pPr>
        <w:jc w:val="both"/>
        <w:ind w:right="140"/>
        <w:spacing w:after="0" w:line="197" w:lineRule="auto"/>
        <w:rPr>
          <w:sz w:val="20"/>
          <w:szCs w:val="20"/>
          <w:color w:val="auto"/>
        </w:rPr>
      </w:pPr>
      <w:r>
        <w:rPr>
          <w:rFonts w:ascii="Arial" w:cs="Arial" w:eastAsia="Arial" w:hAnsi="Arial"/>
          <w:sz w:val="18"/>
          <w:szCs w:val="18"/>
          <w:color w:val="auto"/>
        </w:rPr>
        <w:t>COLLABORATE Pro 300: includes video appliance, UNITE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150 camera, CHAT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150C speakerphone and 90-days subscription to Spontania cloud video, audio and web conferencing, SIP/H.323 video conferencing, in-room wireless presentation and optional Skype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Business native integration. This solution is targeted for huddle and small-size rooms.</w:t>
      </w:r>
    </w:p>
    <w:p>
      <w:pPr>
        <w:spacing w:after="0" w:line="209" w:lineRule="exact"/>
        <w:rPr>
          <w:sz w:val="20"/>
          <w:szCs w:val="20"/>
          <w:color w:val="auto"/>
        </w:rPr>
      </w:pPr>
    </w:p>
    <w:p>
      <w:pPr>
        <w:jc w:val="both"/>
        <w:ind w:right="140"/>
        <w:spacing w:after="0" w:line="221" w:lineRule="auto"/>
        <w:rPr>
          <w:sz w:val="20"/>
          <w:szCs w:val="20"/>
          <w:color w:val="auto"/>
        </w:rPr>
      </w:pPr>
      <w:r>
        <w:rPr>
          <w:rFonts w:ascii="Arial" w:cs="Arial" w:eastAsia="Arial" w:hAnsi="Arial"/>
          <w:sz w:val="18"/>
          <w:szCs w:val="18"/>
          <w:color w:val="auto"/>
        </w:rPr>
        <w:t>COLLABORATE Pro 600: includes video appliance, UNITE 200 camera, CHATAttach</w:t>
      </w:r>
      <w:r>
        <w:rPr>
          <w:rFonts w:ascii="Arial" w:cs="Arial" w:eastAsia="Arial" w:hAnsi="Arial"/>
          <w:sz w:val="30"/>
          <w:szCs w:val="30"/>
          <w:color w:val="auto"/>
          <w:vertAlign w:val="superscript"/>
        </w:rPr>
        <w:t>®</w:t>
      </w:r>
      <w:r>
        <w:rPr>
          <w:rFonts w:ascii="Arial" w:cs="Arial" w:eastAsia="Arial" w:hAnsi="Arial"/>
          <w:sz w:val="18"/>
          <w:szCs w:val="18"/>
          <w:color w:val="auto"/>
        </w:rPr>
        <w:t xml:space="preserve"> 150 speakerphones, and 90-days subscription to Spontania cloud video, audio and web conferencing, SIP/H.323 video conferencing with 4-way built-in MCU, in-room wireless presentation, optional Skype for Business native integration, capture recording and streaming. This solution is targeted at medium-size rooms.</w:t>
      </w:r>
    </w:p>
    <w:p>
      <w:pPr>
        <w:spacing w:after="0" w:line="206" w:lineRule="exact"/>
        <w:rPr>
          <w:sz w:val="20"/>
          <w:szCs w:val="20"/>
          <w:color w:val="auto"/>
        </w:rPr>
      </w:pPr>
    </w:p>
    <w:p>
      <w:pPr>
        <w:jc w:val="both"/>
        <w:ind w:right="140"/>
        <w:spacing w:after="0" w:line="227" w:lineRule="auto"/>
        <w:rPr>
          <w:sz w:val="20"/>
          <w:szCs w:val="20"/>
          <w:color w:val="auto"/>
        </w:rPr>
      </w:pPr>
      <w:r>
        <w:rPr>
          <w:rFonts w:ascii="Arial" w:cs="Arial" w:eastAsia="Arial" w:hAnsi="Arial"/>
          <w:sz w:val="18"/>
          <w:szCs w:val="18"/>
          <w:color w:val="auto"/>
        </w:rPr>
        <w:t>COLLABORATE Pro 900: includes video appliance, UNITE 200 camera, CONVERGE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 installed audio endpoint, Beamforming Microphone Array and 90-days subscription to Spontania cloud video, audio and web conferencing, SIP/H.323 video conferencing with 4-way built-in MCU, multi-user in-room wireless presentation, optional Skype for Business native integration, capture recording and streaming. This solution is targeted at medium and large-size rooms.</w:t>
      </w:r>
    </w:p>
    <w:p>
      <w:pPr>
        <w:spacing w:after="0" w:line="20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Our Media Collaboration series also includes Spontania cloud video, audio and web conferencing service that can be deployed on-premises or in the cloud. Spontania offers all sort of collaboration tools such as screen sharing, application sharing, whiteboard, annotation over presentation, recording, hand-raise and chat. The service is targeted for any workspace including mobile, desktop and rooms of any size; and multiple use cases including meetings, classrooms and training sessions.</w:t>
      </w:r>
    </w:p>
    <w:p>
      <w:pPr>
        <w:spacing w:after="0" w:line="18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Bring your own video and web conferencing – COLLABORATE Versa 150 includes USB PTZ camera, speakerphone and central hub that connects the laptop to the meeting room peripherals via single USB 3.0 connectivity. COLLABORATE Versa 150, compatible with Cisco WebEx, Google Hangouts, Microsoft Skype for Business and more, is also bundled with 90-days free subscription of Spontania cloud video, audio and web conferencing. This solution is targeted at huddle spaces and medium conference rooms.</w:t>
      </w:r>
    </w:p>
    <w:p>
      <w:pPr>
        <w:spacing w:after="0" w:line="187"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UNITE 200/150 is a professional-grade PTZ camera series supporting USB, HDMI and IP connectivity. It delivers 1080p HD resolution, 12X optical zoom and is compatible with PC-based and Pro-AV applications, supporting wide range of meeting spaces.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Network Media Streaming and Digital Signage</w:t>
      </w:r>
      <w:r>
        <w:rPr>
          <w:rFonts w:ascii="Arial" w:cs="Arial" w:eastAsia="Arial" w:hAnsi="Arial"/>
          <w:sz w:val="18"/>
          <w:szCs w:val="18"/>
          <w:color w:val="auto"/>
        </w:rPr>
        <w: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network media streaming products are primarily sold under VIEW™ and VIEW Pro brands deliver the ultimate IP A/V experience by streaming time sensitive high definition audio and video and control over TCP/IP networks. By combining audio and/or video content, meta-data and control signals into one digital stream in harmony with industry standards, its distributed, edge of the network architecture allows the hardware and the processing power to be distributed across any existing TCP/IP network. This leverages many of the advantages of using TCP/IP over traditional analog systems and other centrally controlled IP-based systems. The ClearOne VIEW and VIEW Pro products are powered by ClearOne’s patented StreamNet® technology. A user can activate and control a single audio source or combination of audio sources, video sources, security systems, HVAC systems, lighting, and other room or facility monitoring functions such as paging or security access by just a single touch to its attractive touch screens. Alternatively, any PC, laptop, tablet, iPod, or other device with a built-in web browser with Flash can control the equipment connected to the system. The VIEW and VIEW Pro systems have no limits on the numbers of sources, displays, or amplifiers in a project and can be used in venues from high-end residential homes to large-scale commercial projects. The number of devices could be determined by the network bandwidth availability, number of media streams and its bandwidth requirements.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Converting an audio or video signal to TCP/IP preserves the digital quality of the signal across the network. Unlike analog systems, which lose quality over long distances, TCP/IP packets are decoded to retain the same digital quality as contained when they were encoded. The addition of Digital Encoder and Digital Decoder products with DVI/HDMI input and output enhances the flexibility of complete AV distribution system and makes it as easy to use as analog devices.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VIEW Pro solution provides 1080p60, H.264 high definition HDMI video-audio, 4:4:4 true-color, 24 bit per pixel video output. It comes with dual inputs encoder, single input encoder and single output decoder with balanced audio, general purpose control ports and clock synchronized video output. VIEW Pro</w:t>
      </w:r>
    </w:p>
    <w:p>
      <w:pPr>
        <w:jc w:val="both"/>
        <w:spacing w:after="0" w:line="229" w:lineRule="auto"/>
        <w:rPr>
          <w:sz w:val="20"/>
          <w:szCs w:val="20"/>
          <w:color w:val="auto"/>
        </w:rPr>
      </w:pPr>
      <w:r>
        <w:rPr>
          <w:rFonts w:ascii="Arial" w:cs="Arial" w:eastAsia="Arial" w:hAnsi="Arial"/>
          <w:sz w:val="18"/>
          <w:szCs w:val="18"/>
          <w:color w:val="auto"/>
        </w:rPr>
        <w:t>system also provides PANORAMA</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 a multi-view video composition and video-wall software application using its built-in video processing engine, without using external expensive hardware video processors. This continues to be truly differentiated in the professional market by offering complete AV streaming and distribution systems that can scale to fulfill projects of any size and complexity, from light commercial to the very largest environments. VIEW Pro products include E110 and E120 encoders and D110, D210 and D310 decoders. VIEW Pro solution also comes with multiple license options including audio mixing, video composition, video wall, multicast RTSP and local playback.</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2016, we introduced the new VIEW CONSOLE configuration management software. This software gives integrators a comprehensive platform from which to configure, manage, monitor, and control VIEW system installation using an easy, modern interface. The new toolset, which spotlights the latest in advanced software development technologies, works across ClearOne’s full line of VIEW/VIEW Pro products. In 2017, we released an updated version of VIEW CONSOLE and PANORAMA software applications.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the end of May 2016, we introduced a new flexible and single-channel-priced VIEW® Pro E110 Encoder — designed for single-media input settings. E110 Encoder delivers high-quality video with configurable 4:4:4 and 4:2:0 color sampling; standards-based streaming formats; 1080p60, H.264-based, high-profile encoding with lossless compression; very low end-to-end latency; and full HDCP support. We also introduced the innovative new entry-level VIEW Pro D310 Decoder featuring all the basic functionality to fully satisfy simple applications while delivering superb price-to-performance value. D310 Decoder features convenience in its small footprint and easy mounting behind any display. It delivers full-screen, single-image video; high-quality video with 4:2:0 video color sampling; and 1080p60, H.264-based high-profile decoding with lossless compression.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primarily use a two-tier channel model through which we sell our commercial products to a worldwide network of independent professional audiovisual, information technology and telecommunications distributors, who then sell our products to independent systems integrators, dealers, and value-added resellers, who in turn work directly with the end-users of our products for product fulfillment and installation, if needed. Our products are also specified and recommended by professional audio-video consultants. We also sell our commercial products directly to certain dealers, systems integrators, value-added resellers, and end-users.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product sales generated in the United States and outside the United States for the years ended December 31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Revenue in millions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2017</w:t>
            </w:r>
          </w:p>
        </w:tc>
        <w:tc>
          <w:tcPr>
            <w:tcW w:w="5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2016</w:t>
            </w:r>
          </w:p>
        </w:tc>
        <w:tc>
          <w:tcPr>
            <w:tcW w:w="5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2015</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Revenue</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Revenue</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In the United States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Outside United States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18.2</w:t>
            </w: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3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3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sell directly to our distributors, resellers and end-users in approximately 61 countries worldwide. We anticipate that the portion of our total product revenue from international sales will continue to be a significant portion of our total revenue as we further enhance our focus on developing new products, establishing new channel partners, strengthening our presence in key growth areas, complying with regional environmental regulatory standards, and improving product localization with country-specific product documentation and marketing materials.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Distributors, Resellers and Independent Integrators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sold our products directly to approximately 378 distributors and direct resellers throughout the world during 2017. Distributors and resellers purchase our products at a discount from list price and resell them worldwide to hundreds of independent systems integrators, telephony value-added resellers, IT value-added resellers, and PC dealers on a non-exclusive basis. Our distributors maintain their own inventory and accounts receivable and are required to provide technical and non-technical support for our products to the next level of distribution participants. We work with our distributors and resellers to establish appropriate inventory stocking levels. We also work with our distributors and resellers to maintain relationships with our existing systems integrators, dealers, and other value-added resellers.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dealers, resellers, and system integrators all sell our products directly to the end-users, system integrators typically add significant value to each sale by combining our products with products from other manufacturers as part of an integrated system solution. Commercial dealers and value-added resellers usually purchase our products from distributors and may bundle our products with products from other manufacturers for resale to the end-user. We maintain close working relationships with all our reseller partners and offer them education and training on all of our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Much of our marketing effort is conducted in conjunction with our channel partners who provide leverage for us in reaching existing and prospective customers worldwide. We also regularly attend industry forums and exhibit our products at multiple regional and international trade shows, often with our channel partners. These trade shows provide exposure for our brand and products to a wide audience. We market our ClearOne-branded commercial products on our website www.clearone.com. We also conduct public relations initiatives to get press coverage and product reviews in industry and non-industry publications alike.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do not get comprehensive reports from our distributors and resellers that identify our end-users. As a result, we do not know whether any end-user accounted for more than 10 percent of our total revenue during any of the periods reported in this Annual Report. However, revenues included sales to Starin Marketing, which represented approximately 16% of consolidated revenue during the year ended December 31, 2017 with no other customer accounting for more that 10 percent. During the year ended December 31, 2016 sales to Starin Marketing represented approximately 16.3% of consolidated revenue with no other customer accounting for more that 10 percent. During the year ended December 31, 2015 sales to Starin Marketing and VSO represented approximately 14.2% and 10.4% of consolidated revenue with no other customer accounting for more that 10 percent.</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discussed above, distributors facilitate product sales to a large number of independent systems integrators, dealers, and value-added resellers, and subsequently to their end-users. The loss of one or more distributors could reduce revenue and have a material adverse effect on our business and results of operations. Our shipped orders on which we had not recognized revenue were $4.6 million and $3.9 million as of December 31, 2017 and 2016, respectively. We had a backlog of unshipped orders of approximately $0.2 million and $0.6 million as of December 31, 2017 and 2016,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audio-visual product markets are characterized by intense competition, rapidly evolving technology, and increased business consolidation. We compete with businesses having substantially greater financial, research and product development, manufacturing, marketing, and other resources. If we are not able to continually design, manufacture, and successfully market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 Our competitors vary within each product category. We believe we are able to differentiate ourselves and therefore successfully compete as a result of the high audio quality of our products resulting from a combination of proprietary and highly advanced audio signal processing technologies and networking technology in the form of trade secrets and patented intellectual property, technical and channel support services, and the strength of our channels and brands. It is critical for our success to be able to defend our intellectual property including trademarks, trade secrets and patents from our competitors who have far more resources.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principal factors driving sales are the following:</w:t>
      </w:r>
    </w:p>
    <w:p>
      <w:pPr>
        <w:spacing w:after="0" w:line="225" w:lineRule="exact"/>
        <w:rPr>
          <w:sz w:val="20"/>
          <w:szCs w:val="20"/>
          <w:color w:val="auto"/>
        </w:rPr>
      </w:pPr>
    </w:p>
    <w:p>
      <w:pPr>
        <w:ind w:left="760" w:hanging="442"/>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Quality, features and functionality, and ease of use of the products;</w:t>
      </w:r>
    </w:p>
    <w:p>
      <w:pPr>
        <w:spacing w:after="0" w:line="23" w:lineRule="exact"/>
        <w:rPr>
          <w:rFonts w:ascii="Arial" w:cs="Arial" w:eastAsia="Arial" w:hAnsi="Arial"/>
          <w:sz w:val="18"/>
          <w:szCs w:val="18"/>
          <w:color w:val="auto"/>
        </w:rPr>
      </w:pPr>
    </w:p>
    <w:p>
      <w:pPr>
        <w:ind w:left="760" w:hanging="442"/>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Broad and deep global channel partnerships;</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established history of successful worldwide installations for diverse vertical markets;</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Brand name recognition and acceptance;</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Quality of customer and partner sales and technical support services; and</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 sales and marketing.</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professional audio conferencing system and sound reinforcement markets our main competitors include AcousticMagic, AMX Harman, Audio Technica, Biamp, BOSE, Crestron, Extron, BSS Harman, Peavey, Phoenix Audio, Polycom, QSC, Shure, Symetrix, Vaddio and Yamaha and their original equipment manufacturing (OEM) partners, along with several other companies potentially poised to enter the market. We occupy the number one position in the global professional audio conferencing market with more than 50% of the global market share.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professional microphones market, our primary competitors include AKG, Audio Technica, Audix, Avlex/Mipro, Beyerdynamic, Biamp, Clock Audio, Lectrosonics, Nureva, Mediavision/Taiden, Polycom, Phoenix Audio, Sennheiser, Shure, TeachLogic, TOA, Yamaha/Revolabs and Vaddio and their OEM partners.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traditional tabletop conferencing market, we face significant competition from Avaya/Konftel, Phoenix Audio, Polycom and Yamaha, and especially from their OEM partnerships. A significant portion of the tabletop market is covered by sales through OEM partnerships. While we believe MAX products have unique features and superior quality, our limited OEM partnerships and pricing pressures from higher volume competitors limit our ability to expand our existing share of this market.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primary competitors in the personal conferencing market are GN Netcom (Jabra), Logitech, Phoenix Audio, Plantronics, Polycom, Sennheiser and Yamaha and their OEM partners.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video conferencing products face tremendous competition from well established players as well as emerging players, including Acano, Adobe Connect, Amazon Chime, Avaya (Radvision), Aver, Barco, Blackboard Collaborate, Blue Jeans, Christie Digital, Cisco, Citrix, Fuze, Huawei, IDK AV, InFocus, Kramer, LifeSize, Magor, Pexip, Polycom, Microsoft Skype for Business, Starleaf, Telylabs, UNIFY, Videxio, Vidyo, Yealink, Zoom, ZTE, Highfive, Google, Tixeo and Owl Labs. We believe the migration of video conferencing from hardware-based codecs to software-based codecs provides an opportunity for us to differentiate our products and gain market share.</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network streaming products which includes digital signage products face intense competition from a few well-established corporations of diversified capabilities and strengths, including AMX, Atlona, Aurora Multimedia, Barco, Biamp, Broadsign, Cisco, Christie Digital, Crestron, Extron, Gefen, Goopie, Haivision, Hall Research, IDK AV, Infocus (Jupiter), Key Digital, Kramer, Liberty AV, Magenta Research, Matrox, Mediasite, Ncast, RGB Spectrum, Scala, Spinetix, SVSi, voLANte, Tightrope, Teracue, tvONE, UCView, VBrick, Visionary Solutions, Visix, WyreStorm and ZeeVee. We believe that our software based patented technology delivers superior audio and video streaming performance and flexibility and provides us with a competitive edge over other industry players.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Regulations regarding product safety, product operational agency compliance, the materials used in manufacturing, the process of disposing of electronic equipment and the efficient use of energy may require extensive lead-time to obtain regulatory approvals of new products in both domestic and international markets. Such regulations may impact our ability to expand our sales in a timely and cost-effective manner and, as a result, our business could be harmed.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Availability of Raw Materials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manufacture our products through electronics manufacturing services (“EMS”) providers, who are generally responsible for sourcing and procuring required raw materials and components. Most of the components that our EMS providers require for manufacturing our products are readily available from a number of sources. During 2017, we witnessed a significant tightening of the electronics market with demand for electronic products especially for memories and processors far exceeding the supply caused price increases and longer fulfillment cycles.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continually work with our EMS providers to seek alternative sources for all our components and raw material requirements to ensure higher quality and better pricing. Most of our EMS providers and their vendors are duly qualified by our corporate quality assurance process. We work with our EMS providers to ensure that raw materials and components conform to our specifications.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Currently, all of our products are manufactured by EMS providers. Our primary EMS provider is Flextronics. The digital signage products are assembled in our Salt Lake City, Utah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recognize a consistent pattern between the quarters to identify seasonality.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Product Development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committed to research and product development and view our continued investment in research and product development as a key ingredient to our long-term business success. Our research and product development expenditures were approximately $9.3 million, $8.6 million and $8.3 million, during the years ended December 31, 2017, 2016 and 2015, respectively.</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core competencies in research and product development include (a) many audio technologies, including acoustic echo cancellation, noise cancellation and other advanced adaptive digital signal processing technologies, (b) networking and multimedia streaming technologies, and (c) video technologies. We also have expertise in wireless technologies, VoIP, software and network application, and digital signage system development. We believe that continued investment in our core technological competencies is vital to developing new products and to enhancing existing products.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ITEM 1 - BUSINESS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success depends in part on our ability to protect our proprietary rights. We rely on a combination of patent, copyright, trademark, and trade secret laws and confidentiality agreements and processes to protect our proprietary rights.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2017, we had approximately 87 patents and 21 pending patent applications, including foreign counterpart patents and foreign applications. Our patents and pending patent applications cover a wide range of our products and services including, but not limited to acoustic echo cancellation, beamforming microphone arrays, systems that enable streaming media over IP networks, algorithms for video processing, wireless conferencing systems, spatial audio, and technologies for the Internet of Things. The durations of our patents are determined by the laws of the country of issuance. For the U.S., patents may be 17 years from the date of issuance of the patent or 20 years from the date of its filing, depending upon when the patent application was filed. In addition, we hold numerous trademarks, both in the U.S. and in other countries. The laws of foreign countries may not protect our intellectual property to the same degree as the laws of the United States.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will obtain patents and other intellectual property rights used in connection with our business when practicable and appropriate. Our intellectual property policy is to protect our products, technology and processes by asserting our intellectual property rights where appropriate and prudent. From time to time, assertions of infringement of certain patents or other intellectual property rights of others have been made against us. In addition, certain pending claims against a competitor are in various stages of litigation. See </w:t>
      </w:r>
      <w:r>
        <w:rPr>
          <w:rFonts w:ascii="Arial" w:cs="Arial" w:eastAsia="Arial" w:hAnsi="Arial"/>
          <w:sz w:val="16"/>
          <w:szCs w:val="16"/>
          <w:u w:val="single" w:color="auto"/>
          <w:color w:val="auto"/>
        </w:rPr>
        <w:t>Part I, Item 3. Legal Proceedings</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Note 8 – Commitments and Contingencies</w:t>
      </w:r>
      <w:r>
        <w:rPr>
          <w:rFonts w:ascii="Arial" w:cs="Arial" w:eastAsia="Arial" w:hAnsi="Arial"/>
          <w:sz w:val="16"/>
          <w:szCs w:val="16"/>
          <w:color w:val="auto"/>
        </w:rPr>
        <w:t xml:space="preserve"> of the Notes to Consolidated Financial Statements (Part II, Item 8) for information regarding current legal proceedings involving our intellectual property rights.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dependent on our intellectual property. If we are not able to protect our proprietary rights or if those rights are invalidated or circumvented, our business may be adversely affected. We may be subject to litigation and infringement claims, which could cause us to incur significant expenses or prevent us from selling our products or services. For more information concerning the risks related to patents, trademarks, and other intellectual property, please see “Risk Factors-Risks Related to our Business.”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generally require our employees, certain customers and partners to enter into confidentiality and non-disclosure agreements before we disclose any confidential aspect of our technology, services, or business. In addition, our employees are required to assign to us any proprietary information, inventions, or other technology created during the term of their employment with us. However, these precautions may not be sufficient to protect us from misappropriation or infringement of our intellectual property.</w:t>
      </w:r>
    </w:p>
    <w:p>
      <w:pPr>
        <w:spacing w:after="0" w:line="187" w:lineRule="exact"/>
        <w:rPr>
          <w:sz w:val="20"/>
          <w:szCs w:val="20"/>
          <w:color w:val="auto"/>
        </w:rPr>
      </w:pPr>
    </w:p>
    <w:p>
      <w:pPr>
        <w:jc w:val="both"/>
        <w:ind w:left="20"/>
        <w:spacing w:after="0" w:line="270" w:lineRule="auto"/>
        <w:rPr>
          <w:sz w:val="20"/>
          <w:szCs w:val="20"/>
          <w:color w:val="auto"/>
        </w:rPr>
      </w:pPr>
      <w:r>
        <w:rPr>
          <w:rFonts w:ascii="Arial" w:cs="Arial" w:eastAsia="Arial" w:hAnsi="Arial"/>
          <w:sz w:val="17"/>
          <w:szCs w:val="17"/>
          <w:color w:val="auto"/>
        </w:rPr>
        <w:t>On April 25, 2017, the Company was awarded a new patent, U.S. Patent No. 9,635,186 (the “186 Patent”), which relates to a system and method involving the combination of echo cancellation and beamforming microphone arrays. Also on April 25, 2017, the Company filed a lawsuit in the U.S. Federal District Court in the District of Utah against three parties—Shure, Inc. (“Shure”), Biamp Systems Corporation (“Biamp”), and QSC Audio Products, LLC (“QSC,” together with Shure and Biamp, collectively, the “Defendants”), alleging that the Defendants were jointly and indirectly infringing the newly issued ‘186 Patent (the “Infringement Action”). On that same day, Shure filed a separate action in the U.S. Federal District Court in the Northern District of Illinois (the “Illinois Action”) requesting a declaratory judgment as to the invalidity or non-infringement with respect to the ‘186 Patent. The Illinois Action also seeks the same declaratory judgment with respect to another Company patent, United States Patent No. 9,264,553 (the “553 Patent”), and which has not been asserted by the Company against any defendant and has been submitted to the USPTO for reissue. In early 2018, Shure added a claim that the ‘186 Patent is unenforceable.</w:t>
      </w:r>
    </w:p>
    <w:p>
      <w:pPr>
        <w:spacing w:after="0" w:line="3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20" w:top="118" w:right="379" w:bottom="1440" w:gutter="0" w:footer="0" w:header="0"/>
        </w:sectPr>
      </w:pPr>
    </w:p>
    <w:bookmarkStart w:id="14" w:name="page15"/>
    <w:bookmarkEnd w:id="14"/>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 RISK FACTORS</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20"/>
        <w:spacing w:after="0" w:line="257" w:lineRule="auto"/>
        <w:rPr>
          <w:sz w:val="20"/>
          <w:szCs w:val="20"/>
          <w:color w:val="auto"/>
        </w:rPr>
      </w:pPr>
      <w:r>
        <w:rPr>
          <w:rFonts w:ascii="Arial" w:cs="Arial" w:eastAsia="Arial" w:hAnsi="Arial"/>
          <w:sz w:val="18"/>
          <w:szCs w:val="18"/>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annual report on Form 10-K, including our consolidated financial statements and related notes.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225"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i w:val="1"/>
          <w:iCs w:val="1"/>
          <w:color w:val="auto"/>
        </w:rPr>
        <w:t>A material weakness has been identified in our internal control over financial reporting. If we fail to remediate and maintain effective internal control over financial reporting, we may be unable to report our financial results accurately on a timely basis, investors could lose confidence in our reported financial information, the trading price of our common shares could decline and our access to the capital markets or other financing sources could become limited.</w:t>
      </w:r>
    </w:p>
    <w:p>
      <w:pPr>
        <w:spacing w:after="0" w:line="147" w:lineRule="exact"/>
        <w:rPr>
          <w:sz w:val="20"/>
          <w:szCs w:val="20"/>
          <w:color w:val="auto"/>
        </w:rPr>
      </w:pPr>
    </w:p>
    <w:p>
      <w:pPr>
        <w:jc w:val="both"/>
        <w:ind w:right="140"/>
        <w:spacing w:after="0" w:line="271" w:lineRule="auto"/>
        <w:rPr>
          <w:sz w:val="20"/>
          <w:szCs w:val="20"/>
          <w:color w:val="auto"/>
        </w:rPr>
      </w:pPr>
      <w:r>
        <w:rPr>
          <w:rFonts w:ascii="Arial" w:cs="Arial" w:eastAsia="Arial" w:hAnsi="Arial"/>
          <w:sz w:val="17"/>
          <w:szCs w:val="17"/>
          <w:color w:val="auto"/>
        </w:rPr>
        <w:t>In connection with the audit of our consolidated financial statements as of December 31, 2017, our independent registered public accounting firm identified deficiencies in our system of internal control over financial reporting that it considered to be a material weakness in the operation of certain of our controls that would have prevented and detected a misstatement on a timely basis, and therefore, affected our ability to ensure timely and accurate reporting of our financial condition and results of operations. The Public Company Accounting Oversight Board's Auditing Standard No. 5 defines a material weakness as a deficiency, or a combination of deficiencies, in internal control over financial reporting, such that there is a reasonable possibility that a material misstatement of annual or interim financial statements will not be prevented or detected on a timely basis. The identified material weakness related to our lack of formally designed processes and controls to prevent or mitigate the risk of material errors from occurring within our consolidated financial statements. See Part II, Item 9A, “Controls and Procedures.”</w:t>
      </w:r>
    </w:p>
    <w:p>
      <w:pPr>
        <w:spacing w:after="0" w:line="179" w:lineRule="exact"/>
        <w:rPr>
          <w:sz w:val="20"/>
          <w:szCs w:val="20"/>
          <w:color w:val="auto"/>
        </w:rPr>
      </w:pPr>
    </w:p>
    <w:p>
      <w:pPr>
        <w:jc w:val="both"/>
        <w:ind w:right="140"/>
        <w:spacing w:after="0" w:line="272" w:lineRule="auto"/>
        <w:rPr>
          <w:sz w:val="20"/>
          <w:szCs w:val="20"/>
          <w:color w:val="auto"/>
        </w:rPr>
      </w:pPr>
      <w:r>
        <w:rPr>
          <w:rFonts w:ascii="Arial" w:cs="Arial" w:eastAsia="Arial" w:hAnsi="Arial"/>
          <w:sz w:val="17"/>
          <w:szCs w:val="17"/>
          <w:color w:val="auto"/>
        </w:rPr>
        <w:t>We have initiated remedial measures, however there can be no assurance that these actions, as well as further actions we may take, will allow us to remediate this material weakness and provide a solid foundation to meet our reporting obligations under the Exchange Act. If we fail to implement and maintain effective internal control over financial reporting (including appropriately and effectively remediating this material weakness), or if additional material weaknesses in our internal control over financial reporting are discovered or occur in the future, our consolidated financial statements may contain material misstatements, and we could be required to restate our financial results. In addition, if we are unable to successfully remediate this material weakness and if we are unable to produce accurate and timely financial statements, our stock price may be materially adversely affected and we may be unable to maintain compliance with applicable stock exchange listing requirements.</w:t>
      </w:r>
    </w:p>
    <w:p>
      <w:pPr>
        <w:spacing w:after="0" w:line="178"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i w:val="1"/>
          <w:iCs w:val="1"/>
          <w:color w:val="auto"/>
        </w:rPr>
        <w:t>We face intense competition in all markets for our products and services and our operating results will be adversely affected if we cannot compete effectively against other companies.</w:t>
      </w:r>
    </w:p>
    <w:p>
      <w:pPr>
        <w:spacing w:after="0" w:line="170"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The markets for our products and services are characterized by intense competition, pricing pressures and rapid technological change. Our competitive landscape continues to rapidly evolve, in particular with respect to our video-related services and products, as we move into new markets for video collaboration such as mobile, social and cloud-delivered video. We compete with businesses having substantially greater financial, research and product development, manufacturing, marketing, and other resources than we do.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Difficulties in estimating customer demand in our products segment could harm our profit margins.</w:t>
      </w:r>
    </w:p>
    <w:p>
      <w:pPr>
        <w:spacing w:after="0" w:line="225" w:lineRule="exact"/>
        <w:rPr>
          <w:sz w:val="20"/>
          <w:szCs w:val="20"/>
          <w:color w:val="auto"/>
        </w:rPr>
      </w:pPr>
    </w:p>
    <w:p>
      <w:pPr>
        <w:jc w:val="both"/>
        <w:ind w:left="20"/>
        <w:spacing w:after="0" w:line="289" w:lineRule="auto"/>
        <w:rPr>
          <w:sz w:val="20"/>
          <w:szCs w:val="20"/>
          <w:color w:val="auto"/>
        </w:rPr>
      </w:pPr>
      <w:r>
        <w:rPr>
          <w:rFonts w:ascii="Arial" w:cs="Arial" w:eastAsia="Arial" w:hAnsi="Arial"/>
          <w:sz w:val="16"/>
          <w:szCs w:val="16"/>
          <w:color w:val="auto"/>
        </w:rPr>
        <w:t>Orders from our distributors and other distribution participants are based on demand from end-users. Prospective end-user demand is difficult to measure. This means that our revenue during any fiscal quarter could be adversely impacted by low end-user demand, which could in turn negatively affect orders we receive from distributors and dealers. Our expectations for both short and long-term future net revenues are based on our own estimates of future demand. Revenue for any particular time period is difficult to predict with any degree of certainty. We typically ship products within a short time after we receive an order; consequently, unshipped backlog has not historically been a good indicator of future revenue. We believe that the level of backlog is dependent in part on our ability to forecast revenue mix and plan our manufacturing accordingly. A significant portion of our customers’ orders are received during the last month of the quarter. We budget the amount of our expenses based on our revenue estimates. If our estimates of sales are not accurate and we experience unforeseen variability in our revenue and operating results, we may be unable to adjust our expense levels accordingly and our gross profit and results of operations will be adversely affected. Higher inventory levels or stock shortages may also result from difficulties in estimating customer demand.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protect our intellectual property rights or have insufficient proprietary rights, our business would be materially impaired.</w:t>
      </w:r>
    </w:p>
    <w:p>
      <w:pPr>
        <w:spacing w:after="0" w:line="225" w:lineRule="exact"/>
        <w:rPr>
          <w:sz w:val="20"/>
          <w:szCs w:val="20"/>
          <w:color w:val="auto"/>
        </w:rPr>
      </w:pPr>
    </w:p>
    <w:p>
      <w:pPr>
        <w:jc w:val="both"/>
        <w:ind w:right="140"/>
        <w:spacing w:after="0" w:line="269" w:lineRule="auto"/>
        <w:rPr>
          <w:sz w:val="20"/>
          <w:szCs w:val="20"/>
          <w:color w:val="auto"/>
        </w:rPr>
      </w:pPr>
      <w:r>
        <w:rPr>
          <w:rFonts w:ascii="Arial" w:cs="Arial" w:eastAsia="Arial" w:hAnsi="Arial"/>
          <w:sz w:val="17"/>
          <w:szCs w:val="17"/>
          <w:color w:val="auto"/>
        </w:rPr>
        <w:t>We currently rely primarily on a combination of trade secrets, copyrights, trademarks, patents, patents pending, and nondisclosure agreements to establish and protect our proprietary rights in our products. Our success is dependent in part on obtaining, maintaining and enforcing our intellectual property rights If we are unable to obtain, maintain and enforce intellectual property legal protection covering our products, then no assurances can be given that others will not independently develop technologies similar to ours, or duplicate or design around aspects of our technology. In addition, we cannot assure that any patent or registered trademark owned by us will not be invalidated, circumvented or challenged, or that the rights granted thereunder will provide competitive advantages to us. Costly litigation may be necessary to enforce our intellectual property rights. We believe our products and other proprietary rights do not infringe upon any proprietary rights of third parties; however, we cannot ensure that third parties will not assert infringement claims in the future. We currently hold only a limited number of patents. To the extent that we have patentable technology that is material to our business and for which we have not filed patent applications, others may be able to use such technology or even gain priority over us by patenting such technology themselves, which could have a material adverse effect on our business. With respect to any patent application we have filed, we cannot ensure that a patent will be awarded.</w:t>
      </w:r>
    </w:p>
    <w:p>
      <w:pPr>
        <w:sectPr>
          <w:pgSz w:w="11900" w:h="16838" w:orient="portrait"/>
          <w:cols w:equalWidth="0" w:num="1">
            <w:col w:w="11440"/>
          </w:cols>
          <w:pgMar w:left="22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105410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0" w:gutter="0" w:footer="0" w:header="0"/>
          <w:type w:val="continuous"/>
        </w:sectPr>
      </w:pPr>
    </w:p>
    <w:bookmarkStart w:id="15" w:name="page16"/>
    <w:bookmarkEnd w:id="15"/>
    <w:p>
      <w:pPr>
        <w:ind w:left="28"/>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27"/>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ind w:left="8" w:right="480"/>
        <w:spacing w:after="0" w:line="277" w:lineRule="auto"/>
        <w:rPr>
          <w:sz w:val="20"/>
          <w:szCs w:val="20"/>
          <w:color w:val="auto"/>
        </w:rPr>
      </w:pPr>
      <w:r>
        <w:rPr>
          <w:rFonts w:ascii="Arial" w:cs="Arial" w:eastAsia="Arial" w:hAnsi="Arial"/>
          <w:sz w:val="18"/>
          <w:szCs w:val="18"/>
          <w:i w:val="1"/>
          <w:iCs w:val="1"/>
          <w:color w:val="auto"/>
        </w:rPr>
        <w:t>We are currently subject to patent litigation, including claims challenging the validity and enforceability of some of our patents, which could cause us to incur significant expenses or prevent us from protecting our products or services against competing products.</w:t>
      </w:r>
    </w:p>
    <w:p>
      <w:pPr>
        <w:spacing w:after="0" w:line="170" w:lineRule="exact"/>
        <w:rPr>
          <w:sz w:val="20"/>
          <w:szCs w:val="20"/>
          <w:color w:val="auto"/>
        </w:rPr>
      </w:pPr>
    </w:p>
    <w:p>
      <w:pPr>
        <w:ind w:left="8" w:right="280"/>
        <w:spacing w:after="0" w:line="286" w:lineRule="auto"/>
        <w:rPr>
          <w:sz w:val="20"/>
          <w:szCs w:val="20"/>
          <w:color w:val="auto"/>
        </w:rPr>
      </w:pPr>
      <w:r>
        <w:rPr>
          <w:rFonts w:ascii="Arial" w:cs="Arial" w:eastAsia="Arial" w:hAnsi="Arial"/>
          <w:sz w:val="16"/>
          <w:szCs w:val="16"/>
          <w:color w:val="auto"/>
        </w:rPr>
        <w:t xml:space="preserve">Our industry is characterized by vigorous protection of intellectual property rights. We have initiated litigation to enforce our intellectual property rights, which has resulted in our adversaries in such litigation challenging the validity, scope, and/or enforceability of our intellectual property. Irrespective of the merits of these claims, any resulting litigation could be costly and time consuming and could divert the attention of management and key personnel from other business issues. The complexity of the technology involved and the uncertainty of intellectual property litigation increase these risks. See </w:t>
      </w:r>
      <w:r>
        <w:rPr>
          <w:rFonts w:ascii="Arial" w:cs="Arial" w:eastAsia="Arial" w:hAnsi="Arial"/>
          <w:sz w:val="16"/>
          <w:szCs w:val="16"/>
          <w:u w:val="single" w:color="auto"/>
          <w:color w:val="auto"/>
        </w:rPr>
        <w:t>Part I, Item</w:t>
      </w:r>
    </w:p>
    <w:p>
      <w:pPr>
        <w:spacing w:after="0" w:line="2" w:lineRule="exact"/>
        <w:rPr>
          <w:sz w:val="20"/>
          <w:szCs w:val="20"/>
          <w:color w:val="auto"/>
        </w:rPr>
      </w:pPr>
    </w:p>
    <w:p>
      <w:pPr>
        <w:ind w:left="8" w:right="540" w:hanging="8"/>
        <w:spacing w:after="0" w:line="261" w:lineRule="auto"/>
        <w:tabs>
          <w:tab w:leader="none" w:pos="188" w:val="left"/>
        </w:tabs>
        <w:numPr>
          <w:ilvl w:val="0"/>
          <w:numId w:val="1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Legal Proceedings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Note 8 – Commitments and Contingencies</w:t>
      </w:r>
      <w:r>
        <w:rPr>
          <w:rFonts w:ascii="Arial" w:cs="Arial" w:eastAsia="Arial" w:hAnsi="Arial"/>
          <w:sz w:val="18"/>
          <w:szCs w:val="18"/>
          <w:color w:val="auto"/>
        </w:rPr>
        <w:t xml:space="preserve"> of the Notes to Consolidated Financial Statements (Part II, Item 8) for information regarding current legal proceedings involving our intellectual property rights.</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Our sales depend to a certain extent on government funding and regulation.</w:t>
      </w:r>
    </w:p>
    <w:p>
      <w:pPr>
        <w:spacing w:after="0" w:line="225" w:lineRule="exact"/>
        <w:rPr>
          <w:sz w:val="20"/>
          <w:szCs w:val="20"/>
          <w:color w:val="auto"/>
        </w:rPr>
      </w:pPr>
    </w:p>
    <w:p>
      <w:pPr>
        <w:jc w:val="both"/>
        <w:ind w:left="8"/>
        <w:spacing w:after="0" w:line="312" w:lineRule="auto"/>
        <w:rPr>
          <w:sz w:val="20"/>
          <w:szCs w:val="20"/>
          <w:color w:val="auto"/>
        </w:rPr>
      </w:pPr>
      <w:r>
        <w:rPr>
          <w:rFonts w:ascii="Arial" w:cs="Arial" w:eastAsia="Arial" w:hAnsi="Arial"/>
          <w:sz w:val="16"/>
          <w:szCs w:val="16"/>
          <w:color w:val="auto"/>
        </w:rPr>
        <w:t>In the audio conferencing products market, the revenue generated from sales of our audio conferencing products for distance learning and courtroom facilities depends on government funding. In the event government funding for such initiatives was reduced or became unavailable, our sales could be negatively impacted. Additionally, many of our products are subject to governmental regulations. New regulations could impact sales in a materially adverse manner.</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Environmental laws and regulations subject us to a number of risks and could result in significant costs and impact on revenue.</w:t>
      </w:r>
    </w:p>
    <w:p>
      <w:pPr>
        <w:spacing w:after="0" w:line="225" w:lineRule="exact"/>
        <w:rPr>
          <w:sz w:val="20"/>
          <w:szCs w:val="20"/>
          <w:color w:val="auto"/>
        </w:rPr>
      </w:pPr>
    </w:p>
    <w:p>
      <w:pPr>
        <w:ind w:left="8" w:right="140"/>
        <w:spacing w:after="0" w:line="264" w:lineRule="auto"/>
        <w:rPr>
          <w:sz w:val="20"/>
          <w:szCs w:val="20"/>
          <w:color w:val="auto"/>
        </w:rPr>
      </w:pPr>
      <w:r>
        <w:rPr>
          <w:rFonts w:ascii="Arial" w:cs="Arial" w:eastAsia="Arial" w:hAnsi="Arial"/>
          <w:sz w:val="18"/>
          <w:szCs w:val="18"/>
          <w:color w:val="auto"/>
        </w:rPr>
        <w:t>Regulations regarding the materials used in manufacturing, the process of disposing of electronic equipment and the efficient use of energy require us to take additional time to obtain regulatory approvals of new products in international markets. Such regulations may impact our ability to expand our sales in a timely and cost-effective manner and, as a result, our business could be harmed.</w:t>
      </w:r>
    </w:p>
    <w:p>
      <w:pPr>
        <w:spacing w:after="0" w:line="181"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Our profitability may be adversely affected by our continuing dependence on our distribution channels.</w:t>
      </w:r>
    </w:p>
    <w:p>
      <w:pPr>
        <w:spacing w:after="0" w:line="225" w:lineRule="exact"/>
        <w:rPr>
          <w:sz w:val="20"/>
          <w:szCs w:val="20"/>
          <w:color w:val="auto"/>
        </w:rPr>
      </w:pPr>
    </w:p>
    <w:p>
      <w:pPr>
        <w:jc w:val="both"/>
        <w:ind w:left="8"/>
        <w:spacing w:after="0" w:line="257" w:lineRule="auto"/>
        <w:rPr>
          <w:sz w:val="20"/>
          <w:szCs w:val="20"/>
          <w:color w:val="auto"/>
        </w:rPr>
      </w:pPr>
      <w:r>
        <w:rPr>
          <w:rFonts w:ascii="Arial" w:cs="Arial" w:eastAsia="Arial" w:hAnsi="Arial"/>
          <w:sz w:val="18"/>
          <w:szCs w:val="18"/>
          <w:color w:val="auto"/>
        </w:rPr>
        <w:t>We market our products primarily through a network of distributors who in turn sell our products to value-added resellers. All of our agreements with such distributors and other distribution participants are non-exclusive, terminable at will by both party, and generally short-term. No assurances can be given that any or all such distributors or other distribution participants will continue their relationship with us. Distributors and, to a lesser extent, value-added resellers cannot easily be replaced and any loss of revenues from these and other sources or our inability to reduce expenses to compensate for such loss of revenue could adversely affect our net revenue and profit margins.</w:t>
      </w:r>
    </w:p>
    <w:p>
      <w:pPr>
        <w:spacing w:after="0" w:line="188" w:lineRule="exact"/>
        <w:rPr>
          <w:sz w:val="20"/>
          <w:szCs w:val="20"/>
          <w:color w:val="auto"/>
        </w:rPr>
      </w:pPr>
    </w:p>
    <w:p>
      <w:pPr>
        <w:jc w:val="both"/>
        <w:ind w:left="28"/>
        <w:spacing w:after="0" w:line="297" w:lineRule="auto"/>
        <w:rPr>
          <w:sz w:val="20"/>
          <w:szCs w:val="20"/>
          <w:color w:val="auto"/>
        </w:rPr>
      </w:pPr>
      <w:r>
        <w:rPr>
          <w:rFonts w:ascii="Arial" w:cs="Arial" w:eastAsia="Arial" w:hAnsi="Arial"/>
          <w:sz w:val="16"/>
          <w:szCs w:val="16"/>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some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 and profit margins may be adversely affected.</w:t>
      </w:r>
    </w:p>
    <w:p>
      <w:pPr>
        <w:spacing w:after="0" w:line="158" w:lineRule="exact"/>
        <w:rPr>
          <w:sz w:val="20"/>
          <w:szCs w:val="20"/>
          <w:color w:val="auto"/>
        </w:rPr>
      </w:pPr>
    </w:p>
    <w:p>
      <w:pPr>
        <w:jc w:val="both"/>
        <w:ind w:left="28"/>
        <w:spacing w:after="0" w:line="273" w:lineRule="auto"/>
        <w:rPr>
          <w:sz w:val="20"/>
          <w:szCs w:val="20"/>
          <w:color w:val="auto"/>
        </w:rPr>
      </w:pPr>
      <w:r>
        <w:rPr>
          <w:rFonts w:ascii="Arial" w:cs="Arial" w:eastAsia="Arial" w:hAnsi="Arial"/>
          <w:sz w:val="17"/>
          <w:szCs w:val="17"/>
          <w:color w:val="auto"/>
        </w:rPr>
        <w:t>Additionally, we offer our distributors price protection on their inventory of our products. If we reduce the list price of our products, we will compensate our distributors for the respective products that remain in their inventory on the date the price adjustment becomes effective, provided that they have been providing inventory reports consistently and the inventory was bought within the six months preceding the price adjustment date. Our net revenue and profit margins could be adversely affected if we reduce product prices significantly or distributors happen to have significant on-hand inventory of the affected product at the time of a price reduction. Further, if we do not have sufficient cash resources to compensate distributors on terms satisfactory to them or us, our price protection obligations may prevent us from reacting quickly to changing market conditions.</w:t>
      </w:r>
    </w:p>
    <w:p>
      <w:pPr>
        <w:spacing w:after="0" w:line="178" w:lineRule="exact"/>
        <w:rPr>
          <w:sz w:val="20"/>
          <w:szCs w:val="20"/>
          <w:color w:val="auto"/>
        </w:rPr>
      </w:pPr>
    </w:p>
    <w:p>
      <w:pPr>
        <w:ind w:left="28"/>
        <w:spacing w:after="0"/>
        <w:rPr>
          <w:sz w:val="20"/>
          <w:szCs w:val="20"/>
          <w:color w:val="auto"/>
        </w:rPr>
      </w:pPr>
      <w:r>
        <w:rPr>
          <w:rFonts w:ascii="Arial" w:cs="Arial" w:eastAsia="Arial" w:hAnsi="Arial"/>
          <w:sz w:val="18"/>
          <w:szCs w:val="18"/>
          <w:i w:val="1"/>
          <w:iCs w:val="1"/>
          <w:color w:val="auto"/>
        </w:rPr>
        <w:t>Product development delays or defects could harm our competitive position and reduce our revenue.</w:t>
      </w:r>
    </w:p>
    <w:p>
      <w:pPr>
        <w:spacing w:after="0" w:line="225" w:lineRule="exact"/>
        <w:rPr>
          <w:sz w:val="20"/>
          <w:szCs w:val="20"/>
          <w:color w:val="auto"/>
        </w:rPr>
      </w:pPr>
    </w:p>
    <w:p>
      <w:pPr>
        <w:jc w:val="both"/>
        <w:ind w:left="28"/>
        <w:spacing w:after="0" w:line="255" w:lineRule="auto"/>
        <w:rPr>
          <w:sz w:val="20"/>
          <w:szCs w:val="20"/>
          <w:color w:val="auto"/>
        </w:rPr>
      </w:pPr>
      <w:r>
        <w:rPr>
          <w:rFonts w:ascii="Arial" w:cs="Arial" w:eastAsia="Arial" w:hAnsi="Arial"/>
          <w:sz w:val="18"/>
          <w:szCs w:val="18"/>
          <w:color w:val="auto"/>
        </w:rPr>
        <w:t>We have in the past experienced, and may again experience, technical difficulties and delays with the development and introduction of new products. Many of the products we develop contain sophisticated and complicated circuitry, software and components and utilize manufacturing techniques involving new technologies. Potential difficulties in the development process that we may experience include the following: (a) meeting required specifications and regulatory standards; (b) hiring and keeping a sufficient number of skilled developers; (c) meeting market expectations for performance; (d) obtaining prototype products at anticipated cost levels; (e) having the ability to identify problems or product defects in the development cycle; and (f) achieving necessary manufacturing efficiencies.</w:t>
      </w:r>
    </w:p>
    <w:p>
      <w:pPr>
        <w:spacing w:after="0" w:line="193" w:lineRule="exact"/>
        <w:rPr>
          <w:sz w:val="20"/>
          <w:szCs w:val="20"/>
          <w:color w:val="auto"/>
        </w:rPr>
      </w:pPr>
    </w:p>
    <w:p>
      <w:pPr>
        <w:jc w:val="both"/>
        <w:ind w:left="28"/>
        <w:spacing w:after="0" w:line="264" w:lineRule="auto"/>
        <w:rPr>
          <w:sz w:val="20"/>
          <w:szCs w:val="20"/>
          <w:color w:val="auto"/>
        </w:rPr>
      </w:pPr>
      <w:r>
        <w:rPr>
          <w:rFonts w:ascii="Arial" w:cs="Arial" w:eastAsia="Arial" w:hAnsi="Arial"/>
          <w:sz w:val="18"/>
          <w:szCs w:val="18"/>
          <w:color w:val="auto"/>
        </w:rPr>
        <w:t>Once new products reach the market, they may have defects, or may be met by unanticipated new competitive products, which could adversely affect market acceptance of these products and our reputation. If we are not able to manage and minimize such potential difficulties, our business and results of operations could be negatively affected.</w:t>
      </w:r>
    </w:p>
    <w:p>
      <w:pPr>
        <w:sectPr>
          <w:pgSz w:w="11900" w:h="16838" w:orient="portrait"/>
          <w:cols w:equalWidth="0" w:num="1">
            <w:col w:w="11448"/>
          </w:cols>
          <w:pgMar w:left="212" w:top="118" w:right="239" w:bottom="1440" w:gutter="0" w:footer="0" w:header="0"/>
        </w:sectPr>
      </w:pPr>
    </w:p>
    <w:p>
      <w:pPr>
        <w:spacing w:after="0" w:line="397"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105410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8"/>
          </w:cols>
          <w:pgMar w:left="212" w:top="118" w:right="239" w:bottom="1440" w:gutter="0" w:footer="0" w:header="0"/>
          <w:type w:val="continuous"/>
        </w:sectPr>
      </w:pPr>
    </w:p>
    <w:bookmarkStart w:id="16" w:name="page17"/>
    <w:bookmarkEnd w:id="1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depend on an outsourced manufacturing strategy, and any disruption in outsourced services could negatively impact our product availability and revenues.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outsource the manufacturing of all of our products except digital signage and wireless microphone products to electronics manufacturing services (“EMS”) providers located outside the U.S. If any of these EMS providers experience (i) difficulties in obtaining sufficient supplies of components, (ii) component prices significantly exceeding anticipated costs, (iii) an interruption in their operations, or (iv) otherwise suffers capacity constraints, we could experience a delay in production and shipping of these products, which would have a negative impact on our revenue. Should there be any disruption in services due to natural disaster, economic or political difficulties, transportation restrictions, acts of terror, quarantines or other restrictions associated with infectious diseases, or other similar events, or any other reason, such disruption could have a material adverse effect on our business. Operating in the international outsourcing environment exposes us to certain inherent risks, including unexpected changes in regulatory requirements and tariffs, and potentially adverse tax consequences, which could materially affect our results of operations. Currently, we have no second source of manufacturing for a large portion of our products.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Switching from one EMS provider to another is an expensive, difficult and a time-consuming process, with serious risks to our ability to successfully transfer our manufacturing operations. Our operations, and consequently our revenues and profitability, could be materially adversely affected if we are forced to switch from any of our EMS providers to another EMS provider due to any of a number of factors, including financial difficulties faced by the manufacturer, disagreements in pricing negotiations between us and the manufacturer or organizational changes in the manufacturer.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cost of delivered product from our EMS providers is a direct function of their ability to buy components at a competitive price and to realize efficiencies and economies of scale within their overall business structures. If they are unsuccessful in driving efficient cost models, our delivered costs could rise, affecting our profitability and ability to compete. In addition, if the EMS providers are unable to achieve greater operational efficiencies, delivery schedules for new product development and current product delivery could be negatively impacted.</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EMS providers often require long range forecasts to help them plan their operations as well as to allocate their resources. We are tied to these forecasts through contracts as well as to maintain harmony in business relationships. Our ability to react to actual demand from our customers and order optimum levels of inventory is severely limited due to these forecasts provided to the EMS providers. Our inability to accurately forecast our future demands could lead to either excess inventory causing potential inventory obsolescence and cashflow problems or shortage in inventory causing potential loss of revenue.</w:t>
      </w:r>
    </w:p>
    <w:p>
      <w:pPr>
        <w:spacing w:after="0" w:line="15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Recent regulatory requirements regarding the use of “conflict minerals” could affect the sourcing and availability of raw materials to our EMS providers in the manufacture of certain of our products. We may be subject to costs associated with the new regulations, including for the diligence pertaining to the presence of any conflict minerals used in our products and the cost of remediation and other changes to products, processes, or sources of supply as a consequence of such verification activities. The impact of the regulations may result in a limited pool of suppliers who provide conflict free minerals, and we cannot assure you that we will be able to obtain products in sufficient quantities, at competitive prices, or at all. We may face reputational challenges with our customers and other stakeholders if we are unable to sufficiently verify the origins for the metals used in the products we sell. As a result, we may not be able to obtain the materials necessary to manufacture our products, which could force us to cease production or search for alternative supply sources, possibly at a higher cost. Such disruptions may have a material adverse effect on our business, financial condition, results of operations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Global economic conditions have adversely affected our business in the past and could adversely affect our revenues and harm our business in the future.</w:t>
      </w:r>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Adverse economic conditions worldwide have contributed to slowdowns in the communications industry and have caused a negative impact on the specific segments and markets in which we operate. Adverse changes in general global economic conditions can result in reductions in capital expenditures by end-user customers for our products, longer sales cycles, the deferral or delay of purchase commitments for our products and increased competition. These factors have adversely impacted our operating results in prior periods and could also impact us again in the future. Global economic concerns, such as the varying pace of global economic recovery, European and domestic debt and budget issues, the slowdown in economic growth in large emerging markets such as China and India, and international currency fluctuations, may continue to create uncertainty and unpredictability in the global and national economy. A global economic downturn would negatively impact technology spending for our products and services and could materially adversely affect our business, operating results and financial condition. Further, global economic conditions may result in a tightening in the credit markets, low liquidity levels in many financial markets, decrease in customer demand and ability to pay obligations, and extreme volatility in credit, equity, foreign currency and fixed income markets.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Such adverse economic conditions could negatively impact our business, particularly our revenue potential, potentially causing losses on investments and the collectability of our accounts receivable. These factors potentially include: the inability of our customers to obtain credit to finance purchases of our products and services, customer or partner insolvencies or bankruptcies, decreased customer confidence to make purchasing decisions resulting in delays in their purchasing decisions, decreased customer demand or demand for lower-end products, or decreased customer ability to pay their obligations when they become due to us.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are a smaller Company than some of our competitors and may be more susceptible to market fluctuations, other adverse events, increased costs and less favorable purchasing terms.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Since we are a relatively small Company, there is a risk that we may be more susceptible to market fluctuations and other adverse events. In particular, we may be more susceptible to reductions in government and corporate spending from our government and enterprise customers. We may also experience increased costs and less favorable terms from our suppliers than some of our larger competitors who may have greater leverage in their purchasing spend. Any of these outcomes could result in loss of sales or our products being more costly to manufacture and thus less competitive. Any such unfavorable market fluctuations, reductions in customer spending or increased manufacturing costs could have a negative impact on our business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Difficulties in integrating past or future acquisitions could adversely affect our business.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acquisition involves numerous risks and challenges, including difficulties and time involved in integrating the operations, technologies and products of the acquired companies, entering new business or product lines, the diversion of our management’s attention from other business concerns, geographic dispersion of operations, generating market demand for expanded product lines and the potential loss of key customers or employees of an acquired Company. Failure to achieve the anticipated benefits of these and any future acquisitions or to successfully integrate the operations of these or any other companies or assets we acquire, could also harm our business, results of operations and cash flows. Additionally, we cannot assure you that we will not incur material charges in future periods to reflect additional costs associated with these acquisitions or any future acquisitions we may make.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Profitability could be negatively impacted if we do not adequately forecast the demand for our products and are unable to monetize our long-term inventories.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hold approximately $8.7 million in long-term inventories. There can be no assurance that we will be able to successfully anticipate changing consumer preferences and product trends or economic conditions and, as a result, we may not successfully monetize our long-term inventory. Inventory levels in excess of consumer demand may result in inventory write-downs and the sale of excess inventory at discounted prices, which could have an adverse effect on the image and reputation of our brands and negatively impact profitability.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Conditions in Israel and the Middle East may affect the operations of our subsidiary in Israel.</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 subsidiary located in Israel in connection with the acquisition of the assets of VCON Video Conferencing, Ltd and the subsequent establishment of a predominantly research and development team. Political, economic, security and military conditions in the Middle East in general, and in Israel in particular, directly affect our Israeli subsidiary’s operations. Since the establishment of the State of Israel in 1948, a number of armed conflicts have taken place between Israel and its Arab neighbors and a state of hostility, varying in degree and intensity, has led to security and economic problems for Israel. Despite negotiations to effect peace between Israel and its Arab neighbors, the future of these peace efforts is uncertain.</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Recent social unrest in various countries in the Middle East have led to severe political instability in those countries. This continuing instability may lead to deterioration of the political and trade relationships that exist between the State of Israel and these countries. In addition, this instability may affect the economy in the Middle East as well as the global economy and marketplace. Any armed conflicts or political instability in the region, including acts of terrorism or any other hostilities involving or threatening Israel, would likely negatively affect business conditions and could make it more difficult for us to conduct our operations in Israel, which could increase our costs and adversely affect our financial results.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Conditions in China, India, Spain and United Arab Emirates may affect our operations.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different teams working outside the U.S. in China, India, Spain and United Arab Emirates offering various services including research and development, sales and marketing, and manufacturing operations support. Our ability to operate the company smoothly may be affected significantly if either one or more of these countries are adversely impacted by political, economic, security and military conditions in these countries.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obsolescence could harm demand for our products and could adversely affect our revenue and our results of operations.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industry is subject to technological innovations that could render existing technologies in our products obsolete and thereby decrease market demand for such products. If any of our products becomes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 down the value of this inventory, which could adversely affect our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sales account for a significant portion of our net revenue and risks inherent in international sales could harm our business.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International sales represent a significant portion of our total product revenue. We anticipate that the portion of our total product revenue from international sales will continue to increase as we further enhance our focus on developing new products for new markets, establishing new distribution partners, strengthening our presence in emerging economies, and improving product localization with country-specific product documentation and marketing materials. Our international business is subject to the financial and operating risks of conducting business internationally, including the following:</w:t>
      </w:r>
    </w:p>
    <w:p>
      <w:pPr>
        <w:spacing w:after="0" w:line="2" w:lineRule="exact"/>
        <w:rPr>
          <w:sz w:val="20"/>
          <w:szCs w:val="20"/>
          <w:color w:val="auto"/>
        </w:rPr>
      </w:pPr>
    </w:p>
    <w:p>
      <w:pPr>
        <w:ind w:left="500" w:hanging="31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changes in, or the imposition of, additional legislative or regulatory requirements;</w:t>
      </w:r>
    </w:p>
    <w:p>
      <w:pPr>
        <w:spacing w:after="0" w:line="9" w:lineRule="exact"/>
        <w:rPr>
          <w:rFonts w:ascii="Arial" w:cs="Arial" w:eastAsia="Arial" w:hAnsi="Arial"/>
          <w:sz w:val="18"/>
          <w:szCs w:val="18"/>
          <w:color w:val="auto"/>
        </w:rPr>
      </w:pPr>
    </w:p>
    <w:p>
      <w:pPr>
        <w:ind w:left="500" w:hanging="31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unique or more onerous environmental regulations;</w:t>
      </w:r>
    </w:p>
    <w:p>
      <w:pPr>
        <w:spacing w:after="0" w:line="9" w:lineRule="exact"/>
        <w:rPr>
          <w:rFonts w:ascii="Arial" w:cs="Arial" w:eastAsia="Arial" w:hAnsi="Arial"/>
          <w:sz w:val="18"/>
          <w:szCs w:val="18"/>
          <w:color w:val="auto"/>
        </w:rPr>
      </w:pPr>
    </w:p>
    <w:p>
      <w:pPr>
        <w:ind w:left="500" w:hanging="31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fluctuating exchange rates;</w:t>
      </w:r>
    </w:p>
    <w:p>
      <w:pPr>
        <w:spacing w:after="0" w:line="9" w:lineRule="exact"/>
        <w:rPr>
          <w:rFonts w:ascii="Arial" w:cs="Arial" w:eastAsia="Arial" w:hAnsi="Arial"/>
          <w:sz w:val="18"/>
          <w:szCs w:val="18"/>
          <w:color w:val="auto"/>
        </w:rPr>
      </w:pPr>
    </w:p>
    <w:p>
      <w:pPr>
        <w:ind w:left="500" w:hanging="31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tariffs and other barriers;</w:t>
      </w:r>
    </w:p>
    <w:p>
      <w:pPr>
        <w:spacing w:after="0" w:line="9" w:lineRule="exact"/>
        <w:rPr>
          <w:rFonts w:ascii="Arial" w:cs="Arial" w:eastAsia="Arial" w:hAnsi="Arial"/>
          <w:sz w:val="18"/>
          <w:szCs w:val="18"/>
          <w:color w:val="auto"/>
        </w:rPr>
      </w:pPr>
    </w:p>
    <w:p>
      <w:pPr>
        <w:ind w:left="500" w:hanging="31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operations;</w:t>
      </w:r>
    </w:p>
    <w:p>
      <w:pPr>
        <w:spacing w:after="0" w:line="9" w:lineRule="exact"/>
        <w:rPr>
          <w:rFonts w:ascii="Arial" w:cs="Arial" w:eastAsia="Arial" w:hAnsi="Arial"/>
          <w:sz w:val="18"/>
          <w:szCs w:val="18"/>
          <w:color w:val="auto"/>
        </w:rPr>
      </w:pPr>
    </w:p>
    <w:p>
      <w:pPr>
        <w:ind w:left="500" w:hanging="31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import and export restrictions;</w:t>
      </w:r>
    </w:p>
    <w:p>
      <w:pPr>
        <w:spacing w:after="0" w:line="9" w:lineRule="exact"/>
        <w:rPr>
          <w:rFonts w:ascii="Arial" w:cs="Arial" w:eastAsia="Arial" w:hAnsi="Arial"/>
          <w:sz w:val="18"/>
          <w:szCs w:val="18"/>
          <w:color w:val="auto"/>
        </w:rPr>
      </w:pPr>
    </w:p>
    <w:p>
      <w:pPr>
        <w:ind w:left="500" w:hanging="31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difficulties in accounts receivable collection and longer payment cycles;</w:t>
      </w:r>
    </w:p>
    <w:p>
      <w:pPr>
        <w:spacing w:after="0" w:line="9" w:lineRule="exact"/>
        <w:rPr>
          <w:rFonts w:ascii="Arial" w:cs="Arial" w:eastAsia="Arial" w:hAnsi="Arial"/>
          <w:sz w:val="18"/>
          <w:szCs w:val="18"/>
          <w:color w:val="auto"/>
        </w:rPr>
      </w:pPr>
    </w:p>
    <w:p>
      <w:pPr>
        <w:ind w:left="500" w:hanging="31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9" w:lineRule="exact"/>
        <w:rPr>
          <w:rFonts w:ascii="Arial" w:cs="Arial" w:eastAsia="Arial" w:hAnsi="Arial"/>
          <w:sz w:val="18"/>
          <w:szCs w:val="18"/>
          <w:color w:val="auto"/>
        </w:rPr>
      </w:pPr>
    </w:p>
    <w:p>
      <w:pPr>
        <w:ind w:left="500" w:hanging="31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hostilities and changes in diplomatic and trade relationships; and</w:t>
      </w:r>
    </w:p>
    <w:p>
      <w:pPr>
        <w:spacing w:after="0" w:line="9" w:lineRule="exact"/>
        <w:rPr>
          <w:rFonts w:ascii="Arial" w:cs="Arial" w:eastAsia="Arial" w:hAnsi="Arial"/>
          <w:sz w:val="18"/>
          <w:szCs w:val="18"/>
          <w:color w:val="auto"/>
        </w:rPr>
      </w:pPr>
    </w:p>
    <w:p>
      <w:pPr>
        <w:ind w:left="500" w:right="20" w:hanging="310"/>
        <w:spacing w:after="0" w:line="261"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 in services due to natural disaster, economic or political difficulties, transportation, quarantines or other restrictions associated with infectious diseases.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We may not be able to hire and retain qualified key and highly-skilled technical employees, which could affect our ability to compete effectively and may cause our revenue and profitability to decline.</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depend on our ability to hire and retain qualified key and highly skilled employees to manage, research and develop, market, and service new and existing products. Competition for such key and highly-skilled employees is intense, and we may not be successful in attracting or retaining such personnel.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may not be able to hire enough skilled employees or retain the employees we do hire. In addition, provisions of the Sarbanes-Oxley Act of 2002 and related rules of the SEC impose heightened personal liability on some of our key employees. The threat of such liability could make it more difficult to identify, hire and retain qualified key and highly-skilled employees. We have relied on our ability to grant stock options as a means of recruiting and retaining key employees. Accounting regulations requiring the expensing of stock options will impair our future ability to provide these incentives without incurring associated compensation costs. If we are unable to hire and retain employees with the skills we seek, our ability to sell our existing products, systems, or services or to develop new products, systems, or services could be hindered with a consequent adverse effect on our business, results of operations, financial position, or liquidity. In addition, given the current political climate regarding the U.S. immigration laws, we may not be able attract highly-skilled technical employees from abroad.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We rely on third-party technology and license agreements, the loss of any of which could negatively impact our business.</w:t>
      </w:r>
    </w:p>
    <w:p>
      <w:pPr>
        <w:spacing w:after="0" w:line="225"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can be developed, licensed, and integrated, if at all possible, which would have a material adverse effect on our business.</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We may have difficulty in collecting outstanding receivables.</w:t>
      </w:r>
    </w:p>
    <w:p>
      <w:pPr>
        <w:spacing w:after="0" w:line="225"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We grant credit to substantially all of our customers without requiring collateral. In times of economic uncertainty, the risks relating to the granting of such credit will typically increase. Although we monitor and mitigate the risks associated with our credit policies, we cannot ensure that such mitigation will be effective. We have experienced losses due to customers failing to meet their obligations. Future losses could be significant and, if incurred, could harm our business and have a material adverse effect on our operating results and financial position.</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Interruptions to our business could adversely affect our operations.</w:t>
      </w:r>
    </w:p>
    <w:p>
      <w:pPr>
        <w:spacing w:after="0" w:line="225" w:lineRule="exact"/>
        <w:rPr>
          <w:sz w:val="20"/>
          <w:szCs w:val="20"/>
          <w:color w:val="auto"/>
        </w:rPr>
      </w:pPr>
    </w:p>
    <w:p>
      <w:pPr>
        <w:jc w:val="both"/>
        <w:ind w:left="20"/>
        <w:spacing w:after="0" w:line="276" w:lineRule="auto"/>
        <w:rPr>
          <w:sz w:val="20"/>
          <w:szCs w:val="20"/>
          <w:color w:val="auto"/>
        </w:rPr>
      </w:pPr>
      <w:r>
        <w:rPr>
          <w:rFonts w:ascii="Arial" w:cs="Arial" w:eastAsia="Arial" w:hAnsi="Arial"/>
          <w:sz w:val="17"/>
          <w:szCs w:val="17"/>
          <w:color w:val="auto"/>
        </w:rPr>
        <w:t>As with any Company, our operations are at risk of being interrupted by earthquake, fire, flood, and other natural and human-caused disasters, including disease and terrorist attacks. Our operations are also at risk of power loss, telecommunications failure, human error, physical or electronic security breaches and computer viruses (which could leave us vulnerable to the loss of confidential proprietary information as well as disruption of our business activities) and other infrastructure and technology-based problems. To help guard against such risks, we carry business interruption loss insurance to help compensate us for losses that may occur, but we cannot assure that such coverage would protect us from all such possible losses.</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Changes in tax laws and uncertainties in the interpretation and application of the 2017 Tax Cuts and Job Act could materially affect our financial position, results of operations and cash flows.</w:t>
      </w:r>
    </w:p>
    <w:p>
      <w:pPr>
        <w:spacing w:after="0" w:line="170" w:lineRule="exact"/>
        <w:rPr>
          <w:sz w:val="20"/>
          <w:szCs w:val="20"/>
          <w:color w:val="auto"/>
        </w:rPr>
      </w:pPr>
    </w:p>
    <w:p>
      <w:pPr>
        <w:jc w:val="both"/>
        <w:ind w:left="20"/>
        <w:spacing w:after="0" w:line="268" w:lineRule="auto"/>
        <w:rPr>
          <w:sz w:val="20"/>
          <w:szCs w:val="20"/>
          <w:color w:val="auto"/>
        </w:rPr>
      </w:pPr>
      <w:r>
        <w:rPr>
          <w:rFonts w:ascii="Arial" w:cs="Arial" w:eastAsia="Arial" w:hAnsi="Arial"/>
          <w:sz w:val="17"/>
          <w:szCs w:val="17"/>
          <w:color w:val="auto"/>
        </w:rPr>
        <w:t>In December 2017, the U.S. government enacted comprehensive income tax legislation commonly referred to as the Tax Cuts and Jobs Act (the "2017 Tax Act"). The 2017 Tax Act makes broad and complex changes to the Internal Revenue Code of 1986, as amended (the "Code"), including, among other changes, significant changes to the U.S. corporate tax rate and certain other changes to the Code that impact the taxation of corporations. In certain instances the 2017 Tax Act requires complex computations to be performed that generally were not previously required by the Code and the regulations promulgated thereunder; significant judgments to be made in interpreting the provisions of the 2017 Tax Act significant estimates to be made in certain calculations; and the preparation and analysis of information generally not previously relevant or regularly produced. The U.S. Treasury Department, the Internal Revenue Service ("IRS"), and other standard-setting bodies could interpret or issue guidance on how provisions of the 2017 Tax Act will be applied or otherwise administered that differs from our interpretation. As we complete our analysis of the 2017 Tax Act, collect and prepare necessary data, and interpret any additional guidance, we may make adjustments to provisional amounts that we have recorded that may materially impact our provision for income taxes in the period in which the adjustments are made. Additionally, there is risk relating to assumptions regarding the outcome of tax matters, based in whole or in part upon consultation with outside advisors; risk relating to potential unfavorable decisions in tax proceedings; and risks regarding changes in, and/or interpretations of federal and state income tax laws. Any such changes, interpretations or alternative outcomes could result in more unpredictability and variability to our future effective tax rates.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20" w:name="page21"/>
    <w:bookmarkEnd w:id="20"/>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ind w:left="20" w:right="20"/>
        <w:spacing w:after="0" w:line="277" w:lineRule="auto"/>
        <w:rPr>
          <w:sz w:val="20"/>
          <w:szCs w:val="20"/>
          <w:color w:val="auto"/>
        </w:rPr>
      </w:pPr>
      <w:r>
        <w:rPr>
          <w:rFonts w:ascii="Arial" w:cs="Arial" w:eastAsia="Arial" w:hAnsi="Arial"/>
          <w:sz w:val="18"/>
          <w:szCs w:val="18"/>
          <w:i w:val="1"/>
          <w:iCs w:val="1"/>
          <w:color w:val="auto"/>
        </w:rPr>
        <w:t>We may not be able to hire and retain qualified key and highly-skilled technical employees, which could affect our ability to compete effectively and may cause our revenue and profitability to decline.</w:t>
      </w:r>
    </w:p>
    <w:p>
      <w:pPr>
        <w:spacing w:after="0" w:line="170" w:lineRule="exact"/>
        <w:rPr>
          <w:sz w:val="20"/>
          <w:szCs w:val="20"/>
          <w:color w:val="auto"/>
        </w:rPr>
      </w:pPr>
    </w:p>
    <w:p>
      <w:pPr>
        <w:jc w:val="both"/>
        <w:ind w:right="140"/>
        <w:spacing w:after="0" w:line="269" w:lineRule="auto"/>
        <w:rPr>
          <w:sz w:val="20"/>
          <w:szCs w:val="20"/>
          <w:color w:val="auto"/>
        </w:rPr>
      </w:pPr>
      <w:r>
        <w:rPr>
          <w:rFonts w:ascii="Arial" w:cs="Arial" w:eastAsia="Arial" w:hAnsi="Arial"/>
          <w:sz w:val="17"/>
          <w:szCs w:val="17"/>
          <w:color w:val="auto"/>
        </w:rPr>
        <w:t>We depend on our ability to hire and retain qualified key and highly skilled employees to manage, research and develop, market, and service new and existing products. Competition for such key and highly-skilled employees is intense, and we may not be successful in attracting or retaining such personnel.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may not be able to hire enough skilled employees or retain the employees we do hire. In addition, provisions of the Sarbanes-Oxley Act of 2002 and related rules of the SEC impose heightened personal liability on some of our key employees. The threat of such liability could make it more difficult to identify, hire and retain qualified key and highly-skilled employees. We have relied on our ability to grant stock options as a means of recruiting and retaining key employees. Accounting regulations requiring the expensing of stock options will impair our future ability to provide these incentives without incurring associated compensation costs. If we are unable to hire and retain employees with the skills we seek, our ability to sell our existing products, systems, or services or to develop new products, systems, or services could be hindered with a consequent adverse effect on our business, results of operations, financial position, or liquidity.</w:t>
      </w:r>
    </w:p>
    <w:p>
      <w:pPr>
        <w:spacing w:after="0" w:line="396"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i w:val="1"/>
          <w:iCs w:val="1"/>
          <w:color w:val="auto"/>
        </w:rPr>
        <w:t>Security breaches and other disruptions could compromise our information and expose us to liability, which would cause our business and reputation to suffer.</w:t>
      </w:r>
    </w:p>
    <w:p>
      <w:pPr>
        <w:spacing w:after="0" w:line="170" w:lineRule="exact"/>
        <w:rPr>
          <w:sz w:val="20"/>
          <w:szCs w:val="20"/>
          <w:color w:val="auto"/>
        </w:rPr>
      </w:pPr>
    </w:p>
    <w:p>
      <w:pPr>
        <w:jc w:val="both"/>
        <w:ind w:left="20"/>
        <w:spacing w:after="0" w:line="272" w:lineRule="auto"/>
        <w:rPr>
          <w:sz w:val="20"/>
          <w:szCs w:val="20"/>
          <w:color w:val="auto"/>
        </w:rPr>
      </w:pPr>
      <w:r>
        <w:rPr>
          <w:rFonts w:ascii="Arial" w:cs="Arial" w:eastAsia="Arial" w:hAnsi="Arial"/>
          <w:sz w:val="17"/>
          <w:szCs w:val="17"/>
          <w:color w:val="auto"/>
        </w:rPr>
        <w:t>In the ordinary course of our business, we collect and store sensitive data, including intellectual property, our proprietary business information and that of our employees, customers, licensors, vendors and business partners, including personally identifiable information of our customers and employees, in our data centers and on our networks. Despite our security measures, our information technology and infrastructure may be vulnerable to attacks by hackers or breached due to employee error, malfeasance or other disruptions. Security breaches have occurred with increased frequency and sophistication in recent years.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disrupt our operations, and damage our reputation, which could adversely affect our business.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Share Ownership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fluctuates as a result of the conduct of our business and stock market fluctuations.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market price of our common stock has experienced significant fluctuations and may continue to fluctuate significantly. The market price of our common stock may be significantly affected by a variety of factors, including the following:</w:t>
      </w:r>
    </w:p>
    <w:p>
      <w:pPr>
        <w:spacing w:after="0" w:line="170" w:lineRule="exact"/>
        <w:rPr>
          <w:sz w:val="20"/>
          <w:szCs w:val="20"/>
          <w:color w:val="auto"/>
        </w:rPr>
      </w:pPr>
    </w:p>
    <w:p>
      <w:pPr>
        <w:ind w:left="760" w:right="20" w:hanging="442"/>
        <w:spacing w:after="0" w:line="258"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statements or changes in opinions, ratings, or earnings estimates made by brokerage firms or industry analysts relating to the market in which we do business or relating to us specifically;</w:t>
      </w:r>
    </w:p>
    <w:p>
      <w:pPr>
        <w:spacing w:after="0" w:line="1" w:lineRule="exact"/>
        <w:rPr>
          <w:rFonts w:ascii="Arial" w:cs="Arial" w:eastAsia="Arial" w:hAnsi="Arial"/>
          <w:sz w:val="18"/>
          <w:szCs w:val="18"/>
          <w:color w:val="auto"/>
        </w:rPr>
      </w:pPr>
    </w:p>
    <w:p>
      <w:pPr>
        <w:ind w:left="760" w:hanging="44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disparity between our reported results and the projections of analysts;</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shift in sales mix of products that we currently sell to a sales mix of lower-gross profit product offerings;</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and mix of inventory held by our distributors;</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technological innovations by us or our competitors;</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 in meeting targeted availability dates for new or redesigned products;</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profitably and efficiently manage our supply of products and key components;</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maintain profitable relationships with our customers;</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maintain an appropriate cost structure;</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consumer confidence or market conditions, or market conditions specific to technology industry;</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domestic and international economic conditions;</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tariffs;</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report financial information in a timely manner;</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markets in which our stock is traded;</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integrate the companies we have acquired; and</w:t>
      </w:r>
    </w:p>
    <w:p>
      <w:pPr>
        <w:spacing w:after="0" w:line="9" w:lineRule="exact"/>
        <w:rPr>
          <w:rFonts w:ascii="Arial" w:cs="Arial" w:eastAsia="Arial" w:hAnsi="Arial"/>
          <w:sz w:val="18"/>
          <w:szCs w:val="18"/>
          <w:color w:val="auto"/>
        </w:rPr>
      </w:pPr>
    </w:p>
    <w:p>
      <w:pPr>
        <w:ind w:left="760" w:hanging="44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utilize our cash reserves resulting from the settlement of litigation and arbitration matters.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to acquire our common stock could result in dilution to other holders of our common stock.</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December 31, 2017, there were outstanding options to acquire approximately 764,430 shares of our common stock at a weighted average exercise price of $8.78 per share. During the terms of these options, the holders thereof will have the opportunity to profit from an increase in the market price of the common stock. The existence of these options may adversely affect the terms on which we can obtain additional financing, and the holders of these options can be expected to exercise such options at a time when we, in all likelihood, would be able to obtain additional capital by offering shares of our common stock on terms more favorable to us than those provided by the exercise of these options.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sale of additional shares of our common stock could have a negative effect on the market price of our common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sale of substantial amounts of our common stock in the public market could adversely affect prevailing market prices and could impair our ability to raise capital through the sale of our equity securities. Most shares of common stock currently outstanding are eligible for sale in the public market, subject in certain cases to compliance with the requirements of Rule 144 under the securities laws. Shares issued upon the exercise of stock options granted under our stock option plan generally will be eligible for sale in the public market. We also have the authority to issue additional shares of common stock and shares of one or more series of preferred stock. The issuance of such shares could dilute the voting power of the currently outstanding shares of our common stock and could dilute earnings per share.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If equity research analysts do not publish research or reports about our business or if they issue unfavorable commentary or downgrade our common stock, the price of our common stock could decline.</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liquidity of the trading market for our common stock may be affected in part by the research and reports that equity research analysts publish about us and our business. We do not control the opinions of these analysts. The price of our stock could decline if one or more equity analysts downgrade our stock or if those analysts issue other unfavorable commentary or cease publishing reports about us or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Write off of capitalized legal expenses related to our defense of patents could negatively impact our net income and stockholders' equity.</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intangible assets include capitalized legal expenses net of amortization of $2.3 million related to our defense of patents from infringement by our competitors. Legal expenses have been capitalized upon satisfaction of two conditions: (a) a determination being made that a successful defense of this litigation is probable, and (b) that the monetary benefits arising out of such successful defense will be in excess of the costs for the defense. If either one of these conditions fail to be satisfied in the future, the carrying amount in the books may have to be written off either completely or partially. There can be no assurance that we will be successful in the defense of these litigation claims, in whole or in part.</w:t>
      </w:r>
    </w:p>
    <w:p>
      <w:pPr>
        <w:spacing w:after="0" w:line="38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20" w:top="118" w:right="47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occupy a 5,000 square-foot facility in Gainesville, Florida under the terms of an operating lease that expires in February 2021 with the possibility of renewing the lease for 10 more years. The Gainesville facility was used primarily to support out research and development activities.</w:t>
      </w:r>
    </w:p>
    <w:p>
      <w:pPr>
        <w:spacing w:after="0" w:line="14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lease a 4,700 square-foot office facility in Hod Hasharon, Israel under the terms of an operating lease expiring in December 2019 which serves to support our research and development activities. Upon expiration, we will have the option to extend the lease for two additional years.</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currently occupy a 31,000 square-foot facility in Salt Lake City, Utah under the terms of an operating lease expiring in May 2019, which supports our principal administrative, sales, marketing, customer support, and research and product development activities.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occupy a 10,700 square-foot warehouse in Shenzhen, China under the terms of an operating lease expiring in September 2019, which serves as our primary inventory fulfillment and repair center.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occupy a 7,070 square-foot facility in Austin, Texas - under the terms of an operating lease expiring in October 2019. This facility support our administrative, sales, marketing, customer support, and research and development activities.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occupy a 40,000 square-foot warehouse in Salt Lake City, Utah under the terms of an operating lease expiring in December 2021, which serves as our primary inventory fulfillment and repair center. This facility also serves as our assembly workshop for digital signage products.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our current facilities are adequate to meet our needs for the foreseeable future and that suitable additional or alternative space will be available in the future on commercially reasonable terms as needed.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Note 8 – Commitments and Contingencies</w:t>
      </w:r>
      <w:r>
        <w:rPr>
          <w:rFonts w:ascii="Arial" w:cs="Arial" w:eastAsia="Arial" w:hAnsi="Arial"/>
          <w:sz w:val="18"/>
          <w:szCs w:val="18"/>
          <w:color w:val="auto"/>
        </w:rPr>
        <w:t xml:space="preserve"> of the Notes to Consolidated Financial Statements (Part II, Item 8) for information regarding legal proceedings in which we are involved, which is incorporated in this Item 3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traded on the NASDAQ Capital Market under the symbol CLRO. On March 30, 2018, there were 8,301,473 shares of our common stock issued and outstanding held by approximately 323 shareholders of record. Each broker dealer or a clearing corporation that holds shares for customers is counted as a single shareholder of record.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high and low common stock sales prices per share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First</w:t>
            </w:r>
          </w:p>
        </w:tc>
        <w:tc>
          <w:tcPr>
            <w:tcW w:w="280" w:type="dxa"/>
            <w:vAlign w:val="bottom"/>
          </w:tcPr>
          <w:p>
            <w:pPr>
              <w:spacing w:after="0"/>
              <w:rPr>
                <w:sz w:val="18"/>
                <w:szCs w:val="18"/>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Second</w:t>
            </w:r>
          </w:p>
        </w:tc>
        <w:tc>
          <w:tcPr>
            <w:tcW w:w="280" w:type="dxa"/>
            <w:vAlign w:val="bottom"/>
          </w:tcPr>
          <w:p>
            <w:pPr>
              <w:spacing w:after="0"/>
              <w:rPr>
                <w:sz w:val="18"/>
                <w:szCs w:val="18"/>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Third</w:t>
            </w:r>
          </w:p>
        </w:tc>
        <w:tc>
          <w:tcPr>
            <w:tcW w:w="280" w:type="dxa"/>
            <w:vAlign w:val="bottom"/>
          </w:tcPr>
          <w:p>
            <w:pPr>
              <w:spacing w:after="0"/>
              <w:rPr>
                <w:sz w:val="18"/>
                <w:szCs w:val="18"/>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Fourth</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26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Quarter</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Quarter</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Quarter</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Quarter</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7"/>
              </w:rPr>
              <w:t>Full Year</w:t>
            </w:r>
          </w:p>
        </w:tc>
      </w:tr>
      <w:tr>
        <w:trPr>
          <w:trHeight w:val="210"/>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2017</w:t>
            </w:r>
          </w:p>
        </w:tc>
        <w:tc>
          <w:tcPr>
            <w:tcW w:w="2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2620" w:type="dxa"/>
            <w:vAlign w:val="bottom"/>
          </w:tcPr>
          <w:p>
            <w:pPr>
              <w:ind w:left="180"/>
              <w:spacing w:after="0"/>
              <w:rPr>
                <w:sz w:val="20"/>
                <w:szCs w:val="20"/>
                <w:color w:val="auto"/>
              </w:rPr>
            </w:pPr>
            <w:r>
              <w:rPr>
                <w:rFonts w:ascii="Arial" w:cs="Arial" w:eastAsia="Arial" w:hAnsi="Arial"/>
                <w:sz w:val="18"/>
                <w:szCs w:val="18"/>
                <w:color w:val="auto"/>
              </w:rPr>
              <w:t>High</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12.60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11.10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10.10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12.60</w:t>
            </w:r>
          </w:p>
        </w:tc>
      </w:tr>
      <w:tr>
        <w:trPr>
          <w:trHeight w:val="216"/>
        </w:trPr>
        <w:tc>
          <w:tcPr>
            <w:tcW w:w="26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Low</w:t>
            </w:r>
          </w:p>
        </w:tc>
        <w:tc>
          <w:tcPr>
            <w:tcW w:w="2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9.70</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7.40</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6.70</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6.70</w:t>
            </w:r>
          </w:p>
        </w:tc>
      </w:tr>
      <w:tr>
        <w:trPr>
          <w:trHeight w:val="210"/>
        </w:trPr>
        <w:tc>
          <w:tcPr>
            <w:tcW w:w="2620" w:type="dxa"/>
            <w:vAlign w:val="bottom"/>
          </w:tcPr>
          <w:p>
            <w:pPr>
              <w:ind w:left="180"/>
              <w:spacing w:after="0"/>
              <w:rPr>
                <w:sz w:val="20"/>
                <w:szCs w:val="20"/>
                <w:color w:val="auto"/>
              </w:rPr>
            </w:pPr>
            <w:r>
              <w:rPr>
                <w:rFonts w:ascii="Arial" w:cs="Arial" w:eastAsia="Arial" w:hAnsi="Arial"/>
                <w:sz w:val="18"/>
                <w:szCs w:val="18"/>
                <w:b w:val="1"/>
                <w:bCs w:val="1"/>
                <w:color w:val="auto"/>
              </w:rPr>
              <w:t>2016</w:t>
            </w:r>
          </w:p>
        </w:tc>
        <w:tc>
          <w:tcPr>
            <w:tcW w:w="2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High</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13.15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13.15</w:t>
            </w:r>
          </w:p>
        </w:tc>
      </w:tr>
      <w:tr>
        <w:trPr>
          <w:trHeight w:val="216"/>
        </w:trPr>
        <w:tc>
          <w:tcPr>
            <w:tcW w:w="2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Low</w:t>
            </w:r>
          </w:p>
        </w:tc>
        <w:tc>
          <w:tcPr>
            <w:tcW w:w="2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10.60</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10.21</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10.32</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2017 and 2016, our Board of Directors declared the following dividends: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Dividend</w:t>
            </w: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Dividends</w:t>
            </w: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Declaration Date</w:t>
            </w: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b w:val="1"/>
                <w:bCs w:val="1"/>
                <w:color w:val="auto"/>
              </w:rPr>
              <w:t>Payment Date</w:t>
            </w:r>
          </w:p>
        </w:tc>
        <w:tc>
          <w:tcPr>
            <w:tcW w:w="120" w:type="dxa"/>
            <w:vAlign w:val="bottom"/>
          </w:tcPr>
          <w:p>
            <w:pPr>
              <w:spacing w:after="0"/>
              <w:rPr>
                <w:sz w:val="20"/>
                <w:szCs w:val="20"/>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per share</w:t>
            </w: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February 25, 2016</w:t>
            </w: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March 07, 2016</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March 18, 2016</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May 17, 2016</w:t>
            </w:r>
          </w:p>
        </w:tc>
        <w:tc>
          <w:tcPr>
            <w:tcW w:w="1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June 01, 2016</w:t>
            </w:r>
          </w:p>
        </w:tc>
        <w:tc>
          <w:tcPr>
            <w:tcW w:w="1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June 15, 2016</w:t>
            </w:r>
          </w:p>
        </w:tc>
        <w:tc>
          <w:tcPr>
            <w:tcW w:w="1800" w:type="dxa"/>
            <w:vAlign w:val="bottom"/>
            <w:gridSpan w:val="3"/>
          </w:tcPr>
          <w:p>
            <w:pPr>
              <w:jc w:val="right"/>
              <w:ind w:right="220"/>
              <w:spacing w:after="0"/>
              <w:rPr>
                <w:sz w:val="20"/>
                <w:szCs w:val="20"/>
                <w:color w:val="auto"/>
              </w:rPr>
            </w:pPr>
            <w:r>
              <w:rPr>
                <w:rFonts w:ascii="Arial" w:cs="Arial" w:eastAsia="Arial" w:hAnsi="Arial"/>
                <w:sz w:val="18"/>
                <w:szCs w:val="18"/>
                <w:color w:val="auto"/>
              </w:rPr>
              <w:t>0.050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August 02, 2016</w:t>
            </w: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August 17, 2016</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August 31, 2016</w:t>
            </w:r>
          </w:p>
        </w:tc>
        <w:tc>
          <w:tcPr>
            <w:tcW w:w="1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0.050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November 01, 2016</w:t>
            </w:r>
          </w:p>
        </w:tc>
        <w:tc>
          <w:tcPr>
            <w:tcW w:w="1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November 16, 2016</w:t>
            </w:r>
          </w:p>
        </w:tc>
        <w:tc>
          <w:tcPr>
            <w:tcW w:w="1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November 30, 2016</w:t>
            </w:r>
          </w:p>
        </w:tc>
        <w:tc>
          <w:tcPr>
            <w:tcW w:w="1800" w:type="dxa"/>
            <w:vAlign w:val="bottom"/>
            <w:gridSpan w:val="3"/>
          </w:tcPr>
          <w:p>
            <w:pPr>
              <w:jc w:val="right"/>
              <w:ind w:right="220"/>
              <w:spacing w:after="0"/>
              <w:rPr>
                <w:sz w:val="20"/>
                <w:szCs w:val="20"/>
                <w:color w:val="auto"/>
              </w:rPr>
            </w:pPr>
            <w:r>
              <w:rPr>
                <w:rFonts w:ascii="Arial" w:cs="Arial" w:eastAsia="Arial" w:hAnsi="Arial"/>
                <w:sz w:val="18"/>
                <w:szCs w:val="18"/>
                <w:color w:val="auto"/>
              </w:rPr>
              <w:t>0.050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January 31, 2017</w:t>
            </w: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February 15, 2017</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March 1, 2017</w:t>
            </w:r>
          </w:p>
        </w:tc>
        <w:tc>
          <w:tcPr>
            <w:tcW w:w="1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0.050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May 4, 2017</w:t>
            </w:r>
          </w:p>
        </w:tc>
        <w:tc>
          <w:tcPr>
            <w:tcW w:w="1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May 17, 2017</w:t>
            </w:r>
          </w:p>
        </w:tc>
        <w:tc>
          <w:tcPr>
            <w:tcW w:w="1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May 31, 2017</w:t>
            </w:r>
          </w:p>
        </w:tc>
        <w:tc>
          <w:tcPr>
            <w:tcW w:w="1800" w:type="dxa"/>
            <w:vAlign w:val="bottom"/>
            <w:gridSpan w:val="3"/>
          </w:tcPr>
          <w:p>
            <w:pPr>
              <w:jc w:val="right"/>
              <w:ind w:right="220"/>
              <w:spacing w:after="0"/>
              <w:rPr>
                <w:sz w:val="20"/>
                <w:szCs w:val="20"/>
                <w:color w:val="auto"/>
              </w:rPr>
            </w:pPr>
            <w:r>
              <w:rPr>
                <w:rFonts w:ascii="Arial" w:cs="Arial" w:eastAsia="Arial" w:hAnsi="Arial"/>
                <w:sz w:val="18"/>
                <w:szCs w:val="18"/>
                <w:color w:val="auto"/>
              </w:rPr>
              <w:t>0.070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August 7, 2017</w:t>
            </w: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August 22, 2017</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September 7, 2017</w:t>
            </w:r>
          </w:p>
        </w:tc>
        <w:tc>
          <w:tcPr>
            <w:tcW w:w="1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0.070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November 8, 2017</w:t>
            </w: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November 22, 2017</w:t>
            </w: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December 6, 2017</w:t>
            </w:r>
          </w:p>
        </w:tc>
        <w:tc>
          <w:tcPr>
            <w:tcW w:w="1800" w:type="dxa"/>
            <w:vAlign w:val="bottom"/>
            <w:gridSpan w:val="3"/>
          </w:tcPr>
          <w:p>
            <w:pPr>
              <w:jc w:val="right"/>
              <w:ind w:right="220"/>
              <w:spacing w:after="0"/>
              <w:rPr>
                <w:sz w:val="20"/>
                <w:szCs w:val="20"/>
                <w:color w:val="auto"/>
              </w:rPr>
            </w:pPr>
            <w:r>
              <w:rPr>
                <w:rFonts w:ascii="Arial" w:cs="Arial" w:eastAsia="Arial" w:hAnsi="Arial"/>
                <w:sz w:val="18"/>
                <w:szCs w:val="18"/>
                <w:color w:val="auto"/>
              </w:rPr>
              <w:t>0.070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on March 1, 2017, our Board of Directors authorized an increase in our quarterly dividend from $0.05 per share to $0.07 per share beginning with the second quarter dividend in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May 2012, our Board of Directors authorized a stock repurchase program authorizing the Company to repurchase up to $2 million of our outstanding common stock. On July 30, 2012, the Board of Directors increased the repurchase amount to $3 million from the original $2 million. On February 20, 2013, the Board of Directors again increased the repurchase amount to $10 million from $3 million. On December 2, 2014, ClearOne, Inc. issued a press release announcing the declaration of future cash dividends by the Company’s Board of Directors and reported the discontinuance of this stock repurchase program. At the time of the discontinuance of this stock repurchase program, the Company had repurchased approximately $5.4 million of the Company’s stock.</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9, 2016, the Board of Directors of the Company authorized the repurchase of up to $10 million of the Company’s outstanding shares of common stock under a new stock repurchase program. In connection with the repurchase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repurchase program may be suspended or discontinued at any time without prior notice. The transactions effectuated to date occurred in open market purchases.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March 1, 2017, the Board of Directors of the Company renewed and extended the repurchase program until March 8, 2018 for up to an additional $10 million of common stock over the next twelve months. In connection with the repurchase extension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repurchase program may be suspended or discontinued at any time without prior notice. The transactions effectuated to date occurred in open market purchases.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December 31, 2017 we acquired the following shares of common stock under the current stock repurchase program:</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Total Number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2"/>
              </w:rPr>
              <w:t>of</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Shares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Purchased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as Part of</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Shares that May</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0"/>
              </w:rPr>
              <w:t>(a)</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(b)</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Publicly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Average Price</w:t>
            </w: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Announced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Under the Plans</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Paid per</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Plans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or Programs</w:t>
            </w:r>
          </w:p>
        </w:tc>
      </w:tr>
      <w:tr>
        <w:trPr>
          <w:trHeight w:val="234"/>
        </w:trPr>
        <w:tc>
          <w:tcPr>
            <w:tcW w:w="20" w:type="dxa"/>
            <w:vAlign w:val="bottom"/>
          </w:tcPr>
          <w:p>
            <w:pPr>
              <w:spacing w:after="0"/>
              <w:rPr>
                <w:sz w:val="20"/>
                <w:szCs w:val="20"/>
                <w:color w:val="auto"/>
              </w:rPr>
            </w:pPr>
          </w:p>
        </w:tc>
        <w:tc>
          <w:tcPr>
            <w:tcW w:w="410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Share</w:t>
            </w:r>
          </w:p>
        </w:tc>
        <w:tc>
          <w:tcPr>
            <w:tcW w:w="24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(in $ millions)</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October 2017</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19,460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7.47</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November 2017</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29,855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7.01</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29,855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December 2017</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8.88</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118,544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8.18</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118,544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March 11, 2016 to March 17, 2017, the Company offered to repurchase eligible vested options to purchase shares under the 1998 Plan and the 2007 Plan from employees and directors. The Company repurchased delivered options at a repurchase price equal to the difference between the closing market price on the date of the employee’s communication of accepting the repurchase offer and the exercise price of such employee’s delivered options, subject to applicable withholding taxes and charges. The Company repurchased 225,542 stock options from employees and directors between March 11, 2016 and March 17, 2017 at an average purchase price of $7.77. The repurchase program expired on March 8, 2018 and the Board of Directors determined not to renew or extend it at that time.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gridSpan w:val="9"/>
          </w:tcPr>
          <w:p>
            <w:pPr>
              <w:jc w:val="right"/>
              <w:spacing w:after="0"/>
              <w:rPr>
                <w:sz w:val="20"/>
                <w:szCs w:val="20"/>
                <w:color w:val="auto"/>
              </w:rPr>
            </w:pPr>
            <w:r>
              <w:rPr>
                <w:rFonts w:ascii="Arial" w:cs="Arial" w:eastAsia="Arial" w:hAnsi="Arial"/>
                <w:sz w:val="18"/>
                <w:szCs w:val="18"/>
                <w:color w:val="auto"/>
              </w:rPr>
              <w:t>(Dollar in thousands, except per share data)</w:t>
            </w:r>
          </w:p>
        </w:tc>
        <w:tc>
          <w:tcPr>
            <w:tcW w:w="0" w:type="dxa"/>
            <w:vAlign w:val="bottom"/>
          </w:tcPr>
          <w:p>
            <w:pPr>
              <w:spacing w:after="0"/>
              <w:rPr>
                <w:sz w:val="1"/>
                <w:szCs w:val="1"/>
                <w:color w:val="auto"/>
              </w:rPr>
            </w:pPr>
          </w:p>
        </w:tc>
      </w:tr>
      <w:tr>
        <w:trPr>
          <w:trHeight w:val="418"/>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41,804</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48,637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57,796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57,909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24,009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29,487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36,719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35,323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income/(loss)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(16,193)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10,292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income/(loss)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(14,172)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6,776</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5,596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earnings/(loss) per share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Cash dividends declared per share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0.155</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8,260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20,573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Working capital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23,286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30,819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36,539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30,202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67,877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88,124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93,529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88,860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Long-term obligations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710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1,353</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56,567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77,449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82,569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76,016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70,335</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b w:val="1"/>
                <w:bCs w:val="1"/>
                <w:color w:val="auto"/>
                <w:w w:val="94"/>
              </w:rPr>
              <w:t>Quarterly Data for 2017</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rPr>
              <w:t>First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2"/>
              </w:rPr>
              <w:t>Second</w:t>
            </w:r>
          </w:p>
        </w:tc>
        <w:tc>
          <w:tcPr>
            <w:tcW w:w="180" w:type="dxa"/>
            <w:vAlign w:val="bottom"/>
          </w:tcPr>
          <w:p>
            <w:pPr>
              <w:spacing w:after="0"/>
              <w:rPr>
                <w:sz w:val="16"/>
                <w:szCs w:val="16"/>
                <w:color w:val="auto"/>
              </w:rPr>
            </w:pPr>
          </w:p>
        </w:tc>
        <w:tc>
          <w:tcPr>
            <w:tcW w:w="11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7"/>
              </w:rPr>
              <w:t>Third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4"/>
              </w:rPr>
              <w:t>Fourth</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5"/>
              </w:rPr>
              <w:t>Quarter</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8"/>
              </w:rPr>
              <w:t>Quarter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5"/>
              </w:rPr>
              <w:t>Quarter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11,678</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10,560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6,069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6,509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Diluted loss per common share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 23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8"/>
                <w:szCs w:val="18"/>
                <w:b w:val="1"/>
                <w:bCs w:val="1"/>
                <w:color w:val="auto"/>
                <w:w w:val="94"/>
              </w:rPr>
              <w:t>Quarterly Data for 2016</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220"/>
              <w:spacing w:after="0" w:line="191" w:lineRule="exact"/>
              <w:rPr>
                <w:sz w:val="20"/>
                <w:szCs w:val="20"/>
                <w:color w:val="auto"/>
              </w:rPr>
            </w:pPr>
            <w:r>
              <w:rPr>
                <w:rFonts w:ascii="Arial" w:cs="Arial" w:eastAsia="Arial" w:hAnsi="Arial"/>
                <w:sz w:val="18"/>
                <w:szCs w:val="18"/>
                <w:b w:val="1"/>
                <w:bCs w:val="1"/>
                <w:color w:val="auto"/>
              </w:rPr>
              <w:t>First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160"/>
              <w:spacing w:after="0" w:line="191" w:lineRule="exact"/>
              <w:rPr>
                <w:sz w:val="20"/>
                <w:szCs w:val="20"/>
                <w:color w:val="auto"/>
              </w:rPr>
            </w:pPr>
            <w:r>
              <w:rPr>
                <w:rFonts w:ascii="Arial" w:cs="Arial" w:eastAsia="Arial" w:hAnsi="Arial"/>
                <w:sz w:val="18"/>
                <w:szCs w:val="18"/>
                <w:b w:val="1"/>
                <w:bCs w:val="1"/>
                <w:color w:val="auto"/>
              </w:rPr>
              <w:t>Second</w:t>
            </w:r>
          </w:p>
        </w:tc>
        <w:tc>
          <w:tcPr>
            <w:tcW w:w="180" w:type="dxa"/>
            <w:vAlign w:val="bottom"/>
          </w:tcPr>
          <w:p>
            <w:pPr>
              <w:spacing w:after="0"/>
              <w:rPr>
                <w:sz w:val="16"/>
                <w:szCs w:val="16"/>
                <w:color w:val="auto"/>
              </w:rPr>
            </w:pPr>
          </w:p>
        </w:tc>
        <w:tc>
          <w:tcPr>
            <w:tcW w:w="106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Third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rPr>
              <w:t>Fourth</w:t>
            </w:r>
          </w:p>
        </w:tc>
        <w:tc>
          <w:tcPr>
            <w:tcW w:w="100" w:type="dxa"/>
            <w:vAlign w:val="bottom"/>
          </w:tcPr>
          <w:p>
            <w:pPr>
              <w:spacing w:after="0"/>
              <w:rPr>
                <w:sz w:val="16"/>
                <w:szCs w:val="16"/>
                <w:color w:val="auto"/>
              </w:rPr>
            </w:pPr>
          </w:p>
        </w:tc>
      </w:tr>
      <w:tr>
        <w:trPr>
          <w:trHeight w:val="234"/>
        </w:trPr>
        <w:tc>
          <w:tcPr>
            <w:tcW w:w="4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Quarter</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0"/>
                <w:szCs w:val="20"/>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13,033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10,730</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Gross profit</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8,465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7,664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5,590</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(1,088)</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Diluted earnings(loss) per common share</w:t>
            </w:r>
          </w:p>
        </w:tc>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(0.12)</w:t>
            </w:r>
          </w:p>
        </w:tc>
      </w:tr>
      <w:tr>
        <w:trPr>
          <w:trHeight w:val="418"/>
        </w:trPr>
        <w:tc>
          <w:tcPr>
            <w:tcW w:w="4260" w:type="dxa"/>
            <w:vAlign w:val="bottom"/>
          </w:tcPr>
          <w:p>
            <w:pPr>
              <w:spacing w:after="0"/>
              <w:rPr>
                <w:sz w:val="24"/>
                <w:szCs w:val="24"/>
                <w:color w:val="auto"/>
              </w:rPr>
            </w:pPr>
          </w:p>
        </w:tc>
        <w:tc>
          <w:tcPr>
            <w:tcW w:w="1820" w:type="dxa"/>
            <w:vAlign w:val="bottom"/>
          </w:tcPr>
          <w:p>
            <w:pPr>
              <w:jc w:val="right"/>
              <w:ind w:right="110"/>
              <w:spacing w:after="0"/>
              <w:rPr>
                <w:sz w:val="20"/>
                <w:szCs w:val="20"/>
                <w:color w:val="auto"/>
              </w:rPr>
            </w:pPr>
            <w:r>
              <w:rPr>
                <w:rFonts w:ascii="Arial" w:cs="Arial" w:eastAsia="Arial" w:hAnsi="Arial"/>
                <w:sz w:val="18"/>
                <w:szCs w:val="18"/>
                <w:color w:val="auto"/>
              </w:rPr>
              <w:t>| 24 |</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26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7" w:name="page28"/>
    <w:bookmarkEnd w:id="27"/>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left="20"/>
        <w:spacing w:after="0" w:line="276" w:lineRule="auto"/>
        <w:rPr>
          <w:sz w:val="20"/>
          <w:szCs w:val="20"/>
          <w:color w:val="auto"/>
        </w:rPr>
      </w:pPr>
      <w:r>
        <w:rPr>
          <w:rFonts w:ascii="Arial" w:cs="Arial" w:eastAsia="Arial" w:hAnsi="Arial"/>
          <w:sz w:val="17"/>
          <w:szCs w:val="17"/>
          <w:color w:val="auto"/>
        </w:rPr>
        <w:t>The following discussion should be read in conjunction with our consolidated financial statements and related notes included in this report, as well as our other filings with the SEC.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Item 1A and elsewhere in this report.</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20"/>
        <w:spacing w:after="0" w:line="308" w:lineRule="auto"/>
        <w:rPr>
          <w:sz w:val="20"/>
          <w:szCs w:val="20"/>
          <w:color w:val="auto"/>
        </w:rPr>
      </w:pPr>
      <w:r>
        <w:rPr>
          <w:rFonts w:ascii="Arial" w:cs="Arial" w:eastAsia="Arial" w:hAnsi="Arial"/>
          <w:sz w:val="17"/>
          <w:szCs w:val="17"/>
          <w:color w:val="auto"/>
        </w:rPr>
        <w:t>ClearOne is a global Company that designs, develops and sells conferencing, collaboration, and network streaming solutions for voice and visual communications. The performance and simplicity of our advanced, comprehensive solutions offer a high level of functionality, reliability and scalability.</w:t>
      </w:r>
    </w:p>
    <w:p>
      <w:pPr>
        <w:spacing w:after="0" w:line="147" w:lineRule="exact"/>
        <w:rPr>
          <w:sz w:val="20"/>
          <w:szCs w:val="20"/>
          <w:color w:val="auto"/>
        </w:rPr>
      </w:pPr>
    </w:p>
    <w:p>
      <w:pPr>
        <w:jc w:val="both"/>
        <w:ind w:left="20"/>
        <w:spacing w:after="0" w:line="312" w:lineRule="auto"/>
        <w:rPr>
          <w:sz w:val="20"/>
          <w:szCs w:val="20"/>
          <w:color w:val="auto"/>
        </w:rPr>
      </w:pPr>
      <w:r>
        <w:rPr>
          <w:rFonts w:ascii="Arial" w:cs="Arial" w:eastAsia="Arial" w:hAnsi="Arial"/>
          <w:sz w:val="16"/>
          <w:szCs w:val="16"/>
          <w:color w:val="auto"/>
        </w:rPr>
        <w:t>We derive most of our revenue from professional audio conferencing products by promoting our products in the professional audio-visual channel. We have extended our total addressable market from installed audio conferencing market to adjacent complementary markets – microphones, video collaboration and networked audio and video streaming. We have achieved this through strategic technological acquisitions as well as by internal product development.</w:t>
      </w:r>
    </w:p>
    <w:p>
      <w:pPr>
        <w:spacing w:after="0" w:line="147" w:lineRule="exact"/>
        <w:rPr>
          <w:sz w:val="20"/>
          <w:szCs w:val="20"/>
          <w:color w:val="auto"/>
        </w:rPr>
      </w:pPr>
    </w:p>
    <w:p>
      <w:pPr>
        <w:ind w:left="20"/>
        <w:spacing w:after="0" w:line="255" w:lineRule="auto"/>
        <w:rPr>
          <w:sz w:val="20"/>
          <w:szCs w:val="20"/>
          <w:color w:val="auto"/>
        </w:rPr>
      </w:pPr>
      <w:r>
        <w:rPr>
          <w:rFonts w:ascii="Arial" w:cs="Arial" w:eastAsia="Arial" w:hAnsi="Arial"/>
          <w:sz w:val="18"/>
          <w:szCs w:val="18"/>
          <w:color w:val="auto"/>
        </w:rPr>
        <w:t>During 2017, we devoted most of our attention to the transition of our flagship professional audio conferencing products from CONVERGE Pro and Beamforming Microphone Array platform to CONVERGE Pro 2, our full line of next-gen DSP conferencing platform and Beamforming Microphone Array 2 platform. A number of CONVERGE Pro 2 SKUs were introduced and shipped during 2017 along with accessories like touch panel controllers, GPIO expansion box and USB expansion box. On the operations side, we successfully transitioned the manufacture of our professional audio conferencing products by our Electronics Manufacturer Services provider in the US to outside the US. On the sales and marketing front, our initiatives included focusing on smaller regional arenas, adding headcount to the sales team for increased feet on the street, and bringing on new regional channel partners to boost sales opportunity funnels.</w:t>
      </w:r>
    </w:p>
    <w:p>
      <w:pPr>
        <w:spacing w:after="0" w:line="189"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Overall revenue declined in 2017 despite a significant increase in revenue from video products. The declines in revenue from professional audio products and unified communications end points more than offset the increase in revenue from video products. Our revenue decline in professional audio products reflects the challenges in transition to the next generation professional audio conferencing platform, and the on-going harm of infringement of ClearOne’s patents to our professional audio conferencing products.</w:t>
      </w:r>
    </w:p>
    <w:p>
      <w:pPr>
        <w:spacing w:after="0" w:line="187"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Our gross profit margin decreased in 2017 to 57% compared to 61% in 2016 primarily due to the reduced margins associated with CONVERGE Pro 1 consequent to price reductions announced in the fourth quarter of 2016. Net income decreased from $2.4 million in 2016 to a loss of $14.2 million in 2017. Net loss in 2017 was primarily due to $13.5 million in impairment of goodwill and intangible assets.</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Industry conditions</w:t>
      </w:r>
    </w:p>
    <w:p>
      <w:pPr>
        <w:spacing w:after="0" w:line="225"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We operate in a very dynamic and highly competitive industry which is dominated on the one hand by a few players with respect to certain products like traditional video conferencing appliances while on the other influenced heavily by a fragmented reseller market consisting of numerous regional and local players. The industry is also characterized by the influx of venture capitalist funded start-ups and private companies keen to win market share even at the expense of mounting financial losses.</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Economic conditions, challenges and risks</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audio-visual products market is characterized by intense competition and rapidly evolving technology. Our competitors vary within each product category. Our professional audio communication products, which contribute the most to our revenue, continues to be ahead of the competition despite the reduction in revenues through our transition from the CP1 platform to the next generation CP2 platform. Our strength in this space is largely due to our fully integrated suite of products consisting of DSP mixers, wide range of professional microphone products and video collaboration products. Despite our strong leadership position in the professional audio communications products market, we face challenges to revenue growth due to the limited size of the market and pricing pressures from new competitors attracted to the commercial market due to higher margins.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28" w:name="page29"/>
    <w:bookmarkEnd w:id="28"/>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left="20"/>
        <w:spacing w:after="0" w:line="276" w:lineRule="auto"/>
        <w:rPr>
          <w:sz w:val="20"/>
          <w:szCs w:val="20"/>
          <w:color w:val="auto"/>
        </w:rPr>
      </w:pPr>
      <w:r>
        <w:rPr>
          <w:rFonts w:ascii="Arial" w:cs="Arial" w:eastAsia="Arial" w:hAnsi="Arial"/>
          <w:sz w:val="17"/>
          <w:szCs w:val="17"/>
          <w:color w:val="auto"/>
        </w:rPr>
        <w:t>Revenue from our video products in the overall revenue mix has been improving on the back of a strong growth for our media collaboration products in 2017. We face intense competition in this market from well-established market leaders as well as emerging players rich with marketing funds. We expect our strategy of combining Spontania, our cloud-based video conferencing product, Collaborate, our appliance-based media collaboration product and our high-end audio conferencing technology to continue to generate high growth in revenue. We believe we are also well positioned to capitalize on the continuing migration away from the traditional hardware-based video conferencing systems to software-based video conferencing applications.</w:t>
      </w:r>
    </w:p>
    <w:p>
      <w:pPr>
        <w:spacing w:after="0" w:line="1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derive a major portion of our revenue (approximately 39% for the year ended December 31, 2017) from international operations and expect this trend to continue in the future. Most of our revenue from outside the U.S. is billed in US dollars and is not exposed to any significant currency risk. However, we are exposed to foreign exchange risk if the US dollar is strong against other currencies as it will make U.S. Dollar denominated prices of our products less competitive.</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jc w:val="both"/>
        <w:ind w:left="20"/>
        <w:spacing w:after="0" w:line="257" w:lineRule="auto"/>
        <w:rPr>
          <w:sz w:val="20"/>
          <w:szCs w:val="20"/>
          <w:color w:val="auto"/>
        </w:rPr>
      </w:pPr>
      <w:r>
        <w:rPr>
          <w:rFonts w:ascii="Arial" w:cs="Arial" w:eastAsia="Arial" w:hAnsi="Arial"/>
          <w:sz w:val="18"/>
          <w:szCs w:val="18"/>
          <w:color w:val="auto"/>
        </w:rPr>
        <w:t>Each quarter-end, we evaluate the inventory in the distribution channel through information provided by certain of our distributors. The level of inventory in the channel fluctuates up or down each quarter based upon our distributors’ individual operations. Accordingly, each quarter-end revenue deferral is calculated and recorded based upon the underlying channel inventory at quarter-end. Deferred revenue increased by $0.7 million to $4.6 million in 2017, due to higher orders placed in December. In 2016 deferred revenue decreased by $0.7 million from $4.6 million at the end of 2015 to $3.9 million at the end of 2016.</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DISCUSSION OF RESULTS OF OPERATIONS</w:t>
      </w:r>
    </w:p>
    <w:p>
      <w:pPr>
        <w:spacing w:after="0" w:line="229"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The following table sets forth certain items from our consolidated statements of operations for the years ended December 31, 2017, 2016 and 2015, together with the percentage change each item represents. Throughout this discussion, we compare results of operations for the year ended December 31, 2017 (“2017”) to the year ended December 31, 2016 (“2016” or “the comparable period”) and to the year ended December 31, 2015 (“2015” or “the comparable period”).</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Percentage Change</w:t>
            </w:r>
          </w:p>
        </w:tc>
        <w:tc>
          <w:tcPr>
            <w:tcW w:w="1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Percentage Change</w:t>
            </w:r>
          </w:p>
        </w:tc>
        <w:tc>
          <w:tcPr>
            <w:tcW w:w="0" w:type="dxa"/>
            <w:vAlign w:val="bottom"/>
          </w:tcPr>
          <w:p>
            <w:pPr>
              <w:spacing w:after="0"/>
              <w:rPr>
                <w:sz w:val="1"/>
                <w:szCs w:val="1"/>
                <w:color w:val="auto"/>
              </w:rPr>
            </w:pPr>
          </w:p>
        </w:tc>
      </w:tr>
      <w:tr>
        <w:trPr>
          <w:trHeight w:val="23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w w:val="93"/>
              </w:rPr>
              <w:t>(In thousands, except percentages)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2017 vs 2016</w:t>
            </w:r>
          </w:p>
        </w:tc>
        <w:tc>
          <w:tcPr>
            <w:tcW w:w="19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2016 vs 2015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41,804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48,637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57,796</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17,795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19,150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21,077</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36,719</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10,996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10,032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10,646</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w w:val="98"/>
              </w:rPr>
              <w:t>Research and product development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9,342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8,318</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7,493</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Impairment of intangible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12,724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Legal settlement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790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26,457</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Operating income/(loss)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(16,193)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3,566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10,262</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-554%</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Income/(loss) before income taxes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10,551</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-510%</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Provision for/(benefit from) income</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taxes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3775</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-220%</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6,776</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20"/>
        <w:spacing w:after="0" w:line="289" w:lineRule="auto"/>
        <w:rPr>
          <w:sz w:val="20"/>
          <w:szCs w:val="20"/>
          <w:color w:val="auto"/>
        </w:rPr>
      </w:pPr>
      <w:r>
        <w:rPr>
          <w:rFonts w:ascii="Arial" w:cs="Arial" w:eastAsia="Arial" w:hAnsi="Arial"/>
          <w:sz w:val="16"/>
          <w:szCs w:val="16"/>
          <w:color w:val="auto"/>
        </w:rPr>
        <w:t>Our revenue decreased to $41.8 million in 2017 compared to $48.6 million in 2016. The 38% increase in revenue from video products was more than offset by a 19% decline in professional audio conferencing revenue and a 27% decline in revenue from unified communication end points. Premium products consisting of Interact AT line of products declined the most while media collaboration products increased the most. The decline in revenue from professional audio conferencing products was mostly due to price reductions to CONVERGE Pro 1 platform in the fourth quarter of 2016, delay in transitioning to the next generation professional audio conferencing platform, and the on-going harm of infringement of ClearOne’s patents to our professional audio conferencing products. The share of professional audio communications products (which includes microphone products but not premium products) in our product mix declined from 77% in 2016 to 72% in 2017. Share of video products in the revenue mix increased from 11% in 2016 to 17% in 2017. The increase in revenue from video products was due to the success of media collaboration products, especially Unite camera, and increasing acceptance of View Pro in major projects, especially in Asia and Middle East. Share of UC end points declined marginally from 12% in 2016 to 11% in 2017.</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2017, revenue declined across all major markets except India, Middle East, China and parts of Europe. The decline was pronounced in the USA, Canada, South Asia, Korea and Northern Europe. Asia Pacific including Middle East increased by 18%, Europe and Africa declined by 12% and Americas declined by about 23%. The revenue decline was primarily caused by the delay in the transition to our next generation audio platform, CONVERGE Pro 2 and Beamforming Microphone Array 2 combined with price reduction effected to Converge Pro 1 platform in 2016 and the on-going harm of infringement of ClearOne’s patents to our professional audio conferencing products. We believe, although there can be no assurance, that we will return to growth path when the transition from CONVERGE Pro 1 platform to CONVERGE Pro 2 platform is complete which we anticipate may happen in the next 12 months.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revenue decreased to $48.6 million in 2016 compared to $57.8 million in 2015. The 40% increase in revenue from video products was more than offset by a 19% decline in professional audio conferencing revenue and a 23% decline in revenue from unified communication end points. Tabletop audio conferencing products declined the most while media collaboration products increased the most. The decline in revenue from professional audio conferencing products was mostly due to overall weakness in the economy, decline in orders due to transition from CONVERGE Pro 1 to CONVERGE Pro 2 and reductions in CONVERGE Pro 1 pricing in the last quarter of 2016. The share of professional audio communications products (which includes microphone products but not premium products) in our product mix declined from 80% in 2015 to 77% in 2016. Share of video products in the revenue mix increased from 6.5% in 2015 to 11% in 2016. The increase in revenue from video products was due to the success of Unite camera, favorable reception to the new Collaborate SKUs containing integrated audio solutions and increasing acceptance of View Pro in major projects. Share of UC end points declined marginally from 13% in 2016 to 12% in 2015.</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and Gross Profit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goods sold (“COGS”)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gross profit during 2017 was approximately $24.0 million or 57% compared to approximately $29.5 million or 61% in 2016. Gross margin declined mainly due to the price reductions made to CONVERGE Pro 1 products in the fourth quarter of 2016 and the decline in higher margin professional audio conferencing products in the mix</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gross profit during 2016 was approximately $29.5 million or 61% compared to approximately $36.7 million or 64% in 2015. This increase in margin was mainly due to favorable change in product mix and contribution of licensing fees to the revenue.</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profitability in the near-term continues to depend significantly on our revenues from professional audio conferencing products. We hold long-term inventory and if we are unable to sell our long-term inventory, our profitability might be affected by inventory write-offs and price mark-downs.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Profits (Losses)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income/(loss), or income/(loss from operations, is the surplus or deficit after operating expenses are deducted from gross profits. Operating expenses include sales and marketing (“S&amp;M”) expenses, research and product development (“R&amp;D”) expenses and general and administrative (“G&amp;A”) expenses. Total operating expenses were $40.2 million in 2017, which included $13.5 million in impairment of goodwill and intangible assets, compared to $25.9 million in 2016 and $26.5 million in 2014. The following contains a more detailed discussion of expenses related to sales and marketing, research and product development, general and administrative, and other items.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Sales and Marketing</w:t>
      </w:r>
      <w:r>
        <w:rPr>
          <w:rFonts w:ascii="Arial" w:cs="Arial" w:eastAsia="Arial" w:hAnsi="Arial"/>
          <w:sz w:val="18"/>
          <w:szCs w:val="18"/>
          <w:b w:val="1"/>
          <w:bCs w:val="1"/>
          <w:color w:val="auto"/>
        </w:rPr>
        <w:t xml:space="preserve"> </w:t>
      </w:r>
      <w:r>
        <w:rPr>
          <w:rFonts w:ascii="Arial" w:cs="Arial" w:eastAsia="Arial" w:hAnsi="Arial"/>
          <w:sz w:val="18"/>
          <w:szCs w:val="18"/>
          <w:color w:val="auto"/>
        </w:rPr>
        <w:t>S&amp;M expenses include sales, customer service, and marketing expenses such as employee-related costs, allocations of overhead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trade shows, and other advertising and selling expenses.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S&amp;M expenses in 2017 increased by 10% from $10.0 million in 2016 to $11 million in 2017 mainly due to an augmentation in headcount and employee-related salaries, and benefits.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S&amp;M expenses in 2016 declined by 6% from $10.6 million in 2015 to $10.0 million in 2016 mainly due to reductions in commissions paid to independent agents and reductions in employee-related salaries, benefits.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 w:name="page31"/>
    <w:bookmarkEnd w:id="30"/>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u w:val="single" w:color="auto"/>
          <w:color w:val="auto"/>
        </w:rPr>
        <w:t>Research and Product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R&amp;D expenses include research and development, product line management, engineering services, and test and</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 expenses, including employee-related costs, outside services, expensed materials, depreciation, and an allocation of overhead expenses.</w:t>
      </w:r>
    </w:p>
    <w:p>
      <w:pPr>
        <w:spacing w:after="0" w:line="1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R&amp;D expenses increased during 2017 to $9.3 million from $8.6 million in 2016. The increase was primarily due to an increase in R&amp;D project costs and employee-related costs partially offset by a reduction in overhead allocated to R&amp;D.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R&amp;D expenses increased marginally during 2016 to $8.6 million from $8.3 million in 2015. The increase was primarily due to an increase in R&amp;D project costs and employee-related costs partially offset by a reduction in overhead allocated to R&amp;D.</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u w:val="single" w:color="auto"/>
          <w:color w:val="auto"/>
        </w:rPr>
        <w:t>General and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G&amp;A expenses include employee-related costs, professional service fees, allocations of overhead expenses, litigation costs, and</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administrative costs, including costs related to finance and human resources.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G&amp;A expenses were approximately $7.2 million in 2017 compared with approximately $7.3 million in 2016. G&amp;A expenses was practically unchanged with main expenses relating to audit, accounting fees and legal expenses.</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G&amp;A expenses were approximately $7.3 million in 2016 compared with approximately $7.5 million in 2015. The decrease in G&amp;A expenses was primarily due to a reduction in audit and accounting fees and employee-related costs partially offset by an increase in legal expenses, especially in the fourth quarter.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 and Intangibles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recognized impairment of goodwill of $12.7 million and intangibles of $0.7 million during the twelve months ended December 31, 2017. There were no such impairment charges during the years ended December 31, 2016 and 2015. The analysis for impairment was mainly triggered due to the decrease of our market capitalization. We recorded impairment charges upon determination that the carrying value of certain intangibles and goodwill is in excess of the implied fair value of such assets.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The tax benefit of $1.7 million during 2017 was primarily the result of the tax benefit on current year losses, offset by additional tax expense related to the impact of the tax rate change on net deferred tax assets. This compared to tax expense of $1.4 million during 2016, which was primarily the result of tax on current year income. This increase in tax benefit of $3.1 million resulted primarily from changing from income in 2016 to losses in 2017.</w:t>
      </w:r>
    </w:p>
    <w:p>
      <w:pPr>
        <w:spacing w:after="0" w:line="14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tax expense of $1.4 million during 2016 was primarily the result of tax on current year income. This compared to tax expense of $3.8 million during 2015, also primarily the result of tax on current year income. This decrease of $2.4 million resulted primarily from a decrease in the overall pre-tax income for the period, as well as reduced R&amp;D tax credit utilization.</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LIQUIDITY, CAPITAL RESOURCES AND FINANCIAL POSITION</w:t>
      </w:r>
    </w:p>
    <w:p>
      <w:pPr>
        <w:spacing w:after="0" w:line="229"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As of December 31, 2017, our cash and cash equivalents were approximately $5.6 million compared to $12.1 million as of December 31, 2016. Our working capital was $23.3 million and $30.8 million as of December 31, 2017 and 2016, respectively.</w:t>
      </w:r>
    </w:p>
    <w:p>
      <w:pPr>
        <w:spacing w:after="0" w:line="170"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Net cash flows used by operating activities were approximately $9.3 million during 2017, a decrease of approximately $17.1 million from $7.8 million provided by operating activities in 2016. The decrease was primarily due to reduction in net income of $16.6 million and an increase in inventory of $12.6 million partially offset by an increase in non-cash charges of $11.6 million consisting mostly of impairment charges.</w:t>
      </w:r>
    </w:p>
    <w:p>
      <w:pPr>
        <w:spacing w:after="0" w:line="181" w:lineRule="exact"/>
        <w:rPr>
          <w:sz w:val="20"/>
          <w:szCs w:val="20"/>
          <w:color w:val="auto"/>
        </w:rPr>
      </w:pPr>
    </w:p>
    <w:p>
      <w:pPr>
        <w:jc w:val="both"/>
        <w:ind w:left="20" w:right="20"/>
        <w:spacing w:after="0" w:line="264" w:lineRule="auto"/>
        <w:rPr>
          <w:sz w:val="20"/>
          <w:szCs w:val="20"/>
          <w:color w:val="auto"/>
        </w:rPr>
      </w:pPr>
      <w:r>
        <w:rPr>
          <w:rFonts w:ascii="Arial" w:cs="Arial" w:eastAsia="Arial" w:hAnsi="Arial"/>
          <w:sz w:val="18"/>
          <w:szCs w:val="18"/>
          <w:color w:val="auto"/>
        </w:rPr>
        <w:t>Net cash flows provided by investing activities were $10.2 million during 2017 compared to net cash flows used in investing activities of $0.9 million during 2016, an increase of $11.1 million during 2017. The increase was primarily due to an increase in net sales of marketable securities of $13.4 million partially offset by $2.3 million of capitalized patent defense costs.</w:t>
      </w:r>
    </w:p>
    <w:p>
      <w:pPr>
        <w:spacing w:after="0" w:line="181"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Net cash used in financing activities increased in 2017 by $0.7 million primarily due to a decrease in payments for stock repurchases and cancellation of stock options of $2.4 million offset by an increase in dividend payments of $0.4 million and an increase in proceeds from equity-based compensation programs and related tax benefits of $1.3 million.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Net cash flows provided by operating activities were approximately $7.8 million during 2016, an increase of approximately $0.2 million from $7.6 million provided by operating activities in 2015. The increase was primarily due to increase in cash inflows due to change in operating assets and liabilities of $4.8 million mostly offset by a decrease in non-cash charges of $0.2 million and a reduction in net income of $4.3 million.</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Net cash flows used in investing activities were $0.9 million during 2016 compared to net cash flows used in investing activities of $0.6 million during 2015, an increase of $0.3 million during 2016. The increase was primarily due to an increase of $0.5 million in purchases of property, plant and equipment and intangibles partially offset by a reduction in net purchases of marketable securities. Net cash used in financing activities increased in 2016 by $7.3 million primarily due to payments for stock repurchases and cancellation of stock options of $7.8 million and increased dividend payments of $0.4 million partially offset by increased proceeds from equity-based compensation programs and related tax benefits of $1.0 million. Please refer to </w:t>
      </w:r>
      <w:r>
        <w:rPr>
          <w:rFonts w:ascii="Arial" w:cs="Arial" w:eastAsia="Arial" w:hAnsi="Arial"/>
          <w:sz w:val="16"/>
          <w:szCs w:val="16"/>
          <w:u w:val="single" w:color="auto"/>
          <w:color w:val="auto"/>
        </w:rPr>
        <w:t>Note 3 - Business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Combinations, Goodwill and Intangibles</w:t>
      </w:r>
      <w:r>
        <w:rPr>
          <w:rFonts w:ascii="Arial" w:cs="Arial" w:eastAsia="Arial" w:hAnsi="Arial"/>
          <w:sz w:val="16"/>
          <w:szCs w:val="16"/>
          <w:color w:val="auto"/>
        </w:rPr>
        <w:t xml:space="preserve"> in the Notes to Consolidated Financial Statements (Part IV) for details on the Company’s acquisitions.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in 2016 consisted of proceeds received from the exercise of stock options amounting to $0.5 million and associated tax benefits of $41 thousand, offset by cash dividends of $1.4 million. Net cash used in financing activities in 2015 consisted of proceeds from the exercise of stock options totaling $1.3 million and associated tax benefits totaling $0.2 million, offset by the acquisition of outstanding stock totaling $2.6 million under the stock repurchase program.</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future income from operations and effective management of working capital will provide the liquidity needed to meet our short-term and long-term operating requirements and finance our growth plans. We also believe that our strong financial position and sound business structure will enable us to raise additional capital if and when needed to meet our short and long-term financing needs. In addition to capital expenditures, we may use cash in the near future for selective infusions of technology, sales and marketing, infrastructure, and other investments to fuel our growth, as well as acquisitions that may strategically fit our business and are accretive to our performance. We also intend to use cash to pay quarterly cash dividends and repurchase stock under our repurchase program expired in March 2018.</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2017, we had open purchase orders related to our electronics manufacturing service providers of approximately $3.4 million, primarily related to inventory purchases.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2017, we had inventory totaling $23.1 million, of which non-current inventory accounted for $8.7 million. This compares to total inventories of $13.0 million and non-current inventory of $1.7 million as of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 Our significant accounting policies are described in </w:t>
      </w:r>
      <w:r>
        <w:rPr>
          <w:rFonts w:ascii="Arial" w:cs="Arial" w:eastAsia="Arial" w:hAnsi="Arial"/>
          <w:sz w:val="17"/>
          <w:szCs w:val="17"/>
          <w:u w:val="single" w:color="auto"/>
          <w:color w:val="auto"/>
        </w:rPr>
        <w:t>Note 1 -</w:t>
      </w:r>
      <w:r>
        <w:rPr>
          <w:rFonts w:ascii="Arial" w:cs="Arial" w:eastAsia="Arial" w:hAnsi="Arial"/>
          <w:sz w:val="17"/>
          <w:szCs w:val="17"/>
          <w:color w:val="auto"/>
        </w:rPr>
        <w:t xml:space="preserve"> </w:t>
      </w:r>
      <w:r>
        <w:rPr>
          <w:rFonts w:ascii="Arial" w:cs="Arial" w:eastAsia="Arial" w:hAnsi="Arial"/>
          <w:sz w:val="17"/>
          <w:szCs w:val="17"/>
          <w:u w:val="single" w:color="auto"/>
          <w:color w:val="auto"/>
        </w:rPr>
        <w:t>Business Description, Basis of Presentation and Significant Accounting Policies</w:t>
      </w:r>
      <w:r>
        <w:rPr>
          <w:rFonts w:ascii="Arial" w:cs="Arial" w:eastAsia="Arial" w:hAnsi="Arial"/>
          <w:sz w:val="17"/>
          <w:szCs w:val="17"/>
          <w:color w:val="auto"/>
        </w:rPr>
        <w:t xml:space="preserve"> to the Consolidated Financial Statements included in Part IV of this report. We believe the following critical accounting policies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20" w:firstLine="8"/>
        <w:spacing w:after="0" w:line="261" w:lineRule="auto"/>
        <w:tabs>
          <w:tab w:leader="none" w:pos="2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a right of return on product sales to certain distributors under a product rotation program. Under this seldom-used program, once a quarter, a distributor is allowed to return products purchased during the prior quarter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the deferral analysis described below. In a small number of cases, the distributors are also permitted to return the products for other business reasons.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from product sales to distributors is not recognized until the return privilege has expired or until it can be determined with reasonable certainty that the return privilege has expired, which approximates when the product is sold-through to customers of our distributors (dealers, system integrators, value-added resellers, and end-users), rather than when the product is initially shipped to a distributor. At each quarter-end, we evaluate the inventory in the distribution channel through information provided by our distributors. The level of inventory in the channel will fluctuate up-ward or down-ward each quarter based upon our distributors’ individual operations. Accordingly, each quarter-end deferral of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we receive payment for the product sales made to such distributors or channel partners.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 As part of these controls, we sample test the inventory of a limited number of distributors on an annual basis, most recently in the fourth quarter of 2017, to verify inventory levels reported.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of deferred cost of goods sold was included in distributor channel inventories. The following table details the amount of deferred revenue, cost of goods sold, and gross profit: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b w:val="1"/>
                <w:bCs w:val="1"/>
                <w:color w:val="auto"/>
                <w:w w:val="95"/>
              </w:rPr>
              <w:t>As of December 31,</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40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56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4,549</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1,555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1,628</w:t>
            </w:r>
          </w:p>
        </w:tc>
      </w:tr>
      <w:tr>
        <w:trPr>
          <w:trHeight w:val="20"/>
        </w:trPr>
        <w:tc>
          <w:tcPr>
            <w:tcW w:w="64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Deferred gross profit</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56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2,921</w:t>
            </w: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offer rebates and market development funds to certain of our distributors, dealers/resellers, and end-users based upon volume of product purchased by them. We record rebates quarterly as a reduction of revenue in accordance with GAAP.</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credit terms on the sale of our products to a majority of our channel partners and perform ongoing credit evaluations of our customers’ financial condition. We maintain an allowance for doubtful accounts for estimated losses resulting from the inability or unwillingness of our channel partners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Impairment of Goodwill and Intangible Assets</w:t>
      </w:r>
    </w:p>
    <w:p>
      <w:pPr>
        <w:spacing w:after="0" w:line="229"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We perform impairment tests of goodwill and intangible assets with indefinite useful lives on an annual basis in the fourth fiscal quarter, or sooner if a triggering event occurs suggesting possible impairment of the values of these assets. Impairment testing for these assets involves a two-step process. In the first step, the fair value of the reporting unit holding the assets is compared to its carrying amount. If the carrying amount of the reporting unit exceeds its fair value, the second step of the impairment test is performed to measure the amount of the impairment loss, if any. In the second step, the fair value of the reporting unit is allocated to all of its assets and liabilities, including intangible assets and liabilities not recorded on the balance sheet. The excess, if any, of the fair value of the reporting unit over the sum of the fair values allocated to identified assets and liabilities is the value of goodwill to be compared to its carrying value.</w:t>
      </w:r>
    </w:p>
    <w:p>
      <w:pPr>
        <w:spacing w:after="0" w:line="189" w:lineRule="exact"/>
        <w:rPr>
          <w:sz w:val="20"/>
          <w:szCs w:val="20"/>
          <w:color w:val="auto"/>
        </w:rPr>
      </w:pPr>
    </w:p>
    <w:p>
      <w:pPr>
        <w:jc w:val="both"/>
        <w:ind w:left="20"/>
        <w:spacing w:after="0" w:line="312" w:lineRule="auto"/>
        <w:rPr>
          <w:sz w:val="20"/>
          <w:szCs w:val="20"/>
          <w:color w:val="auto"/>
        </w:rPr>
      </w:pPr>
      <w:r>
        <w:rPr>
          <w:rFonts w:ascii="Arial" w:cs="Arial" w:eastAsia="Arial" w:hAnsi="Arial"/>
          <w:sz w:val="16"/>
          <w:szCs w:val="16"/>
          <w:color w:val="auto"/>
        </w:rPr>
        <w:t>Based on the third quarter results of the Company’s recent impairment analysis triggered by the fall in the Company’s stock price and recent financial results, the Company determined that goodwill and an intangible asset consisting of customer relationships were impaired and recognized a charge of $12.7 million towards goodwill impairment and $0.7 million towards the intangible asset impairment for the three and nine months ended September 30, 2017.</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ind w:left="20"/>
        <w:spacing w:after="0" w:line="291" w:lineRule="auto"/>
        <w:rPr>
          <w:sz w:val="20"/>
          <w:szCs w:val="20"/>
          <w:color w:val="auto"/>
        </w:rPr>
      </w:pPr>
      <w:r>
        <w:rPr>
          <w:rFonts w:ascii="Arial" w:cs="Arial" w:eastAsia="Arial" w:hAnsi="Arial"/>
          <w:sz w:val="16"/>
          <w:szCs w:val="16"/>
          <w:color w:val="auto"/>
        </w:rPr>
        <w:t>We assess the impairment of long-lived assets, such as property and equipment and definite-lived intangible assets subject to amortization,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Accounting for Income Taxes</w:t>
      </w:r>
    </w:p>
    <w:p>
      <w:pPr>
        <w:spacing w:after="0" w:line="229"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spacing w:after="0" w:line="189"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 xml:space="preserve">To the extent we establish a valuation allowance in a period, we must include and expense the allowance within the tax provision in the consolidated statement of operations. In accordance with ASC Topic 740, “Accounting for Income Taxes”, we analyzed our valuation allowance at December 31, 2017 and determined that based upon available evidence it is more likely than not that certain of our deferred tax assets related to foreign net operating loss carryovers, foreign intangible assets, state R&amp;D tax credit carryovers, and capital loss carryovers will not be realized and, accordingly, we have recorded a valuation allowance against these deferred tax assets in the amount of $2.2 million. Please refer to </w:t>
      </w:r>
      <w:r>
        <w:rPr>
          <w:rFonts w:ascii="Arial" w:cs="Arial" w:eastAsia="Arial" w:hAnsi="Arial"/>
          <w:sz w:val="18"/>
          <w:szCs w:val="18"/>
          <w:u w:val="single" w:color="auto"/>
          <w:color w:val="auto"/>
        </w:rPr>
        <w:t>Note 12 - Income Taxes</w:t>
      </w:r>
      <w:r>
        <w:rPr>
          <w:rFonts w:ascii="Arial" w:cs="Arial" w:eastAsia="Arial" w:hAnsi="Arial"/>
          <w:sz w:val="18"/>
          <w:szCs w:val="18"/>
          <w:color w:val="auto"/>
        </w:rPr>
        <w:t xml:space="preserve"> in the Notes to Consolidated Financial Statements for additional information.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perform a quarterly analysis of obsolete and slow-moving inventory to determine if any inventory needs to be written down. In general, we write-down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 down the value of that inventory to its expected realizable value. These charges are recorded in cost of goods sold. The reserve against slow-moving or obsolete inventory is increased or reduced based on several factors which, among other things, require us to make an estimate of a product’s life-cycle, potential demand and our ability to sell these products at estimated price levels. While we 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estimate the fair value of stock options using the Black-Scholes option pricing model, which requires certain estimates, including 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descriptions of recently issued accounting standards, see </w:t>
      </w:r>
      <w:r>
        <w:rPr>
          <w:rFonts w:ascii="Arial" w:cs="Arial" w:eastAsia="Arial" w:hAnsi="Arial"/>
          <w:sz w:val="18"/>
          <w:szCs w:val="18"/>
          <w:u w:val="single" w:color="auto"/>
          <w:color w:val="auto"/>
        </w:rPr>
        <w:t>Note 1. Business Description, Basis of Presentation and Significant Accounting Policies</w:t>
      </w:r>
      <w:r>
        <w:rPr>
          <w:rFonts w:ascii="Arial" w:cs="Arial" w:eastAsia="Arial" w:hAnsi="Arial"/>
          <w:sz w:val="18"/>
          <w:szCs w:val="18"/>
          <w:color w:val="auto"/>
        </w:rPr>
        <w:t xml:space="preserve"> of our Notes to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5" w:name="page36"/>
    <w:bookmarkEnd w:id="35"/>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left="20"/>
        <w:spacing w:after="0" w:line="279" w:lineRule="auto"/>
        <w:rPr>
          <w:sz w:val="20"/>
          <w:szCs w:val="20"/>
          <w:color w:val="auto"/>
        </w:rPr>
      </w:pPr>
      <w:r>
        <w:rPr>
          <w:rFonts w:ascii="Arial" w:cs="Arial" w:eastAsia="Arial" w:hAnsi="Arial"/>
          <w:sz w:val="17"/>
          <w:szCs w:val="17"/>
          <w:color w:val="auto"/>
        </w:rPr>
        <w:t>Market risk represents the risk of changes in the value of a financial instrument, derivative or non-derivative, caused by fluctuations in interest rates, foreign exchange rates, and equity prices. Changes in these factors could cause fluctuations in the results of our operations and cash flows. In the ordinary course of business, we are exposed to foreign currency and interest rate risks. These risks primarily relate to the sale of products and services to foreign customers and changes in interest rates on any interest-bearing investments or notes receivable, notes payable, or capital leases.</w:t>
      </w:r>
    </w:p>
    <w:p>
      <w:pPr>
        <w:spacing w:after="0" w:line="171"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Financial instruments which potentially expose us to concentrations of credit risk primarily consist of cash and cash equivalents, short-term and long-term investments, accounts receivable and unbilled accounts receivable.</w:t>
      </w:r>
    </w:p>
    <w:p>
      <w:pPr>
        <w:spacing w:after="0" w:line="170"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Our fixed-income portfolio consisting primarily of investment-grade securities is managed by professional money managers. Our investment securities also consist of triple-A rated short-term money market funds that typically invest in U.S. Treasury, U.S. government agency, and highly rated corporate securities. Since these funds are managed in a manner designed to preserve capital we do not expect any material changes in market values, as a result of increase or decrease in interest rates.</w:t>
      </w:r>
    </w:p>
    <w:p>
      <w:pPr>
        <w:spacing w:after="0" w:line="187"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We believe that our credit policies reflect normal industry terms and business risk. We do not anticipate non-performance by the counterparties and, accordingly, do not require collateral. Credit losses and write-offs of accounts receivable balances have historically not been material to our financial statements and have not exceeded our expectations.</w:t>
      </w:r>
    </w:p>
    <w:p>
      <w:pPr>
        <w:spacing w:after="0" w:line="181"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We did not have any notes payable and capital lease obligations as of December 31, 2017. Accordingly, we do not have significant exposure to changing interest rates. We have not undertaken any additional actions to cover market interest rate market risk and are not a party to any other interest rate market risk management activities. We do not purchase or hold any derivative financial instruments.</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Although we enter into non-US Dollar transactions, foreign currency exposures arising from these transactions are not material.</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 xml:space="preserve">Financial statements and supplementary data required by this are included herein as a </w:t>
      </w:r>
      <w:r>
        <w:rPr>
          <w:rFonts w:ascii="Arial" w:cs="Arial" w:eastAsia="Arial" w:hAnsi="Arial"/>
          <w:sz w:val="18"/>
          <w:szCs w:val="18"/>
          <w:u w:val="single" w:color="auto"/>
          <w:color w:val="auto"/>
        </w:rPr>
        <w:t>separate section</w:t>
      </w:r>
      <w:r>
        <w:rPr>
          <w:rFonts w:ascii="Arial" w:cs="Arial" w:eastAsia="Arial" w:hAnsi="Arial"/>
          <w:sz w:val="18"/>
          <w:szCs w:val="18"/>
          <w:color w:val="auto"/>
        </w:rPr>
        <w:t xml:space="preserve"> of this Form 10-K, beginning on page F-1, and are incorporated in this Item 8 by reference.</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right="140"/>
        <w:spacing w:after="0" w:line="268" w:lineRule="auto"/>
        <w:rPr>
          <w:sz w:val="20"/>
          <w:szCs w:val="20"/>
          <w:color w:val="auto"/>
        </w:rPr>
      </w:pPr>
      <w:r>
        <w:rPr>
          <w:rFonts w:ascii="Arial" w:cs="Arial" w:eastAsia="Arial" w:hAnsi="Arial"/>
          <w:sz w:val="17"/>
          <w:szCs w:val="17"/>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Senior Vice President of Finance, as appropriate, to allow for timely decisions regarding required disclosure. As required by Rule 13a-15 under the Exchange Act, we have completed an evaluation, under the supervision and with the participation of our management, including the Chief Executive Officer and the Senior Vice President of Finance, of the effectiveness and the design and operation of our disclosure controls and procedures as of December 31, 2017. Our disclosure controls and procedures are designed to provide reasonable assurance of achieving their objectives. Based upon this evaluation, our Chief Executive Officer and Senior Vice President of Finance concluded that, as of the end of the period covered by this Annual Report, our disclosure controls and procedures were not effective at a reasonable assurance level as of December 31, 2017 due to the material weakness in internal control over financial reporting as described below. Despite the existence of this material weakness, the Company believes the financial information presented herein is materially correct and in accordance with generally accepted accounting principles in the United States of America, and do not contain any untrue statement of a material fact or omit to state a material fact required to be stated or that is necessary to make a statement not misleading in light of the circumstances under which it was made. The consolidated financial statements together with the other financial information included in the consolidated financial statements and this Annual Report on Form 10-K fairly present, in all material respects, the financial condition, financial performance and cash flows of the Company for the year ended December 31, 2017.</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36" w:name="page37"/>
    <w:bookmarkEnd w:id="36"/>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United States generally accepted accounting principles.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Our management conducted an evaluation of the effectiveness of our internal control over financial reporting as of December 31, 2017 based on the framework set forth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framework) issued by the Committee of Sponsoring Organizations of the Treadway Commission. The Public Company Accounting Oversight Board's Auditing Standard No. 5 defines a material weakness as a deficiency, or a combination of deficiencies, in internal control over financial reporting, such that there is a reasonable possibility that a material misstatement of annual or interim financial statements will not be prevented or detected on a timely basis. Management identified a material weakness in the operating effectiveness of internal control over financial reporting relating to the accurate and timely reporting of its financial results and disclosures for the fiscal year ended December 31, 2017 and its testing and assessment of the design and effectiveness of internal controls over financial reporting in a timely manner. This material weakness was identified prior to the issuance of our consolidated financial statements for the year ended December 31, 2017, and could result in material misstatements in the Company’s annual or interim consolidated financial statements that would not be prevented or detected.</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material weakness described above, management concluded that our internal control over financial reporting was not effective as of December 31, 2017. The effectiveness of our internal control over financial reporting as of December 31, 2017 has been audited by Tanner, LLC, our independent registered public accounting firm, as stated in their report appearing on page F-1.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fourth fiscal quarter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address the material weakness, management is working with our third party internal controls consultant to assist with the implementation of a remediation plan which will supplement the existing controls. The remediation plan will include an assessment of personnel levels and responsibilities, additional training of financial reporting personnel and ability to handle new requirements and projects on a timely basis with respect to the preparation of the consolidated financial statements and public company reporting requirements and timelines. The material weakness will be fully remediated when, in the opinion of management, the control processes have been operating for a sufficient period of time to provide reasonable assurance as to their effectiveness. The remediation and ultimate resolution of the material weakness will be reviewed with the Audit Committee of the Board of Directors.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20" w:top="118" w:right="37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for our 2017 annual meeting of shareholders or an amendment to this Annual Report on Form 10-K, which will be filed with the Securities and Exchange Commission within 120 days after the end of our fiscal year covered by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for our 2017 annual meeting of shareholders or an amendment to this Annual Report on Form 10-K, which will be filed with the Securities and Exchange Commission within 120 days after the end of our fiscal year covered by this Annual Report on form 10-K.</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for our 2017 annual meeting of shareholders or an amendment to this Annual Report on Form 10-K, which will be filed with the Securities and Exchange Commission within 120 days after the end of our fiscal year covered by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for our 2017 annual meeting of shareholders or an amendment to this Annual Report on Form 10-K, which will be filed with the Securities and Exchange Commission within 120 days after the end of our fiscal year covered by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for our 2017 annual meeting of shareholders or an amendment to this Annual Report on Form 10-K, which will be filed with the Securities and Exchange Commission within 120 days after the end of our fiscal year covered by this Annual Report on form 10-K.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380" w:hanging="372"/>
        <w:spacing w:after="0" w:line="27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Statements: Financial statements set forth under Part II, Item 8 of this Annual Report on Form 10-K are filed in a separate section of this Form 10-K. See the “Index to Consolidated Financial Statements”.</w:t>
      </w:r>
    </w:p>
    <w:p>
      <w:pPr>
        <w:spacing w:after="0" w:line="170"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Statement Schedules: All schedules are omitted since they either are not required, not applicable or the information is presented in the accompanying consolidated financial statements and notes thereto.</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Exhibits: The exhibits listed under the Index of exhibits in the next page are filed or incorporated by reference as part of this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15"/>
          </w:tcPr>
          <w:p>
            <w:pPr>
              <w:ind w:left="160"/>
              <w:spacing w:after="0"/>
              <w:rPr>
                <w:sz w:val="20"/>
                <w:szCs w:val="20"/>
                <w:color w:val="auto"/>
              </w:rPr>
            </w:pPr>
            <w:r>
              <w:rPr>
                <w:rFonts w:ascii="Arial" w:cs="Arial" w:eastAsia="Arial" w:hAnsi="Arial"/>
                <w:sz w:val="18"/>
                <w:szCs w:val="18"/>
                <w:b w:val="1"/>
                <w:bCs w:val="1"/>
                <w:color w:val="auto"/>
              </w:rPr>
              <w:t>INDEX TO EXHIBITS</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34"/>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3"/>
              </w:rPr>
              <w:t>Exhibit Incorporated</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20" w:type="dxa"/>
            <w:vAlign w:val="bottom"/>
            <w:gridSpan w:val="22"/>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7"/>
              </w:rPr>
              <w:t>Form</w:t>
            </w:r>
          </w:p>
        </w:tc>
        <w:tc>
          <w:tcPr>
            <w:tcW w:w="24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Herein by Reference</w:t>
            </w: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3"/>
              </w:rPr>
              <w:t>Filing Date</w:t>
            </w:r>
          </w:p>
        </w:tc>
      </w:tr>
      <w:tr>
        <w:trPr>
          <w:trHeight w:val="169"/>
        </w:trPr>
        <w:tc>
          <w:tcPr>
            <w:tcW w:w="9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2.1</w:t>
            </w:r>
          </w:p>
        </w:tc>
        <w:tc>
          <w:tcPr>
            <w:tcW w:w="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5460" w:type="dxa"/>
            <w:vAlign w:val="bottom"/>
            <w:tcBorders>
              <w:top w:val="single" w:sz="8" w:color="auto"/>
              <w:bottom w:val="single" w:sz="8" w:color="0000EE"/>
            </w:tcBorders>
            <w:gridSpan w:val="24"/>
          </w:tcPr>
          <w:p>
            <w:pPr>
              <w:spacing w:after="0" w:line="170" w:lineRule="exact"/>
              <w:rPr>
                <w:rFonts w:ascii="Arial" w:cs="Arial" w:eastAsia="Arial" w:hAnsi="Arial"/>
                <w:sz w:val="18"/>
                <w:szCs w:val="18"/>
                <w:color w:val="0000EE"/>
                <w:w w:val="96"/>
              </w:rPr>
            </w:pPr>
            <w:hyperlink r:id="rId49">
              <w:r>
                <w:rPr>
                  <w:rFonts w:ascii="Arial" w:cs="Arial" w:eastAsia="Arial" w:hAnsi="Arial"/>
                  <w:sz w:val="18"/>
                  <w:szCs w:val="18"/>
                  <w:color w:val="0000EE"/>
                  <w:w w:val="96"/>
                </w:rPr>
                <w:t>Agreement and Plan of Merger, dated as of November 3, 2009, by and</w:t>
              </w:r>
            </w:hyperlink>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8-K</w:t>
            </w:r>
          </w:p>
        </w:tc>
        <w:tc>
          <w:tcPr>
            <w:tcW w:w="240" w:type="dxa"/>
            <w:vAlign w:val="bottom"/>
          </w:tcPr>
          <w:p>
            <w:pPr>
              <w:spacing w:after="0"/>
              <w:rPr>
                <w:sz w:val="14"/>
                <w:szCs w:val="14"/>
                <w:color w:val="auto"/>
              </w:rPr>
            </w:pPr>
          </w:p>
        </w:tc>
        <w:tc>
          <w:tcPr>
            <w:tcW w:w="21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2.2</w:t>
            </w:r>
          </w:p>
        </w:tc>
        <w:tc>
          <w:tcPr>
            <w:tcW w:w="240" w:type="dxa"/>
            <w:vAlign w:val="bottom"/>
          </w:tcPr>
          <w:p>
            <w:pPr>
              <w:spacing w:after="0"/>
              <w:rPr>
                <w:sz w:val="14"/>
                <w:szCs w:val="14"/>
                <w:color w:val="auto"/>
              </w:rPr>
            </w:pPr>
          </w:p>
        </w:tc>
        <w:tc>
          <w:tcPr>
            <w:tcW w:w="11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8"/>
              </w:rPr>
              <w:t>11/09/09</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40" w:type="dxa"/>
            <w:vAlign w:val="bottom"/>
            <w:tcBorders>
              <w:bottom w:val="single" w:sz="8" w:color="0000EE"/>
            </w:tcBorders>
            <w:gridSpan w:val="23"/>
          </w:tcPr>
          <w:p>
            <w:pPr>
              <w:spacing w:after="0" w:line="196" w:lineRule="exact"/>
              <w:rPr>
                <w:rFonts w:ascii="Arial" w:cs="Arial" w:eastAsia="Arial" w:hAnsi="Arial"/>
                <w:sz w:val="18"/>
                <w:szCs w:val="18"/>
                <w:color w:val="0000EE"/>
                <w:w w:val="98"/>
              </w:rPr>
            </w:pPr>
            <w:hyperlink r:id="rId49">
              <w:r>
                <w:rPr>
                  <w:rFonts w:ascii="Arial" w:cs="Arial" w:eastAsia="Arial" w:hAnsi="Arial"/>
                  <w:sz w:val="18"/>
                  <w:szCs w:val="18"/>
                  <w:color w:val="0000EE"/>
                  <w:w w:val="98"/>
                </w:rPr>
                <w:t>among  ClearOne  Communications,  Inc.,  Alta-Wasatch  Acquisition</w:t>
              </w:r>
            </w:hyperlink>
          </w:p>
        </w:tc>
        <w:tc>
          <w:tcPr>
            <w:tcW w:w="24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40" w:type="dxa"/>
            <w:vAlign w:val="bottom"/>
            <w:tcBorders>
              <w:bottom w:val="single" w:sz="8" w:color="0000EE"/>
            </w:tcBorders>
            <w:gridSpan w:val="23"/>
          </w:tcPr>
          <w:p>
            <w:pPr>
              <w:spacing w:after="0" w:line="196" w:lineRule="exact"/>
              <w:rPr>
                <w:rFonts w:ascii="Arial" w:cs="Arial" w:eastAsia="Arial" w:hAnsi="Arial"/>
                <w:sz w:val="18"/>
                <w:szCs w:val="18"/>
                <w:color w:val="0000EE"/>
                <w:w w:val="96"/>
              </w:rPr>
            </w:pPr>
            <w:hyperlink r:id="rId49">
              <w:r>
                <w:rPr>
                  <w:rFonts w:ascii="Arial" w:cs="Arial" w:eastAsia="Arial" w:hAnsi="Arial"/>
                  <w:sz w:val="18"/>
                  <w:szCs w:val="18"/>
                  <w:color w:val="0000EE"/>
                  <w:w w:val="96"/>
                </w:rPr>
                <w:t>Corporation, NetStreams, Inc., Austin Ventures VIII, L.P., and Kevin A.</w:t>
              </w:r>
            </w:hyperlink>
          </w:p>
        </w:tc>
        <w:tc>
          <w:tcPr>
            <w:tcW w:w="24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80" w:type="dxa"/>
            <w:vAlign w:val="bottom"/>
            <w:gridSpan w:val="28"/>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Reinis.</w:t>
              </w:r>
            </w:hyperlink>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7"/>
                <w:szCs w:val="17"/>
                <w:color w:val="auto"/>
              </w:rPr>
            </w:pPr>
          </w:p>
        </w:tc>
        <w:tc>
          <w:tcPr>
            <w:tcW w:w="5680" w:type="dxa"/>
            <w:vAlign w:val="bottom"/>
            <w:gridSpan w:val="28"/>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Amended and Restated Articles of Incorporation of ClearOne, Inc.</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4"/>
              </w:rPr>
              <w:t>10-K</w:t>
            </w:r>
          </w:p>
        </w:tc>
        <w:tc>
          <w:tcPr>
            <w:tcW w:w="24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7"/>
              </w:rPr>
              <w:t>3.1</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03/25/13</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7"/>
                <w:szCs w:val="17"/>
                <w:color w:val="auto"/>
              </w:rPr>
            </w:pPr>
          </w:p>
        </w:tc>
        <w:tc>
          <w:tcPr>
            <w:tcW w:w="48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Bylaws</w:t>
              </w:r>
            </w:hyperlink>
          </w:p>
        </w:tc>
        <w:tc>
          <w:tcPr>
            <w:tcW w:w="880" w:type="dxa"/>
            <w:vAlign w:val="bottom"/>
            <w:gridSpan w:val="8"/>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4"/>
              </w:rPr>
              <w:t>10-K</w:t>
            </w:r>
          </w:p>
        </w:tc>
        <w:tc>
          <w:tcPr>
            <w:tcW w:w="24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7"/>
              </w:rPr>
              <w:t>3.2</w:t>
            </w:r>
          </w:p>
        </w:tc>
        <w:tc>
          <w:tcPr>
            <w:tcW w:w="14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8"/>
              </w:rPr>
              <w:t>03/31/11</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7"/>
                <w:szCs w:val="17"/>
                <w:color w:val="auto"/>
              </w:rPr>
            </w:pPr>
          </w:p>
        </w:tc>
        <w:tc>
          <w:tcPr>
            <w:tcW w:w="266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r:id="rId52">
              <w:r>
                <w:rPr>
                  <w:rFonts w:ascii="Arial" w:cs="Arial" w:eastAsia="Arial" w:hAnsi="Arial"/>
                  <w:sz w:val="18"/>
                  <w:szCs w:val="18"/>
                  <w:color w:val="0000EE"/>
                  <w:w w:val="88"/>
                </w:rPr>
                <w:t>1997 Employee Stock Purchase Plan</w:t>
              </w:r>
            </w:hyperlink>
          </w:p>
        </w:tc>
        <w:tc>
          <w:tcPr>
            <w:tcW w:w="3020" w:type="dxa"/>
            <w:vAlign w:val="bottom"/>
            <w:gridSpan w:val="19"/>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5"/>
              </w:rPr>
              <w:t>S-8</w:t>
            </w:r>
          </w:p>
        </w:tc>
        <w:tc>
          <w:tcPr>
            <w:tcW w:w="24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7"/>
              </w:rPr>
              <w:t>4.9</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10/06/06</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220" w:type="dxa"/>
            <w:vAlign w:val="bottom"/>
          </w:tcPr>
          <w:p>
            <w:pPr>
              <w:spacing w:after="0"/>
              <w:rPr>
                <w:sz w:val="17"/>
                <w:szCs w:val="17"/>
                <w:color w:val="auto"/>
              </w:rPr>
            </w:pPr>
          </w:p>
        </w:tc>
        <w:tc>
          <w:tcPr>
            <w:tcW w:w="5680" w:type="dxa"/>
            <w:vAlign w:val="bottom"/>
            <w:gridSpan w:val="28"/>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1998 Stock Option Plan</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5"/>
              </w:rPr>
              <w:t>S-8</w:t>
            </w:r>
          </w:p>
        </w:tc>
        <w:tc>
          <w:tcPr>
            <w:tcW w:w="24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7"/>
              </w:rPr>
              <w:t>4.8</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10/06/06</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220" w:type="dxa"/>
            <w:vAlign w:val="bottom"/>
          </w:tcPr>
          <w:p>
            <w:pPr>
              <w:spacing w:after="0"/>
              <w:rPr>
                <w:sz w:val="17"/>
                <w:szCs w:val="17"/>
                <w:color w:val="auto"/>
              </w:rPr>
            </w:pPr>
          </w:p>
        </w:tc>
        <w:tc>
          <w:tcPr>
            <w:tcW w:w="5680" w:type="dxa"/>
            <w:vAlign w:val="bottom"/>
            <w:gridSpan w:val="28"/>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2007 Equity Incentive Plan</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5"/>
              </w:rPr>
              <w:t>S-8</w:t>
            </w:r>
          </w:p>
        </w:tc>
        <w:tc>
          <w:tcPr>
            <w:tcW w:w="24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7"/>
              </w:rPr>
              <w:t>4.7</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01/22/08</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220" w:type="dxa"/>
            <w:vAlign w:val="bottom"/>
          </w:tcPr>
          <w:p>
            <w:pPr>
              <w:spacing w:after="0"/>
              <w:rPr>
                <w:sz w:val="17"/>
                <w:szCs w:val="17"/>
                <w:color w:val="auto"/>
              </w:rPr>
            </w:pPr>
          </w:p>
        </w:tc>
        <w:tc>
          <w:tcPr>
            <w:tcW w:w="5680" w:type="dxa"/>
            <w:vAlign w:val="bottom"/>
            <w:gridSpan w:val="28"/>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ClearOne, Inc. Equity Incentive Plan</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5"/>
              </w:rPr>
              <w:t>S-8</w:t>
            </w:r>
          </w:p>
        </w:tc>
        <w:tc>
          <w:tcPr>
            <w:tcW w:w="24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7"/>
              </w:rPr>
              <w:t>4.8</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01/26/16</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220" w:type="dxa"/>
            <w:vAlign w:val="bottom"/>
          </w:tcPr>
          <w:p>
            <w:pPr>
              <w:spacing w:after="0"/>
              <w:rPr>
                <w:sz w:val="17"/>
                <w:szCs w:val="17"/>
                <w:color w:val="auto"/>
              </w:rPr>
            </w:pPr>
          </w:p>
        </w:tc>
        <w:tc>
          <w:tcPr>
            <w:tcW w:w="45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Amendment No. 1 to the ClearOne, Inc. Equity Incentive Plan</w:t>
              </w:r>
            </w:hyperlink>
          </w:p>
        </w:tc>
        <w:tc>
          <w:tcPr>
            <w:tcW w:w="1180" w:type="dxa"/>
            <w:vAlign w:val="bottom"/>
            <w:gridSpan w:val="9"/>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5"/>
              </w:rPr>
              <w:t>S-8</w:t>
            </w:r>
          </w:p>
        </w:tc>
        <w:tc>
          <w:tcPr>
            <w:tcW w:w="24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5"/>
              </w:rPr>
              <w:t>4.11</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06/30/15</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220" w:type="dxa"/>
            <w:vAlign w:val="bottom"/>
          </w:tcPr>
          <w:p>
            <w:pPr>
              <w:spacing w:after="0"/>
              <w:rPr>
                <w:sz w:val="17"/>
                <w:szCs w:val="17"/>
                <w:color w:val="auto"/>
              </w:rPr>
            </w:pPr>
          </w:p>
        </w:tc>
        <w:tc>
          <w:tcPr>
            <w:tcW w:w="5680" w:type="dxa"/>
            <w:vAlign w:val="bottom"/>
            <w:gridSpan w:val="28"/>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ClearOne, Inc. Employee Stock Purchase Plan</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5"/>
              </w:rPr>
              <w:t>S-8</w:t>
            </w:r>
          </w:p>
        </w:tc>
        <w:tc>
          <w:tcPr>
            <w:tcW w:w="24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7"/>
              </w:rPr>
              <w:t>4.3</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06/30/15</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220" w:type="dxa"/>
            <w:vAlign w:val="bottom"/>
          </w:tcPr>
          <w:p>
            <w:pPr>
              <w:spacing w:after="0"/>
              <w:rPr>
                <w:sz w:val="17"/>
                <w:szCs w:val="17"/>
                <w:color w:val="auto"/>
              </w:rPr>
            </w:pPr>
          </w:p>
        </w:tc>
        <w:tc>
          <w:tcPr>
            <w:tcW w:w="5440" w:type="dxa"/>
            <w:vAlign w:val="bottom"/>
            <w:tcBorders>
              <w:bottom w:val="single" w:sz="8" w:color="0000EE"/>
            </w:tcBorders>
            <w:gridSpan w:val="23"/>
          </w:tcPr>
          <w:p>
            <w:pPr>
              <w:spacing w:after="0" w:line="196" w:lineRule="exact"/>
              <w:rPr>
                <w:rFonts w:ascii="Arial" w:cs="Arial" w:eastAsia="Arial" w:hAnsi="Arial"/>
                <w:sz w:val="18"/>
                <w:szCs w:val="18"/>
                <w:color w:val="0000EE"/>
                <w:w w:val="98"/>
              </w:rPr>
            </w:pPr>
            <w:hyperlink r:id="rId58">
              <w:r>
                <w:rPr>
                  <w:rFonts w:ascii="Arial" w:cs="Arial" w:eastAsia="Arial" w:hAnsi="Arial"/>
                  <w:sz w:val="18"/>
                  <w:szCs w:val="18"/>
                  <w:color w:val="0000EE"/>
                  <w:w w:val="98"/>
                </w:rPr>
                <w:t>Office Lease between Edgewater Corporate Park, LLC and ClearOne</w:t>
              </w:r>
            </w:hyperlink>
          </w:p>
        </w:tc>
        <w:tc>
          <w:tcPr>
            <w:tcW w:w="240" w:type="dxa"/>
            <w:vAlign w:val="bottom"/>
            <w:gridSpan w:val="5"/>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4"/>
              </w:rPr>
              <w:t>10-K</w:t>
            </w:r>
          </w:p>
        </w:tc>
        <w:tc>
          <w:tcPr>
            <w:tcW w:w="2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88"/>
              </w:rPr>
              <w:t>10.19</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09/14/06</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58">
              <w:r>
                <w:rPr>
                  <w:rFonts w:ascii="Arial" w:cs="Arial" w:eastAsia="Arial" w:hAnsi="Arial"/>
                  <w:sz w:val="18"/>
                  <w:szCs w:val="18"/>
                  <w:color w:val="0000EE"/>
                  <w:w w:val="89"/>
                </w:rPr>
                <w:t>Communications, Inc. dated June 5, 2006</w:t>
              </w:r>
            </w:hyperlink>
          </w:p>
        </w:tc>
        <w:tc>
          <w:tcPr>
            <w:tcW w:w="2680" w:type="dxa"/>
            <w:vAlign w:val="bottom"/>
            <w:gridSpan w:val="18"/>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220" w:type="dxa"/>
            <w:vAlign w:val="bottom"/>
          </w:tcPr>
          <w:p>
            <w:pPr>
              <w:spacing w:after="0"/>
              <w:rPr>
                <w:sz w:val="17"/>
                <w:szCs w:val="17"/>
                <w:color w:val="auto"/>
              </w:rPr>
            </w:pPr>
          </w:p>
        </w:tc>
        <w:tc>
          <w:tcPr>
            <w:tcW w:w="546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r:id="rId59">
              <w:r>
                <w:rPr>
                  <w:rFonts w:ascii="Arial" w:cs="Arial" w:eastAsia="Arial" w:hAnsi="Arial"/>
                  <w:sz w:val="18"/>
                  <w:szCs w:val="18"/>
                  <w:color w:val="0000EE"/>
                  <w:w w:val="94"/>
                </w:rPr>
                <w:t>Stock Purchase Agreement Between ClearOne, Inc. and Doran M. Oster</w:t>
              </w:r>
            </w:hyperlink>
          </w:p>
        </w:tc>
        <w:tc>
          <w:tcPr>
            <w:tcW w:w="220" w:type="dxa"/>
            <w:vAlign w:val="bottom"/>
            <w:gridSpan w:val="4"/>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4"/>
              </w:rPr>
              <w:t>10-K</w:t>
            </w:r>
          </w:p>
        </w:tc>
        <w:tc>
          <w:tcPr>
            <w:tcW w:w="2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10.7</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03/20/14</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59">
              <w:r>
                <w:rPr>
                  <w:rFonts w:ascii="Arial" w:cs="Arial" w:eastAsia="Arial" w:hAnsi="Arial"/>
                  <w:sz w:val="18"/>
                  <w:szCs w:val="18"/>
                  <w:color w:val="0000EE"/>
                  <w:w w:val="91"/>
                </w:rPr>
                <w:t>Dated March 4, 2014 for the Sabine Acquisition.</w:t>
              </w:r>
            </w:hyperlink>
          </w:p>
        </w:tc>
        <w:tc>
          <w:tcPr>
            <w:tcW w:w="2160" w:type="dxa"/>
            <w:vAlign w:val="bottom"/>
            <w:gridSpan w:val="15"/>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220" w:type="dxa"/>
            <w:vAlign w:val="bottom"/>
          </w:tcPr>
          <w:p>
            <w:pPr>
              <w:spacing w:after="0"/>
              <w:rPr>
                <w:sz w:val="17"/>
                <w:szCs w:val="17"/>
                <w:color w:val="auto"/>
              </w:rPr>
            </w:pPr>
          </w:p>
        </w:tc>
        <w:tc>
          <w:tcPr>
            <w:tcW w:w="5440" w:type="dxa"/>
            <w:vAlign w:val="bottom"/>
            <w:tcBorders>
              <w:bottom w:val="single" w:sz="8" w:color="0000EE"/>
            </w:tcBorders>
            <w:gridSpan w:val="23"/>
          </w:tcPr>
          <w:p>
            <w:pPr>
              <w:spacing w:after="0" w:line="196" w:lineRule="exact"/>
              <w:rPr>
                <w:rFonts w:ascii="Arial" w:cs="Arial" w:eastAsia="Arial" w:hAnsi="Arial"/>
                <w:sz w:val="18"/>
                <w:szCs w:val="18"/>
                <w:color w:val="0000EE"/>
                <w:w w:val="96"/>
              </w:rPr>
            </w:pPr>
            <w:hyperlink r:id="rId60">
              <w:r>
                <w:rPr>
                  <w:rFonts w:ascii="Arial" w:cs="Arial" w:eastAsia="Arial" w:hAnsi="Arial"/>
                  <w:sz w:val="18"/>
                  <w:szCs w:val="18"/>
                  <w:color w:val="0000EE"/>
                  <w:w w:val="96"/>
                </w:rPr>
                <w:t>Manufacturing Services Agreement between Flextronics Industrial, Ltd.</w:t>
              </w:r>
            </w:hyperlink>
          </w:p>
        </w:tc>
        <w:tc>
          <w:tcPr>
            <w:tcW w:w="240" w:type="dxa"/>
            <w:vAlign w:val="bottom"/>
            <w:gridSpan w:val="5"/>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4"/>
              </w:rPr>
              <w:t>10-K</w:t>
            </w:r>
          </w:p>
        </w:tc>
        <w:tc>
          <w:tcPr>
            <w:tcW w:w="2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88"/>
              </w:rPr>
              <w:t>10.21</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10/13/09</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80" w:type="dxa"/>
            <w:vAlign w:val="bottom"/>
            <w:gridSpan w:val="28"/>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and ClearOne Communications, Inc. dated November 3, 2008</w:t>
              </w:r>
            </w:hyperlink>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220" w:type="dxa"/>
            <w:vAlign w:val="bottom"/>
          </w:tcPr>
          <w:p>
            <w:pPr>
              <w:spacing w:after="0"/>
              <w:rPr>
                <w:sz w:val="17"/>
                <w:szCs w:val="17"/>
                <w:color w:val="auto"/>
              </w:rPr>
            </w:pPr>
          </w:p>
        </w:tc>
        <w:tc>
          <w:tcPr>
            <w:tcW w:w="5440" w:type="dxa"/>
            <w:vAlign w:val="bottom"/>
            <w:tcBorders>
              <w:bottom w:val="single" w:sz="8" w:color="0000EE"/>
            </w:tcBorders>
            <w:gridSpan w:val="23"/>
          </w:tcPr>
          <w:p>
            <w:pPr>
              <w:spacing w:after="0" w:line="196" w:lineRule="exact"/>
              <w:rPr>
                <w:rFonts w:ascii="Arial" w:cs="Arial" w:eastAsia="Arial" w:hAnsi="Arial"/>
                <w:sz w:val="18"/>
                <w:szCs w:val="18"/>
                <w:color w:val="0000EE"/>
                <w:w w:val="96"/>
              </w:rPr>
            </w:pPr>
            <w:hyperlink r:id="rId61">
              <w:r>
                <w:rPr>
                  <w:rFonts w:ascii="Arial" w:cs="Arial" w:eastAsia="Arial" w:hAnsi="Arial"/>
                  <w:sz w:val="18"/>
                  <w:szCs w:val="18"/>
                  <w:color w:val="0000EE"/>
                  <w:w w:val="96"/>
                </w:rPr>
                <w:t>Framework Agreement between ClearOne, Inc. and Dialcom Networks</w:t>
              </w:r>
            </w:hyperlink>
          </w:p>
        </w:tc>
        <w:tc>
          <w:tcPr>
            <w:tcW w:w="240" w:type="dxa"/>
            <w:vAlign w:val="bottom"/>
            <w:gridSpan w:val="5"/>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2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10.1</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04/07/14</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80" w:type="dxa"/>
            <w:vAlign w:val="bottom"/>
            <w:gridSpan w:val="28"/>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S.L., dated December 20, 2013</w:t>
              </w:r>
            </w:hyperlink>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220" w:type="dxa"/>
            <w:vAlign w:val="bottom"/>
          </w:tcPr>
          <w:p>
            <w:pPr>
              <w:spacing w:after="0"/>
              <w:rPr>
                <w:sz w:val="17"/>
                <w:szCs w:val="17"/>
                <w:color w:val="auto"/>
              </w:rPr>
            </w:pPr>
          </w:p>
        </w:tc>
        <w:tc>
          <w:tcPr>
            <w:tcW w:w="5440" w:type="dxa"/>
            <w:vAlign w:val="bottom"/>
            <w:tcBorders>
              <w:bottom w:val="single" w:sz="8" w:color="0000EE"/>
            </w:tcBorders>
            <w:gridSpan w:val="23"/>
          </w:tcPr>
          <w:p>
            <w:pPr>
              <w:spacing w:after="0" w:line="196" w:lineRule="exact"/>
              <w:rPr>
                <w:rFonts w:ascii="Arial" w:cs="Arial" w:eastAsia="Arial" w:hAnsi="Arial"/>
                <w:sz w:val="18"/>
                <w:szCs w:val="18"/>
                <w:color w:val="0000EE"/>
                <w:w w:val="95"/>
              </w:rPr>
            </w:pPr>
            <w:hyperlink r:id="rId62">
              <w:r>
                <w:rPr>
                  <w:rFonts w:ascii="Arial" w:cs="Arial" w:eastAsia="Arial" w:hAnsi="Arial"/>
                  <w:sz w:val="18"/>
                  <w:szCs w:val="18"/>
                  <w:color w:val="0000EE"/>
                  <w:w w:val="95"/>
                </w:rPr>
                <w:t>Amendment  to  Framework  Agreement  between  ClearOne,  Inc.  and</w:t>
              </w:r>
            </w:hyperlink>
          </w:p>
        </w:tc>
        <w:tc>
          <w:tcPr>
            <w:tcW w:w="240" w:type="dxa"/>
            <w:vAlign w:val="bottom"/>
            <w:gridSpan w:val="5"/>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2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10.2</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04/07/14</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80" w:type="dxa"/>
            <w:vAlign w:val="bottom"/>
            <w:gridSpan w:val="28"/>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Dialcom Networks S.L., dated March 31, 2014</w:t>
              </w:r>
            </w:hyperlink>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220" w:type="dxa"/>
            <w:vAlign w:val="bottom"/>
          </w:tcPr>
          <w:p>
            <w:pPr>
              <w:spacing w:after="0"/>
              <w:rPr>
                <w:sz w:val="17"/>
                <w:szCs w:val="17"/>
                <w:color w:val="auto"/>
              </w:rPr>
            </w:pPr>
          </w:p>
        </w:tc>
        <w:tc>
          <w:tcPr>
            <w:tcW w:w="5680" w:type="dxa"/>
            <w:vAlign w:val="bottom"/>
            <w:gridSpan w:val="28"/>
          </w:tcPr>
          <w:p>
            <w:pPr>
              <w:spacing w:after="0" w:line="196" w:lineRule="exact"/>
              <w:rPr>
                <w:rFonts w:ascii="Arial" w:cs="Arial" w:eastAsia="Arial" w:hAnsi="Arial"/>
                <w:sz w:val="18"/>
                <w:szCs w:val="18"/>
                <w:color w:val="0000EE"/>
                <w:w w:val="95"/>
              </w:rPr>
            </w:pPr>
            <w:hyperlink r:id="rId63">
              <w:r>
                <w:rPr>
                  <w:rFonts w:ascii="Arial" w:cs="Arial" w:eastAsia="Arial" w:hAnsi="Arial"/>
                  <w:sz w:val="18"/>
                  <w:szCs w:val="18"/>
                  <w:color w:val="0000EE"/>
                  <w:w w:val="95"/>
                </w:rPr>
                <w:t>Purchase Agreement between ClearOne, Inc. and Dialcom Networks S.L.,</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10-Q</w:t>
            </w:r>
          </w:p>
        </w:tc>
        <w:tc>
          <w:tcPr>
            <w:tcW w:w="2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10.3</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05/14/14</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dated March 31, 2014</w:t>
              </w:r>
            </w:hyperlink>
          </w:p>
        </w:tc>
        <w:tc>
          <w:tcPr>
            <w:tcW w:w="24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220" w:type="dxa"/>
            <w:vAlign w:val="bottom"/>
          </w:tcPr>
          <w:p>
            <w:pPr>
              <w:spacing w:after="0"/>
              <w:rPr>
                <w:sz w:val="17"/>
                <w:szCs w:val="17"/>
                <w:color w:val="auto"/>
              </w:rPr>
            </w:pPr>
          </w:p>
        </w:tc>
        <w:tc>
          <w:tcPr>
            <w:tcW w:w="39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64">
              <w:r>
                <w:rPr>
                  <w:rFonts w:ascii="Arial" w:cs="Arial" w:eastAsia="Arial" w:hAnsi="Arial"/>
                  <w:sz w:val="18"/>
                  <w:szCs w:val="18"/>
                  <w:color w:val="0000EE"/>
                  <w:w w:val="91"/>
                </w:rPr>
                <w:t>Form of Offer to Repurchase Eligible Options for Cash</w:t>
              </w:r>
            </w:hyperlink>
          </w:p>
        </w:tc>
        <w:tc>
          <w:tcPr>
            <w:tcW w:w="1700" w:type="dxa"/>
            <w:vAlign w:val="bottom"/>
            <w:gridSpan w:val="11"/>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10-Q</w:t>
            </w:r>
          </w:p>
        </w:tc>
        <w:tc>
          <w:tcPr>
            <w:tcW w:w="2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10.1</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05/10/16</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14.1</w:t>
            </w:r>
          </w:p>
        </w:tc>
        <w:tc>
          <w:tcPr>
            <w:tcW w:w="220" w:type="dxa"/>
            <w:vAlign w:val="bottom"/>
          </w:tcPr>
          <w:p>
            <w:pPr>
              <w:spacing w:after="0"/>
              <w:rPr>
                <w:sz w:val="17"/>
                <w:szCs w:val="17"/>
                <w:color w:val="auto"/>
              </w:rPr>
            </w:pPr>
          </w:p>
        </w:tc>
        <w:tc>
          <w:tcPr>
            <w:tcW w:w="5680" w:type="dxa"/>
            <w:vAlign w:val="bottom"/>
            <w:gridSpan w:val="28"/>
          </w:tcPr>
          <w:p>
            <w:pPr>
              <w:spacing w:after="0" w:line="196" w:lineRule="exact"/>
              <w:rPr>
                <w:rFonts w:ascii="Arial" w:cs="Arial" w:eastAsia="Arial" w:hAnsi="Arial"/>
                <w:sz w:val="18"/>
                <w:szCs w:val="18"/>
                <w:color w:val="0000EE"/>
                <w:w w:val="99"/>
              </w:rPr>
            </w:pPr>
            <w:hyperlink r:id="rId65">
              <w:r>
                <w:rPr>
                  <w:rFonts w:ascii="Arial" w:cs="Arial" w:eastAsia="Arial" w:hAnsi="Arial"/>
                  <w:sz w:val="18"/>
                  <w:szCs w:val="18"/>
                  <w:color w:val="0000EE"/>
                  <w:w w:val="99"/>
                </w:rPr>
                <w:t>Code of Ethics, approved by the Board of Directors on August 23, 2006</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4"/>
              </w:rPr>
              <w:t>10-K</w:t>
            </w:r>
          </w:p>
        </w:tc>
        <w:tc>
          <w:tcPr>
            <w:tcW w:w="2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14.1</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09/14/06</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220" w:type="dxa"/>
            <w:vAlign w:val="bottom"/>
          </w:tcPr>
          <w:p>
            <w:pPr>
              <w:spacing w:after="0"/>
              <w:rPr>
                <w:sz w:val="17"/>
                <w:szCs w:val="17"/>
                <w:color w:val="auto"/>
              </w:rPr>
            </w:pPr>
          </w:p>
        </w:tc>
        <w:tc>
          <w:tcPr>
            <w:tcW w:w="51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Subsidiaries of the registrant</w:t>
              </w:r>
            </w:hyperlink>
          </w:p>
        </w:tc>
        <w:tc>
          <w:tcPr>
            <w:tcW w:w="50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gridSpan w:val="7"/>
            <w:shd w:val="clear" w:color="auto" w:fill="0000EE"/>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220" w:type="dxa"/>
            <w:vAlign w:val="bottom"/>
          </w:tcPr>
          <w:p>
            <w:pPr>
              <w:spacing w:after="0"/>
              <w:rPr>
                <w:sz w:val="17"/>
                <w:szCs w:val="17"/>
                <w:color w:val="auto"/>
              </w:rPr>
            </w:pPr>
          </w:p>
        </w:tc>
        <w:tc>
          <w:tcPr>
            <w:tcW w:w="53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Consent of Tanner LLC, Independent Registered Public Accounting Firm</w:t>
              </w:r>
            </w:hyperlink>
          </w:p>
        </w:tc>
        <w:tc>
          <w:tcPr>
            <w:tcW w:w="38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220" w:type="dxa"/>
            <w:vAlign w:val="bottom"/>
          </w:tcPr>
          <w:p>
            <w:pPr>
              <w:spacing w:after="0"/>
              <w:rPr>
                <w:sz w:val="17"/>
                <w:szCs w:val="17"/>
                <w:color w:val="auto"/>
              </w:rPr>
            </w:pPr>
          </w:p>
        </w:tc>
        <w:tc>
          <w:tcPr>
            <w:tcW w:w="378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72">
              <w:r>
                <w:rPr>
                  <w:rFonts w:ascii="Arial" w:cs="Arial" w:eastAsia="Arial" w:hAnsi="Arial"/>
                  <w:sz w:val="18"/>
                  <w:szCs w:val="18"/>
                  <w:color w:val="0000EE"/>
                  <w:w w:val="93"/>
                </w:rPr>
                <w:t>Section 302 Certification of Chief Executive Officer</w:t>
              </w:r>
            </w:hyperlink>
          </w:p>
        </w:tc>
        <w:tc>
          <w:tcPr>
            <w:tcW w:w="1900" w:type="dxa"/>
            <w:vAlign w:val="bottom"/>
            <w:gridSpan w:val="12"/>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220" w:type="dxa"/>
            <w:vAlign w:val="bottom"/>
          </w:tcPr>
          <w:p>
            <w:pPr>
              <w:spacing w:after="0"/>
              <w:rPr>
                <w:sz w:val="17"/>
                <w:szCs w:val="17"/>
                <w:color w:val="auto"/>
              </w:rPr>
            </w:pPr>
          </w:p>
        </w:tc>
        <w:tc>
          <w:tcPr>
            <w:tcW w:w="5680" w:type="dxa"/>
            <w:vAlign w:val="bottom"/>
            <w:gridSpan w:val="28"/>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Section 302 Certification of Chief Financial Officer</w:t>
              </w:r>
            </w:hyperlink>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20" w:type="dxa"/>
            <w:vAlign w:val="bottom"/>
            <w:gridSpan w:val="15"/>
            <w:shd w:val="clear" w:color="auto" w:fill="0000EE"/>
          </w:tcPr>
          <w:p>
            <w:pPr>
              <w:spacing w:after="0" w:line="20" w:lineRule="exact"/>
              <w:rPr>
                <w:sz w:val="1"/>
                <w:szCs w:val="1"/>
                <w:color w:val="auto"/>
              </w:rPr>
            </w:pPr>
          </w:p>
        </w:tc>
        <w:tc>
          <w:tcPr>
            <w:tcW w:w="196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220" w:type="dxa"/>
            <w:vAlign w:val="bottom"/>
          </w:tcPr>
          <w:p>
            <w:pPr>
              <w:spacing w:after="0"/>
              <w:rPr>
                <w:sz w:val="17"/>
                <w:szCs w:val="17"/>
                <w:color w:val="auto"/>
              </w:rPr>
            </w:pPr>
          </w:p>
        </w:tc>
        <w:tc>
          <w:tcPr>
            <w:tcW w:w="378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74">
              <w:r>
                <w:rPr>
                  <w:rFonts w:ascii="Arial" w:cs="Arial" w:eastAsia="Arial" w:hAnsi="Arial"/>
                  <w:sz w:val="18"/>
                  <w:szCs w:val="18"/>
                  <w:color w:val="0000EE"/>
                  <w:w w:val="93"/>
                </w:rPr>
                <w:t>Section 906 Certification of Chief Executive Officer</w:t>
              </w:r>
            </w:hyperlink>
          </w:p>
        </w:tc>
        <w:tc>
          <w:tcPr>
            <w:tcW w:w="1900" w:type="dxa"/>
            <w:vAlign w:val="bottom"/>
            <w:gridSpan w:val="12"/>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220" w:type="dxa"/>
            <w:vAlign w:val="bottom"/>
          </w:tcPr>
          <w:p>
            <w:pPr>
              <w:spacing w:after="0"/>
              <w:rPr>
                <w:sz w:val="17"/>
                <w:szCs w:val="17"/>
                <w:color w:val="auto"/>
              </w:rPr>
            </w:pPr>
          </w:p>
        </w:tc>
        <w:tc>
          <w:tcPr>
            <w:tcW w:w="5680" w:type="dxa"/>
            <w:vAlign w:val="bottom"/>
            <w:gridSpan w:val="28"/>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Section 906 Certification of Chief Financial Officer</w:t>
              </w:r>
            </w:hyperlink>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19"/>
                <w:szCs w:val="19"/>
                <w:color w:val="auto"/>
              </w:rPr>
            </w:pPr>
          </w:p>
        </w:tc>
        <w:tc>
          <w:tcPr>
            <w:tcW w:w="3720" w:type="dxa"/>
            <w:vAlign w:val="bottom"/>
            <w:tcBorders>
              <w:top w:val="single" w:sz="8" w:color="0000EE"/>
            </w:tcBorders>
            <w:gridSpan w:val="15"/>
          </w:tcPr>
          <w:p>
            <w:pPr>
              <w:spacing w:after="0"/>
              <w:rPr>
                <w:sz w:val="20"/>
                <w:szCs w:val="20"/>
                <w:color w:val="auto"/>
              </w:rPr>
            </w:pPr>
            <w:r>
              <w:rPr>
                <w:rFonts w:ascii="Arial" w:cs="Arial" w:eastAsia="Arial" w:hAnsi="Arial"/>
                <w:sz w:val="18"/>
                <w:szCs w:val="18"/>
                <w:color w:val="auto"/>
              </w:rPr>
              <w:t>XBRL Instance Document</w:t>
            </w:r>
          </w:p>
        </w:tc>
        <w:tc>
          <w:tcPr>
            <w:tcW w:w="1960" w:type="dxa"/>
            <w:vAlign w:val="bottom"/>
            <w:gridSpan w:val="13"/>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18"/>
                <w:szCs w:val="18"/>
                <w:color w:val="auto"/>
              </w:rPr>
            </w:pPr>
          </w:p>
        </w:tc>
        <w:tc>
          <w:tcPr>
            <w:tcW w:w="5680" w:type="dxa"/>
            <w:vAlign w:val="bottom"/>
            <w:gridSpan w:val="28"/>
          </w:tcPr>
          <w:p>
            <w:pPr>
              <w:spacing w:after="0"/>
              <w:rPr>
                <w:sz w:val="20"/>
                <w:szCs w:val="20"/>
                <w:color w:val="auto"/>
              </w:rPr>
            </w:pPr>
            <w:r>
              <w:rPr>
                <w:rFonts w:ascii="Arial" w:cs="Arial" w:eastAsia="Arial" w:hAnsi="Arial"/>
                <w:sz w:val="18"/>
                <w:szCs w:val="18"/>
                <w:color w:val="auto"/>
              </w:rPr>
              <w:t>XBRL Taxonomy Extension Schema</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18"/>
                <w:szCs w:val="18"/>
                <w:color w:val="auto"/>
              </w:rPr>
            </w:pPr>
          </w:p>
        </w:tc>
        <w:tc>
          <w:tcPr>
            <w:tcW w:w="5680" w:type="dxa"/>
            <w:vAlign w:val="bottom"/>
            <w:gridSpan w:val="28"/>
          </w:tcPr>
          <w:p>
            <w:pPr>
              <w:spacing w:after="0"/>
              <w:rPr>
                <w:sz w:val="20"/>
                <w:szCs w:val="20"/>
                <w:color w:val="auto"/>
              </w:rPr>
            </w:pPr>
            <w:r>
              <w:rPr>
                <w:rFonts w:ascii="Arial" w:cs="Arial" w:eastAsia="Arial" w:hAnsi="Arial"/>
                <w:sz w:val="18"/>
                <w:szCs w:val="18"/>
                <w:color w:val="auto"/>
              </w:rPr>
              <w:t>XBRL Taxonomy Extension Calculation Linkbase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18"/>
                <w:szCs w:val="18"/>
                <w:color w:val="auto"/>
              </w:rPr>
            </w:pPr>
          </w:p>
        </w:tc>
        <w:tc>
          <w:tcPr>
            <w:tcW w:w="5680" w:type="dxa"/>
            <w:vAlign w:val="bottom"/>
            <w:gridSpan w:val="28"/>
          </w:tcPr>
          <w:p>
            <w:pPr>
              <w:spacing w:after="0"/>
              <w:rPr>
                <w:sz w:val="20"/>
                <w:szCs w:val="20"/>
                <w:color w:val="auto"/>
              </w:rPr>
            </w:pPr>
            <w:r>
              <w:rPr>
                <w:rFonts w:ascii="Arial" w:cs="Arial" w:eastAsia="Arial" w:hAnsi="Arial"/>
                <w:sz w:val="18"/>
                <w:szCs w:val="18"/>
                <w:color w:val="auto"/>
              </w:rPr>
              <w:t>XBRL Taxonomy Extension Definitions Linkbase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18"/>
                <w:szCs w:val="18"/>
                <w:color w:val="auto"/>
              </w:rPr>
            </w:pPr>
          </w:p>
        </w:tc>
        <w:tc>
          <w:tcPr>
            <w:tcW w:w="5680" w:type="dxa"/>
            <w:vAlign w:val="bottom"/>
            <w:gridSpan w:val="28"/>
          </w:tcPr>
          <w:p>
            <w:pPr>
              <w:spacing w:after="0"/>
              <w:rPr>
                <w:sz w:val="20"/>
                <w:szCs w:val="20"/>
                <w:color w:val="auto"/>
              </w:rPr>
            </w:pPr>
            <w:r>
              <w:rPr>
                <w:rFonts w:ascii="Arial" w:cs="Arial" w:eastAsia="Arial" w:hAnsi="Arial"/>
                <w:sz w:val="18"/>
                <w:szCs w:val="18"/>
                <w:color w:val="auto"/>
              </w:rPr>
              <w:t>XBRL Taxonomy Extension Label Linkbase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0"/>
                <w:szCs w:val="20"/>
                <w:color w:val="auto"/>
              </w:rPr>
            </w:pPr>
          </w:p>
        </w:tc>
        <w:tc>
          <w:tcPr>
            <w:tcW w:w="5680" w:type="dxa"/>
            <w:vAlign w:val="bottom"/>
            <w:gridSpan w:val="28"/>
          </w:tcPr>
          <w:p>
            <w:pPr>
              <w:spacing w:after="0"/>
              <w:rPr>
                <w:sz w:val="20"/>
                <w:szCs w:val="20"/>
                <w:color w:val="auto"/>
              </w:rPr>
            </w:pPr>
            <w:r>
              <w:rPr>
                <w:rFonts w:ascii="Arial" w:cs="Arial" w:eastAsia="Arial" w:hAnsi="Arial"/>
                <w:sz w:val="18"/>
                <w:szCs w:val="18"/>
                <w:color w:val="auto"/>
              </w:rPr>
              <w:t>XBRL Taxonomy Extension Presentation Linkbase</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Constitutes a management contract or compensatory plan or arrangement.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Information furnished herewith shall not be deemed to be “filed” for the purposes of Section 18 of the 1934 Act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Zeynep Hakimoglu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20, 2018</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118"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Zeynep Hakimoglu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502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and Chairman of the Board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20,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Brad R. Baldwin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 R.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502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20,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Eric L. Robinson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L.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502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20, 2018</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 Narsi Narayanan</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-130810</wp:posOffset>
            </wp:positionV>
            <wp:extent cx="35420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Senior Vice President of Finance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(principal accounting and principal financial officer)</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20, 2018</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 Larry R. Hendricks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Larry R. Hendricks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-130810</wp:posOffset>
            </wp:positionV>
            <wp:extent cx="35420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20,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4820" w:space="720"/>
            <w:col w:w="5880"/>
          </w:cols>
          <w:pgMar w:left="240" w:top="118" w:right="239" w:bottom="1440" w:gutter="0" w:footer="0" w:header="0"/>
          <w:type w:val="continuous"/>
        </w:sectPr>
      </w:pPr>
    </w:p>
    <w:bookmarkStart w:id="41" w:name="page42"/>
    <w:bookmarkEnd w:id="4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300" w:type="dxa"/>
            <w:vAlign w:val="bottom"/>
            <w:gridSpan w:val="5"/>
          </w:tcPr>
          <w:p>
            <w:pPr>
              <w:jc w:val="center"/>
              <w:ind w:right="3460"/>
              <w:spacing w:after="0"/>
              <w:rPr>
                <w:sz w:val="20"/>
                <w:szCs w:val="20"/>
                <w:color w:val="auto"/>
              </w:rPr>
            </w:pPr>
            <w:r>
              <w:rPr>
                <w:rFonts w:ascii="Arial" w:cs="Arial" w:eastAsia="Arial" w:hAnsi="Arial"/>
                <w:sz w:val="18"/>
                <w:szCs w:val="18"/>
                <w:b w:val="1"/>
                <w:bCs w:val="1"/>
                <w:color w:val="auto"/>
              </w:rPr>
              <w:t>CLEARONE, INC.</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4"/>
                <w:szCs w:val="24"/>
                <w:color w:val="auto"/>
              </w:rPr>
            </w:pPr>
          </w:p>
        </w:tc>
        <w:tc>
          <w:tcPr>
            <w:tcW w:w="7440" w:type="dxa"/>
            <w:vAlign w:val="bottom"/>
            <w:gridSpan w:val="6"/>
          </w:tcPr>
          <w:p>
            <w:pPr>
              <w:jc w:val="center"/>
              <w:ind w:right="2320"/>
              <w:spacing w:after="0"/>
              <w:rPr>
                <w:sz w:val="20"/>
                <w:szCs w:val="20"/>
                <w:color w:val="auto"/>
              </w:rPr>
            </w:pPr>
            <w:r>
              <w:rPr>
                <w:rFonts w:ascii="Arial" w:cs="Arial" w:eastAsia="Arial" w:hAnsi="Arial"/>
                <w:sz w:val="18"/>
                <w:szCs w:val="18"/>
                <w:b w:val="1"/>
                <w:bCs w:val="1"/>
                <w:color w:val="auto"/>
              </w:rPr>
              <w:t>INDEX TO CONSOLIDATED FINANCIAL STATEMENTS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00" w:type="dxa"/>
            <w:vAlign w:val="bottom"/>
            <w:gridSpan w:val="2"/>
            <w:vMerge w:val="restart"/>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Reports of Independent Registered Public Accounting Firm</w:t>
              </w:r>
            </w:hyperlink>
          </w:p>
        </w:tc>
        <w:tc>
          <w:tcPr>
            <w:tcW w:w="6300" w:type="dxa"/>
            <w:vAlign w:val="bottom"/>
            <w:gridSpan w:val="5"/>
            <w:vMerge w:val="restart"/>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74"/>
        </w:trPr>
        <w:tc>
          <w:tcPr>
            <w:tcW w:w="4300" w:type="dxa"/>
            <w:vAlign w:val="bottom"/>
            <w:tcBorders>
              <w:bottom w:val="single" w:sz="8" w:color="0000EE"/>
            </w:tcBorders>
            <w:gridSpan w:val="2"/>
            <w:vMerge w:val="continue"/>
          </w:tcPr>
          <w:p>
            <w:pPr>
              <w:spacing w:after="0"/>
              <w:rPr>
                <w:sz w:val="14"/>
                <w:szCs w:val="14"/>
                <w:color w:val="auto"/>
              </w:rPr>
            </w:pPr>
          </w:p>
        </w:tc>
        <w:tc>
          <w:tcPr>
            <w:tcW w:w="6300" w:type="dxa"/>
            <w:vAlign w:val="bottom"/>
            <w:gridSpan w:val="5"/>
            <w:vMerge w:val="continue"/>
          </w:tcPr>
          <w:p>
            <w:pPr>
              <w:spacing w:after="0"/>
              <w:rPr>
                <w:sz w:val="14"/>
                <w:szCs w:val="14"/>
                <w:color w:val="auto"/>
              </w:rPr>
            </w:pPr>
          </w:p>
        </w:tc>
        <w:tc>
          <w:tcPr>
            <w:tcW w:w="820" w:type="dxa"/>
            <w:vAlign w:val="bottom"/>
          </w:tcPr>
          <w:p>
            <w:pPr>
              <w:jc w:val="center"/>
              <w:spacing w:after="0" w:line="170" w:lineRule="exact"/>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r>
        <w:trPr>
          <w:trHeight w:val="412"/>
        </w:trPr>
        <w:tc>
          <w:tcPr>
            <w:tcW w:w="572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Consolidated Balance Sheets as of December 31, 2017 and December 31, 2016</w:t>
              </w:r>
            </w:hyperlink>
          </w:p>
        </w:tc>
        <w:tc>
          <w:tcPr>
            <w:tcW w:w="4880" w:type="dxa"/>
            <w:vAlign w:val="bottom"/>
            <w:gridSpan w:val="4"/>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412"/>
        </w:trPr>
        <w:tc>
          <w:tcPr>
            <w:tcW w:w="94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Statements of Operations and Comprehensive Income/(Loss) for the years ended December 31, 2017, 2016 and 2015</w:t>
              </w:r>
            </w:hyperlink>
          </w:p>
        </w:tc>
        <w:tc>
          <w:tcPr>
            <w:tcW w:w="11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412"/>
        </w:trPr>
        <w:tc>
          <w:tcPr>
            <w:tcW w:w="76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Consolidated Statements of Shareholders’ Equity for the years ended December 31, 2017, 2016 and 2015</w:t>
              </w:r>
            </w:hyperlink>
          </w:p>
        </w:tc>
        <w:tc>
          <w:tcPr>
            <w:tcW w:w="3000" w:type="dxa"/>
            <w:vAlign w:val="bottom"/>
            <w:gridSpan w:val="2"/>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412"/>
        </w:trPr>
        <w:tc>
          <w:tcPr>
            <w:tcW w:w="69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Statements of Cash Flows for the years ended December 31, 2017, 2016 and 2015</w:t>
              </w:r>
            </w:hyperlink>
          </w:p>
        </w:tc>
        <w:tc>
          <w:tcPr>
            <w:tcW w:w="3680" w:type="dxa"/>
            <w:vAlign w:val="bottom"/>
            <w:gridSpan w:val="3"/>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412"/>
        </w:trPr>
        <w:tc>
          <w:tcPr>
            <w:tcW w:w="3160" w:type="dxa"/>
            <w:vAlign w:val="bottom"/>
            <w:tcBorders>
              <w:bottom w:val="single" w:sz="8" w:color="0000EE"/>
            </w:tcBorders>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Notes to Consolidated Financial Statements</w:t>
              </w:r>
            </w:hyperlink>
          </w:p>
        </w:tc>
        <w:tc>
          <w:tcPr>
            <w:tcW w:w="7440" w:type="dxa"/>
            <w:vAlign w:val="bottom"/>
            <w:gridSpan w:val="6"/>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453"/>
        </w:trPr>
        <w:tc>
          <w:tcPr>
            <w:tcW w:w="6920" w:type="dxa"/>
            <w:vAlign w:val="bottom"/>
            <w:gridSpan w:val="4"/>
          </w:tcPr>
          <w:p>
            <w:pPr>
              <w:jc w:val="center"/>
              <w:ind w:left="4410"/>
              <w:spacing w:after="0"/>
              <w:rPr>
                <w:sz w:val="20"/>
                <w:szCs w:val="20"/>
                <w:color w:val="auto"/>
              </w:rPr>
            </w:pPr>
            <w:r>
              <w:rPr>
                <w:rFonts w:ascii="Arial" w:cs="Arial" w:eastAsia="Arial" w:hAnsi="Arial"/>
                <w:sz w:val="18"/>
                <w:szCs w:val="18"/>
                <w:color w:val="auto"/>
                <w:w w:val="86"/>
              </w:rPr>
              <w:t>| 39 |</w:t>
            </w:r>
          </w:p>
        </w:tc>
        <w:tc>
          <w:tcPr>
            <w:tcW w:w="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ClearOne, Inc.</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jc w:val="both"/>
        <w:ind w:left="140"/>
        <w:spacing w:after="0" w:line="273" w:lineRule="auto"/>
        <w:rPr>
          <w:sz w:val="20"/>
          <w:szCs w:val="20"/>
          <w:color w:val="auto"/>
        </w:rPr>
      </w:pPr>
      <w:r>
        <w:rPr>
          <w:rFonts w:ascii="Arial" w:cs="Arial" w:eastAsia="Arial" w:hAnsi="Arial"/>
          <w:sz w:val="17"/>
          <w:szCs w:val="17"/>
          <w:color w:val="auto"/>
        </w:rPr>
        <w:t>We have audited the accompanying consolidated balance sheets of ClearOne, Inc. and subsidiaries (collectively, ClearOne) as of December 31, 2017 and 2016, and the related consolidated statements of operations and comprehensive income (loss), shareholders’ equity, and cash flows for each of the years in the three-year period ended December 31, 2017, and the related notes to the consolidated financial statements (collectively referred to as the “consolidated financial statements”). In our opinion, the consolidated financial statements referred to above present fairly, in all material aspects, the financial position of ClearOne as of December 31, 2017 and 2016, and the results of its operations and its cash flows for each of the years in the three-year period ended December 31, 2017, in conformity with U.S. generally accepted accounting principles.</w:t>
      </w:r>
    </w:p>
    <w:p>
      <w:pPr>
        <w:spacing w:after="0" w:line="178" w:lineRule="exact"/>
        <w:rPr>
          <w:sz w:val="20"/>
          <w:szCs w:val="20"/>
          <w:color w:val="auto"/>
        </w:rPr>
      </w:pPr>
    </w:p>
    <w:p>
      <w:pPr>
        <w:jc w:val="both"/>
        <w:ind w:left="14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April XX, 2018 expressed an adverse opinion on the effectiveness of the Company’s internal control over financial reporting.</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ind w:left="14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14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We have served as the Company’s auditor since October 14,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TANNER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20, 2018</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F- 1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ClearOne, Inc.</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25" w:lineRule="exact"/>
        <w:rPr>
          <w:sz w:val="20"/>
          <w:szCs w:val="20"/>
          <w:color w:val="auto"/>
        </w:rPr>
      </w:pPr>
    </w:p>
    <w:p>
      <w:pPr>
        <w:jc w:val="both"/>
        <w:ind w:left="140"/>
        <w:spacing w:after="0" w:line="257" w:lineRule="auto"/>
        <w:rPr>
          <w:sz w:val="20"/>
          <w:szCs w:val="20"/>
          <w:color w:val="auto"/>
        </w:rPr>
      </w:pPr>
      <w:r>
        <w:rPr>
          <w:rFonts w:ascii="Arial" w:cs="Arial" w:eastAsia="Arial" w:hAnsi="Arial"/>
          <w:sz w:val="18"/>
          <w:szCs w:val="18"/>
          <w:color w:val="auto"/>
        </w:rPr>
        <w:t xml:space="preserve">We have audited ClearOne, Inc. and subsidiaries’ (the “Company”)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because of the effect of the material weakness noted below, the Company did not maintain,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8" w:lineRule="exact"/>
        <w:rPr>
          <w:sz w:val="20"/>
          <w:szCs w:val="20"/>
          <w:color w:val="auto"/>
        </w:rPr>
      </w:pPr>
    </w:p>
    <w:p>
      <w:pPr>
        <w:jc w:val="both"/>
        <w:ind w:left="140"/>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2017 and 2016, the related consolidated statements of operations, comprehensive income (loss), stockholders’ equity and cash flows for the each of the years in the three-year period ended December 31, 2017, and the related notes to the consolidated financial statements (collectively referred to as the “consolidated financial statements”), and our report dated April 20, 2018 expressed an unqualified opinion on those consolidated financial statements.</w:t>
      </w:r>
    </w:p>
    <w:p>
      <w:pPr>
        <w:spacing w:after="0" w:line="188" w:lineRule="exact"/>
        <w:rPr>
          <w:sz w:val="20"/>
          <w:szCs w:val="20"/>
          <w:color w:val="auto"/>
        </w:rPr>
      </w:pPr>
    </w:p>
    <w:p>
      <w:pPr>
        <w:jc w:val="both"/>
        <w:ind w:left="140"/>
        <w:spacing w:after="0" w:line="293"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related to the accurate and timely reporting of its financial results and disclosures for the fiscal year ended December 31, 2017 and its testing and assessment of the design and effectiveness of internal controls over financial reporting in a timely manner has been identified and included in management’s assessment. The material weakness was considered in determining the nature, timing, and extent of audit tests applied in our audit of the 2017 consolidated financial statements, and this report does not affect our report on those consolidated financial statements.</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ind w:left="14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jc w:val="both"/>
        <w:ind w:left="140"/>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25" w:lineRule="exact"/>
        <w:rPr>
          <w:sz w:val="20"/>
          <w:szCs w:val="20"/>
          <w:color w:val="auto"/>
        </w:rPr>
      </w:pPr>
    </w:p>
    <w:p>
      <w:pPr>
        <w:jc w:val="both"/>
        <w:ind w:left="1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ind w:left="14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 TANNER LLC</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Salt Lake City, Utah</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April 20,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2,689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Receivables, net of allowance for doubtful accounts of $472 and $187, as of December 31, 2017 and 2016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7,794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14,415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Distributor channel inventories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1,862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10,349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21,365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inventories,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1,549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67,877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20" w:type="dxa"/>
            <w:vAlign w:val="bottom"/>
            <w:tcBorders>
              <w:top w:val="single" w:sz="8" w:color="CCEEFF"/>
            </w:tcBorders>
          </w:tcPr>
          <w:p>
            <w:pPr>
              <w:jc w:val="center"/>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4,122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4,635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Deferred rent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11,310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10,675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tcPr>
          <w:p>
            <w:pPr>
              <w:spacing w:after="0" w:line="201" w:lineRule="exact"/>
              <w:rPr>
                <w:sz w:val="20"/>
                <w:szCs w:val="20"/>
                <w:color w:val="auto"/>
              </w:rPr>
            </w:pPr>
            <w:r>
              <w:rPr>
                <w:rFonts w:ascii="Arial" w:cs="Arial" w:eastAsia="Arial" w:hAnsi="Arial"/>
                <w:sz w:val="18"/>
                <w:szCs w:val="18"/>
                <w:color w:val="auto"/>
                <w:w w:val="90"/>
              </w:rPr>
              <w:t>Common stock, par value $0.001, 50,000,000 shares authorized, 8,319,022 and 8,812,644 shares issued and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outstanding as of December 31, 2017 and 2016 respectively</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Total shareholders’ equity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56,567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77,449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67,877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b w:val="1"/>
                <w:bCs w:val="1"/>
                <w:color w:val="auto"/>
              </w:rPr>
              <w:t>Year ended December 31,</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41,804</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48,637</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17,795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19,150</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21,077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29,487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10,996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10,032</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7,161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7,325</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an intangible asset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Impairment of goodwill</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12,724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Legal settlement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40,202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25,921</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26,457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Operating income/(loss)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(16,193)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3,566</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Income/(loss) before income taxes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(15,893)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3,878</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Benefit from/(provision for) income taxes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Net income/(loss)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(14,172)</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2,444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Basic earnings/(loss) per common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0.27</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earnings/(loss) per common share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0.26</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8,576,588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9,021,980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9,127,385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8,576,588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9,306,034</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9,594,659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Comprehensive income: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2,444</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(loss) on available-for-sale securities, net of tax</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Change in foreign currency translation adjustment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2,405</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Additional</w:t>
            </w:r>
          </w:p>
        </w:tc>
        <w:tc>
          <w:tcPr>
            <w:tcW w:w="22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80" w:type="dxa"/>
            <w:vAlign w:val="bottom"/>
            <w:gridSpan w:val="3"/>
          </w:tcPr>
          <w:p>
            <w:pPr>
              <w:jc w:val="right"/>
              <w:ind w:right="417"/>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Paid-in</w:t>
            </w: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Comprehensive</w:t>
            </w:r>
          </w:p>
        </w:tc>
        <w:tc>
          <w:tcPr>
            <w:tcW w:w="16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Retained</w:t>
            </w:r>
          </w:p>
        </w:tc>
        <w:tc>
          <w:tcPr>
            <w:tcW w:w="80" w:type="dxa"/>
            <w:vAlign w:val="bottom"/>
          </w:tcPr>
          <w:p>
            <w:pPr>
              <w:spacing w:after="0"/>
              <w:rPr>
                <w:sz w:val="20"/>
                <w:szCs w:val="20"/>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Shareholders’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Earnings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9,097,827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44,939</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Exercise of stock options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56,143</w:t>
            </w:r>
          </w:p>
        </w:tc>
        <w:tc>
          <w:tcPr>
            <w:tcW w:w="9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dividends, $0.155 per share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Tax benefit - stock option exercises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15,005</w:t>
            </w:r>
          </w:p>
        </w:tc>
        <w:tc>
          <w:tcPr>
            <w:tcW w:w="9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w w:val="96"/>
              </w:rPr>
              <w:t>Proceeds from employee stock purchase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plan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14,982</w:t>
            </w:r>
          </w:p>
        </w:tc>
        <w:tc>
          <w:tcPr>
            <w:tcW w:w="92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Unrealized loss on available-for-sale</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net of tax</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99"/>
              </w:rPr>
              <w:t>Foreign currency translation adjustment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Balances at December 31, 2015</w:t>
            </w:r>
          </w:p>
        </w:tc>
        <w:tc>
          <w:tcPr>
            <w:tcW w:w="1140" w:type="dxa"/>
            <w:vAlign w:val="bottom"/>
          </w:tcPr>
          <w:p>
            <w:pPr>
              <w:jc w:val="right"/>
              <w:spacing w:after="0"/>
              <w:rPr>
                <w:sz w:val="20"/>
                <w:szCs w:val="20"/>
                <w:color w:val="auto"/>
              </w:rPr>
            </w:pPr>
            <w:r>
              <w:rPr>
                <w:rFonts w:ascii="Arial" w:cs="Arial" w:eastAsia="Arial" w:hAnsi="Arial"/>
                <w:sz w:val="18"/>
                <w:szCs w:val="18"/>
                <w:color w:val="auto"/>
              </w:rPr>
              <w:t>9,183,957</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46,291</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36,435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of stock options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149,315</w:t>
            </w:r>
          </w:p>
        </w:tc>
        <w:tc>
          <w:tcPr>
            <w:tcW w:w="9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Repurchased and cancellation of stock</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options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(1,752)</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repurchased</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(542,259)</w:t>
            </w:r>
          </w:p>
        </w:tc>
        <w:tc>
          <w:tcPr>
            <w:tcW w:w="9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Cash dividends, $0.20 per share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12,491</w:t>
            </w:r>
          </w:p>
        </w:tc>
        <w:tc>
          <w:tcPr>
            <w:tcW w:w="9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Tax benefit - stock option exercises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690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Proceeds from employee stock purchase</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plan</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9,140</w:t>
            </w:r>
          </w:p>
        </w:tc>
        <w:tc>
          <w:tcPr>
            <w:tcW w:w="9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Unrealized loss on available-for-sale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securities, net of tax</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Foreign currency translation adjustment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8,812,644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46,669</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Exercise of stock options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45,260</w:t>
            </w:r>
          </w:p>
        </w:tc>
        <w:tc>
          <w:tcPr>
            <w:tcW w:w="9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repurchased</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(551,936)</w:t>
            </w:r>
          </w:p>
        </w:tc>
        <w:tc>
          <w:tcPr>
            <w:tcW w:w="9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Restricted stock granted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9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dividends, $0.26 per share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665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Cancellation of restricted stock and stock</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(1,056)</w:t>
            </w:r>
          </w:p>
        </w:tc>
        <w:tc>
          <w:tcPr>
            <w:tcW w:w="9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w w:val="96"/>
              </w:rPr>
              <w:t>Proceeds from employee stock purchase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plan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9,110</w:t>
            </w:r>
          </w:p>
        </w:tc>
        <w:tc>
          <w:tcPr>
            <w:tcW w:w="92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Unrealized loss on available-for-sale</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net of tax</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99"/>
              </w:rPr>
              <w:t>Foreign currency translation adjustment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tcPr>
          <w:p>
            <w:pPr>
              <w:spacing w:after="0"/>
              <w:rPr>
                <w:sz w:val="20"/>
                <w:szCs w:val="20"/>
                <w:color w:val="auto"/>
              </w:rPr>
            </w:pPr>
            <w:r>
              <w:rPr>
                <w:rFonts w:ascii="Arial" w:cs="Arial" w:eastAsia="Arial" w:hAnsi="Arial"/>
                <w:sz w:val="18"/>
                <w:szCs w:val="18"/>
                <w:color w:val="auto"/>
              </w:rPr>
              <w:t>Balances at December 31, 2017</w:t>
            </w:r>
          </w:p>
        </w:tc>
        <w:tc>
          <w:tcPr>
            <w:tcW w:w="1140" w:type="dxa"/>
            <w:vAlign w:val="bottom"/>
          </w:tcPr>
          <w:p>
            <w:pPr>
              <w:jc w:val="right"/>
              <w:spacing w:after="0"/>
              <w:rPr>
                <w:sz w:val="20"/>
                <w:szCs w:val="20"/>
                <w:color w:val="auto"/>
              </w:rPr>
            </w:pPr>
            <w:r>
              <w:rPr>
                <w:rFonts w:ascii="Arial" w:cs="Arial" w:eastAsia="Arial" w:hAnsi="Arial"/>
                <w:sz w:val="18"/>
                <w:szCs w:val="18"/>
                <w:color w:val="auto"/>
              </w:rPr>
              <w:t>8,319,022</w:t>
            </w:r>
          </w:p>
        </w:tc>
        <w:tc>
          <w:tcPr>
            <w:tcW w:w="220" w:type="dxa"/>
            <w:vAlign w:val="bottom"/>
          </w:tcPr>
          <w:p>
            <w:pPr>
              <w:spacing w:after="0"/>
              <w:rPr>
                <w:sz w:val="18"/>
                <w:szCs w:val="18"/>
                <w:color w:val="auto"/>
              </w:rPr>
            </w:pPr>
          </w:p>
        </w:tc>
        <w:tc>
          <w:tcPr>
            <w:tcW w:w="920" w:type="dxa"/>
            <w:vAlign w:val="bottom"/>
          </w:tcPr>
          <w:p>
            <w:pPr>
              <w:jc w:val="right"/>
              <w:ind w:right="757"/>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47,464</w:t>
            </w:r>
          </w:p>
        </w:tc>
        <w:tc>
          <w:tcPr>
            <w:tcW w:w="220" w:type="dxa"/>
            <w:vAlign w:val="bottom"/>
          </w:tcPr>
          <w:p>
            <w:pPr>
              <w:jc w:val="right"/>
              <w:ind w:right="5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9,160</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56,567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b w:val="1"/>
                <w:bCs w:val="1"/>
                <w:color w:val="auto"/>
              </w:rPr>
              <w:t>Year ended December 31,</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(14,172)</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2,444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income to net cash provided by operating activities: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Depreciation and amortization expense</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1,873</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of goodwill and intangible assets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13,493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Amortization of deferred rent</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Provision for (recoveries of) doubtful accounts, net</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Write-down of inventory to net realizable value</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Loss on disposal of assets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benefit from exercise of stock options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439</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Receivables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1,085</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(10,756)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Prepaid expenses and other assets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(209)</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(319)</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Deferred product revenue</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(665)</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long-term liabilities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cash provided/(used) by operating activities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(9,271)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7,834</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7,594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Capitalized patent defense costs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(730)</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intangible assets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Proceeds from maturities and sales of marketable securities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17,640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9,795</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marketable securities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(9,826)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cash used/(provided) in investing activities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10,187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(922)</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equity-based compensation programs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Repurchase and cancellation of stock options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(1,752)</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benefits from equity-based compensation programs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Dividend payments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(1,817)</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for stock repurchases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(6,086)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(7,515)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(8,192)</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12,100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13,412</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year</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12,100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w w:val="99"/>
              </w:rPr>
              <w:t>Year ended December 31,</w:t>
            </w:r>
          </w:p>
        </w:tc>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28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1,154</w:t>
            </w: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ClearOne, Inc., together with its subsidiaries (collectively, “ClearOne” or the “Company”), is a global Company that designs, develops and sells conferencing, collaboration, network streaming and digital signage solutions for audio and visual communications. The performance and simplicity of our advanced comprehensive solutions offer unprecedented levels of functionality, reliability, and scalability.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Fiscal Year </w:t>
      </w:r>
      <w:r>
        <w:rPr>
          <w:rFonts w:ascii="Arial" w:cs="Arial" w:eastAsia="Arial" w:hAnsi="Arial"/>
          <w:sz w:val="16"/>
          <w:szCs w:val="16"/>
          <w:color w:val="auto"/>
        </w:rPr>
        <w:t>– This report on Form 10-K includes consolidated balance sheets for the years ended December 31, 2017 and 2016 and the related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of operations and comprehensive income/(loss), cash flows, and shareholders’ equity for each of the years 2017, 2016 and 2015.</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 These consolidated financial statements include the financial statements of ClearOne, Inc. and its wholly owned subsidiaries. All inter-Company accounts and transactions have been eliminated in consolidation. Certain prior year amounts have been reclassified to conform to the current year presentation.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and the disclosure of contingent assets and liabilities at the date of the financial statements and the reported amounts of sales and expenses during the reporting periods. Key estimates in the accompanying consolidated financial statements include, among others, revenue recognition, allowances for doubtful accounts and product returns, provisions for obsolete inventory, potential impairment of goodwill and of long-lived assets, and deferred income tax asset valuation allowances. Actual results could differ materially from these estimates.</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Foreign Currency Translation </w:t>
      </w:r>
      <w:r>
        <w:rPr>
          <w:rFonts w:ascii="Arial" w:cs="Arial" w:eastAsia="Arial" w:hAnsi="Arial"/>
          <w:sz w:val="16"/>
          <w:szCs w:val="16"/>
          <w:color w:val="auto"/>
        </w:rPr>
        <w:t>– We are exposed to foreign currency exchange risk through our foreign subsidiaries. Other than our Spain subsidiary, our</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subsidiaries are U.S. dollar functional, for which gains and losses arising from remeasurement are included in earnings. Our Spain subsidiary is Euro functional, for which gains and losses arising from translation are included in accumulated other comprehensive income or loss. We translate and remeasure foreign assets and liabilities at exchange rates in effect at the balance sheet dates. We translate revenue and expenses using average rates during the year.</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Concentration Risk </w:t>
      </w:r>
      <w:r>
        <w:rPr>
          <w:rFonts w:ascii="Arial" w:cs="Arial" w:eastAsia="Arial" w:hAnsi="Arial"/>
          <w:sz w:val="17"/>
          <w:szCs w:val="17"/>
          <w:color w:val="auto"/>
        </w:rPr>
        <w:t>– We depend on an outsourced manufacturing strategy for our products. We outsource the manufacture of all of our products (except</w:t>
      </w:r>
      <w:r>
        <w:rPr>
          <w:rFonts w:ascii="Arial" w:cs="Arial" w:eastAsia="Arial" w:hAnsi="Arial"/>
          <w:sz w:val="17"/>
          <w:szCs w:val="17"/>
          <w:i w:val="1"/>
          <w:iCs w:val="1"/>
          <w:color w:val="auto"/>
        </w:rPr>
        <w:t xml:space="preserve"> </w:t>
      </w:r>
      <w:r>
        <w:rPr>
          <w:rFonts w:ascii="Arial" w:cs="Arial" w:eastAsia="Arial" w:hAnsi="Arial"/>
          <w:sz w:val="17"/>
          <w:szCs w:val="17"/>
          <w:color w:val="auto"/>
        </w:rPr>
        <w:t>digital signage products) to third party manufacturers located in both the U.S. and Asia. If any of these manufacturers experience difficulties in obtaining sufficient supplies of components, component prices significantly exceeding the anticipated costs, an interruption in their operations, or otherwise suffer capacity constraints, we would experience a delay in production and shipping of these products, which would have a negative impact on our revenues. Should there be any disruption in services due to natural disaster, economic or political difficulties, transportation restrictions, acts of terror, quarantine or other restrictions associated with infectious diseases, or other similar events, or any other reason, such disruption may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a portion of our products.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 considers all highly-liquid investments with a maturity of three months or less, when purchased, to be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places its temporary cash investments with high-quality financial institutions. At times, such investments may be in excess of the Federal Deposit Insurance Corporation insurance limits.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Marketable Securities - </w:t>
      </w:r>
      <w:r>
        <w:rPr>
          <w:rFonts w:ascii="Arial" w:cs="Arial" w:eastAsia="Arial" w:hAnsi="Arial"/>
          <w:sz w:val="16"/>
          <w:szCs w:val="16"/>
          <w:color w:val="auto"/>
        </w:rPr>
        <w:t>The Company has classified its marketable securities as available-for-sale securities. These securities are carried at estimated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with unrealized holding gains and losses included in accumulated other comprehensive income/(loss) in shareholders’ equity until realized. Gains and losses on marketable security transactions are reported on the specific-identification method. Dividend and interest income are recognized when earned.</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decline in the market value of any available-for-sale security below cost that is deemed other than temporary results in a charge to earnings and establishes a new cost basis for the security. Losses are charged against “Other income” when a decline in fair value is determined to be other than temporary. We review several factors to determine whether a loss is other than temporary. These factors include, but are not limited to: (i) the extent to which the fair value is less than cost and the cause for the fair value decline, (ii) the financial condition and near term prospects of the issuer, (iii) the length of time a security is in an unrealized loss position and (iv) our ability to hold the security for a period of time sufficient to allow for any anticipated recovery in fair value. There were no other-than-temporary impairments recognized during the years ended December 31, 2017, 2016 and 2015.</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Accounts Receivable </w:t>
      </w:r>
      <w:r>
        <w:rPr>
          <w:rFonts w:ascii="Arial" w:cs="Arial" w:eastAsia="Arial" w:hAnsi="Arial"/>
          <w:sz w:val="17"/>
          <w:szCs w:val="17"/>
          <w:color w:val="auto"/>
        </w:rPr>
        <w:t>– Accounts receivable are recorded at the invoiced amount. Generally, credit is granted to customers on a short-term basis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requiring collateral, and as such, these accounts receivable, do not bear interest, although a finance charge may be applied to such receivables that are past due. The Company extends credit to customers who it believes have the financial strength to pay. The Company has in place credit policies and procedures, an approval process for sales returns and credit memos, and processes for managing and monitoring channel inventory levels.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allowance for doubtful accounts is the Company’s best estimate of the amount of probable credit losses in the Company’s existing accounts receivable. Management regularly analyzes accounts receivable including current aging, historical write-off experience, customer concentrations, customer creditworthiness, and current economic trends when evaluating the adequacy of the allowance for doubtful accounts. We review customer accounts quarterly by first assessing accounts with aging over a specific duration and balance over a specific amount. We review all other balances on a pooled basis based on past collection experience. Accounts identified in our customer-level review as exceeding certain thresholds are assessed for potential allowance adjustment if we conclude the financial condition of that customer has deteriorated, adversely affecting their ability to make payments. Delinquent account balances are written off if the Company determines that the likelihood of collection is not probable. If the assumptions that are used to determine the allowance for doubtful accounts change , the Company may have to provide for a greater level of expense in future periods or reverse amounts provided in prior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allowance for doubtful accounts activity for the years ended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ind w:left="300"/>
              <w:spacing w:after="0"/>
              <w:rPr>
                <w:sz w:val="20"/>
                <w:szCs w:val="20"/>
                <w:color w:val="auto"/>
              </w:rPr>
            </w:pPr>
            <w:r>
              <w:rPr>
                <w:rFonts w:ascii="Arial" w:cs="Arial" w:eastAsia="Arial" w:hAnsi="Arial"/>
                <w:sz w:val="18"/>
                <w:szCs w:val="18"/>
                <w:b w:val="1"/>
                <w:bCs w:val="1"/>
                <w:color w:val="auto"/>
                <w:w w:val="91"/>
              </w:rPr>
              <w:t>Year Ended December 31,</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400" w:type="dxa"/>
            <w:vAlign w:val="bottom"/>
          </w:tcPr>
          <w:p>
            <w:pPr>
              <w:spacing w:after="0"/>
              <w:rPr>
                <w:sz w:val="18"/>
                <w:szCs w:val="18"/>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year</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Allowance increase (decrease)</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Write offs , net of recoveries</w:t>
            </w:r>
          </w:p>
        </w:tc>
        <w:tc>
          <w:tcPr>
            <w:tcW w:w="10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r>
      <w:tr>
        <w:trPr>
          <w:trHeight w:val="20"/>
        </w:trPr>
        <w:tc>
          <w:tcPr>
            <w:tcW w:w="64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Balance at end of the year</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0"/>
        </w:trPr>
        <w:tc>
          <w:tcPr>
            <w:tcW w:w="64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Inventories are valued at the lower of cost or market, with cost computed on a first-in, first-out (“FIFO”) basis. In addition to the price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purchased, the cost of inventory includes the Company’s internal manufacturing costs, including warehousing, engineering, material purchasing, quality and product planning expenses and applicable overhead, not in excess of estimated realizable value. Consideration is given to obsolescence, excessive levels, deterioration, direct selling expenses, and other factors in evaluating net realizable value.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Distributor channel inventories include products that have been delivered to customers for which revenue recognition criteria have not been met.</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inventory also includes advance replacement units (valued at cost) provided by the Company to end-users to service defective products under warranty.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value of advance replacement units included in the inventory was $76 and $21, as of December 31, 2017 and 2016, respectively.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inventory consists of current inventory of $14,415 and long-term inventory of $8,708. Long term inventory represents inventory held in excess of our current (next 12 months) requirements based on our recent sales and forecasted level of sales.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 Property and equipment are stated at cost less accumulated depreciation and amortization. Expenditures that materially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values or capacities or extend useful lives of property and equipment are capitalized. Routine maintenance, repairs, and renewal costs are expensed as incurred. Gains or losses from the sale, trade-in, or retirement of property and equipment are recorded in current operations and the related book value of the property is removed from property and equipment accounts and the related accumulated depreciation and amortization accounts. Estimated useful lives are generally two to ten years. Depreciation and amortization are calculated over the estimated useful lives of the respective assets using the straight-line method. Leasehold improvement amortization is computed using the straight-line method over the shorter of the lease term or the estimated useful life of the related assets.</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Goodwill and Intangible Assets – </w:t>
      </w:r>
      <w:r>
        <w:rPr>
          <w:rFonts w:ascii="Arial" w:cs="Arial" w:eastAsia="Arial" w:hAnsi="Arial"/>
          <w:sz w:val="16"/>
          <w:szCs w:val="16"/>
          <w:color w:val="auto"/>
        </w:rPr>
        <w:t>Intangible assets acquired in a purchase business combination are amortized over their useful lives unless these lives are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to be indefinite. Intangible assets are carried at cost, less accumulated amortization. Amortization is computed over the estimated useful lives of the respective assets, which are generally three to ten years. Goodwill represents the excess of costs over the fair value of net assets of businesses acquired. Goodwill and intangible assets acquired in a purchase business combination and determined to have an indefinite useful life are not amortized.</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Impairment of Goodwill - </w:t>
      </w:r>
      <w:r>
        <w:rPr>
          <w:rFonts w:ascii="Arial" w:cs="Arial" w:eastAsia="Arial" w:hAnsi="Arial"/>
          <w:sz w:val="18"/>
          <w:szCs w:val="18"/>
          <w:color w:val="auto"/>
        </w:rPr>
        <w:t>Goodwill is measured as the excess of the cost of acquisition over the sum of the amounts assigned to tangible and identifiable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intangible assets acquired less liabilities assumed. In accordance with the provisions of FASB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the Company performs impairment tests of goodwill on an annual basis in the fourth fiscal quarter, or sooner if a triggering event occurs suggesting possible impairment of the values of these assets.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assess the recoverability of our one reporting unit’s carrying value of goodwill by making a qualitative or quantitative assessment. If we begin with a qualitative assessment and are able to support the conclusion that it is not more likely than not that the fair value of the Company is less than its carrying value, we are not required to perform the two-step impairment test. Otherwise, using the two−step approach is required (See </w:t>
      </w:r>
      <w:r>
        <w:rPr>
          <w:rFonts w:ascii="Arial" w:cs="Arial" w:eastAsia="Arial" w:hAnsi="Arial"/>
          <w:sz w:val="17"/>
          <w:szCs w:val="17"/>
          <w:u w:val="single" w:color="auto"/>
          <w:color w:val="auto"/>
        </w:rPr>
        <w:t>Note 3 – Business Combinations,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Goodwill and Intangibles</w:t>
      </w:r>
      <w:r>
        <w:rPr>
          <w:rFonts w:ascii="Arial" w:cs="Arial" w:eastAsia="Arial" w:hAnsi="Arial"/>
          <w:sz w:val="17"/>
          <w:szCs w:val="17"/>
          <w:color w:val="auto"/>
        </w:rPr>
        <w:t>). ClearOne and all of its subsidiaries are considered as one reporting unit for this purpose.</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first step of the goodwill impairment test, we compare the carrying value the Company, including its recorded goodwill, to the estimated fair value. We estimate the fair value using an equity-value based methodology. The principal method used is an equity-value based method in which the Company’s market-cap is compared to the net book value. This value is then compared to total net assets. If the fair value of the Company exceeds its carrying value, the goodwill is not impaired and no further review is required. However, if the fair value of the reporting unit is less than its carrying value, we perform the second step of the goodwill impairment test to determine the amount of the impairment charge, if any.</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second step involves a hypothetical allocation of the fair value of the Company to its net tangible and intangible assets (excluding goodwill) as if the business unit were newly acquired, which results in an implied fair value of goodwill. The amount of the impairment charge is the excess of the recorded goodwill over the implied fair value of goodwill.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third quarter ended September 30, 2017, we recorded $12,724, or the entire value of goodwill, as an impairment charge.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Impairment of Long-Lived Assets - </w:t>
      </w:r>
      <w:r>
        <w:rPr>
          <w:rFonts w:ascii="Arial" w:cs="Arial" w:eastAsia="Arial" w:hAnsi="Arial"/>
          <w:sz w:val="17"/>
          <w:szCs w:val="17"/>
          <w:color w:val="auto"/>
        </w:rPr>
        <w:t>Long-lived assets, such as property, equipment, and definite-lived intangible assets subject to depreciation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amortization, are reviewed for impairment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72"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During the twelve months ended December 31, 2017 we recorded $769 as a charge for impairment of an intangible asset consisting of customer relationships.</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Product revenue is recognized when (i) the products are shipped, (ii) persuasive evidence of an arrangement exists, (iii) the price is</w:t>
      </w:r>
      <w:r>
        <w:rPr>
          <w:rFonts w:ascii="Arial" w:cs="Arial" w:eastAsia="Arial" w:hAnsi="Arial"/>
          <w:sz w:val="18"/>
          <w:szCs w:val="18"/>
          <w:i w:val="1"/>
          <w:iCs w:val="1"/>
          <w:color w:val="auto"/>
        </w:rPr>
        <w:t xml:space="preserve"> </w:t>
      </w:r>
      <w:r>
        <w:rPr>
          <w:rFonts w:ascii="Arial" w:cs="Arial" w:eastAsia="Arial" w:hAnsi="Arial"/>
          <w:sz w:val="18"/>
          <w:szCs w:val="18"/>
          <w:color w:val="auto"/>
        </w:rPr>
        <w:t>fixed and determinable, and (iv) collection is reasonably assured.</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provides a right of return on product sales to certain distributors and other resellers under a product rotation program. Under this seldom-used program, once a quarter, a distributor or reseller is allowed to return products purchased during the prior 180 days for a total value generally not exceeding 15% of the distributor’s or reseller’s net purchases during the preceding quarter. The distributor or reseller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fulfilled, the revenue, associated cost of goods sold, inventory and accounts receivable are recorded and the product revenue is subject to the deferral analysis described below. In a small number of cases, the distributors are also permitted to return products for other business reasons.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from product sales to distributors is not recognized until the return privilege has expired or until it can be determined with reasonable certainty that the return privilege has expired, which approximates when product is sold-through to customers of the Company’s distributors (dealers, system integrators, value-added resellers, and end-users) rather than when the product is initially shipped to a distributor. At each quarter-end, the Company evaluates the inventory in the channel through information provided by our distributors. The level of inventory in the channel will fluctuate up-ward or down-ward each quarter, based upon its distributors’ individual operations. Accordingly, at each quarter-end, the deferral for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the Company receives payment for the product sales made to such distributors or channel partners.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The amount of deferred cost of goods sold is included in distributor channel inventories.</w:t>
            </w: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18"/>
                <w:szCs w:val="18"/>
                <w:color w:val="auto"/>
                <w:w w:val="96"/>
              </w:rPr>
              <w:t>The details of deferred revenue and associated cost of goods sold and gross profit are as follows:</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0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rPr>
              <w:t>As of December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7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5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4,635</w:t>
            </w:r>
          </w:p>
        </w:tc>
        <w:tc>
          <w:tcPr>
            <w:tcW w:w="10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3,882</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1,530</w:t>
            </w:r>
          </w:p>
        </w:tc>
      </w:tr>
      <w:tr>
        <w:trPr>
          <w:trHeight w:val="20"/>
        </w:trPr>
        <w:tc>
          <w:tcPr>
            <w:tcW w:w="7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Deferred gross profit</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3,080</w:t>
            </w:r>
          </w:p>
        </w:tc>
        <w:tc>
          <w:tcPr>
            <w:tcW w:w="10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2,352</w:t>
            </w:r>
          </w:p>
        </w:tc>
      </w:tr>
      <w:tr>
        <w:trPr>
          <w:trHeight w:val="20"/>
        </w:trPr>
        <w:tc>
          <w:tcPr>
            <w:tcW w:w="7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offers rebates and market development funds to certain of its distributors, dealers/resellers, and end-users based upon the volume of product purchased by them. The Company records rebates as a reduction of revenue in accordance with GAAP.</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provides, at its discretion, advance replacement units to end-users on defective units of certain products under warranty. Since the purpose of these units is not revenue generating, the Company tracks the units due from the end-user, until the defective unit has been returned. Any amount due from the customer upon failure to return the products is accounted as receivable only after establishing customer's failure to return the products. The inventory due from the customer is accounted at cost or market value whichever is lower.</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Sales and Similar Taxes - </w:t>
      </w:r>
      <w:r>
        <w:rPr>
          <w:rFonts w:ascii="Arial" w:cs="Arial" w:eastAsia="Arial" w:hAnsi="Arial"/>
          <w:sz w:val="18"/>
          <w:szCs w:val="18"/>
          <w:color w:val="auto"/>
        </w:rPr>
        <w:t>Taxes collected from customers and remitted to government authorities are reported on a net basis and thus are excluded from</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Shipping and Handling Costs – </w:t>
      </w:r>
      <w:r>
        <w:rPr>
          <w:rFonts w:ascii="Arial" w:cs="Arial" w:eastAsia="Arial" w:hAnsi="Arial"/>
          <w:sz w:val="18"/>
          <w:szCs w:val="18"/>
          <w:color w:val="auto"/>
        </w:rPr>
        <w:t>Shipping and handling billed to customers is recorded as revenue. Shipping and handling costs are included in cost of goods</w:t>
      </w:r>
      <w:r>
        <w:rPr>
          <w:rFonts w:ascii="Arial" w:cs="Arial" w:eastAsia="Arial" w:hAnsi="Arial"/>
          <w:sz w:val="18"/>
          <w:szCs w:val="18"/>
          <w:i w:val="1"/>
          <w:iCs w:val="1"/>
          <w:color w:val="auto"/>
        </w:rPr>
        <w:t xml:space="preserve"> </w:t>
      </w:r>
      <w:r>
        <w:rPr>
          <w:rFonts w:ascii="Arial" w:cs="Arial" w:eastAsia="Arial" w:hAnsi="Arial"/>
          <w:sz w:val="18"/>
          <w:szCs w:val="18"/>
          <w:color w:val="auto"/>
        </w:rPr>
        <w:t>sold.</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Warranty Costs </w:t>
      </w:r>
      <w:r>
        <w:rPr>
          <w:rFonts w:ascii="Arial" w:cs="Arial" w:eastAsia="Arial" w:hAnsi="Arial"/>
          <w:sz w:val="16"/>
          <w:szCs w:val="16"/>
          <w:color w:val="auto"/>
        </w:rPr>
        <w:t>– The Company accrues for warranty costs based on estimated warranty return rates and estimated costs to repair. These reserve costs are</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classified as accrued liabilities on the consolidated balance sheets. Factors that affect the Company’s warranty liability include the number of units sold, historical and anticipated rates of warranty returns, and repair cost. The Company reviews the adequacy of its recorded warranty accrual on a quarterly basis.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The details of changes in the Company’s warranty accrual are as follows:</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4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b w:val="1"/>
                <w:bCs w:val="1"/>
                <w:color w:val="auto"/>
              </w:rPr>
              <w:t>Year Ended December 31,</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400" w:type="dxa"/>
            <w:vAlign w:val="bottom"/>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year</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6"/>
              </w:rPr>
              <w:t>246</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Accruals/additions</w:t>
            </w:r>
          </w:p>
        </w:tc>
        <w:tc>
          <w:tcPr>
            <w:tcW w:w="1060" w:type="dxa"/>
            <w:vAlign w:val="bottom"/>
          </w:tcPr>
          <w:p>
            <w:pPr>
              <w:spacing w:after="0"/>
              <w:rPr>
                <w:sz w:val="18"/>
                <w:szCs w:val="18"/>
                <w:color w:val="auto"/>
              </w:rPr>
            </w:pPr>
          </w:p>
        </w:tc>
        <w:tc>
          <w:tcPr>
            <w:tcW w:w="440" w:type="dxa"/>
            <w:vAlign w:val="bottom"/>
          </w:tcPr>
          <w:p>
            <w:pPr>
              <w:jc w:val="center"/>
              <w:ind w:left="90"/>
              <w:spacing w:after="0"/>
              <w:rPr>
                <w:sz w:val="20"/>
                <w:szCs w:val="20"/>
                <w:color w:val="auto"/>
              </w:rPr>
            </w:pPr>
            <w:r>
              <w:rPr>
                <w:rFonts w:ascii="Arial" w:cs="Arial" w:eastAsia="Arial" w:hAnsi="Arial"/>
                <w:sz w:val="18"/>
                <w:szCs w:val="18"/>
                <w:color w:val="auto"/>
                <w:w w:val="86"/>
              </w:rPr>
              <w:t>399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361</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Usage/claims</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(400)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w:t>
            </w:r>
          </w:p>
        </w:tc>
      </w:tr>
      <w:tr>
        <w:trPr>
          <w:trHeight w:val="20"/>
        </w:trPr>
        <w:tc>
          <w:tcPr>
            <w:tcW w:w="64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440" w:type="dxa"/>
            <w:vAlign w:val="bottom"/>
          </w:tcPr>
          <w:p>
            <w:pPr>
              <w:jc w:val="center"/>
              <w:ind w:left="90"/>
              <w:spacing w:after="0"/>
              <w:rPr>
                <w:sz w:val="20"/>
                <w:szCs w:val="20"/>
                <w:color w:val="auto"/>
              </w:rPr>
            </w:pPr>
            <w:r>
              <w:rPr>
                <w:rFonts w:ascii="Arial" w:cs="Arial" w:eastAsia="Arial" w:hAnsi="Arial"/>
                <w:sz w:val="18"/>
                <w:szCs w:val="18"/>
                <w:color w:val="auto"/>
                <w:w w:val="86"/>
              </w:rPr>
              <w:t>245</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246</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r>
      <w:tr>
        <w:trPr>
          <w:trHeight w:val="20"/>
        </w:trPr>
        <w:tc>
          <w:tcPr>
            <w:tcW w:w="64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Advertising </w:t>
      </w:r>
      <w:r>
        <w:rPr>
          <w:rFonts w:ascii="Arial" w:cs="Arial" w:eastAsia="Arial" w:hAnsi="Arial"/>
          <w:sz w:val="18"/>
          <w:szCs w:val="18"/>
          <w:color w:val="auto"/>
        </w:rPr>
        <w:t>– The Company expenses advertising costs as incurred. Advertising costs consist of trade shows, magazine advertisements, and other forms of</w:t>
      </w:r>
      <w:r>
        <w:rPr>
          <w:rFonts w:ascii="Arial" w:cs="Arial" w:eastAsia="Arial" w:hAnsi="Arial"/>
          <w:sz w:val="18"/>
          <w:szCs w:val="18"/>
          <w:i w:val="1"/>
          <w:iCs w:val="1"/>
          <w:color w:val="auto"/>
        </w:rPr>
        <w:t xml:space="preserve"> </w:t>
      </w:r>
      <w:r>
        <w:rPr>
          <w:rFonts w:ascii="Arial" w:cs="Arial" w:eastAsia="Arial" w:hAnsi="Arial"/>
          <w:sz w:val="18"/>
          <w:szCs w:val="18"/>
          <w:color w:val="auto"/>
        </w:rPr>
        <w:t>media. Advertising expenses for the years ended December 31, 2017, 2016 and 2015 totaled $1,079, $836, and $728, respectively, and are included under the caption “Sales and Marketing”.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and Product Development Costs </w:t>
      </w:r>
      <w:r>
        <w:rPr>
          <w:rFonts w:ascii="Arial" w:cs="Arial" w:eastAsia="Arial" w:hAnsi="Arial"/>
          <w:sz w:val="18"/>
          <w:szCs w:val="18"/>
          <w:color w:val="auto"/>
        </w:rPr>
        <w:t>– The Company expenses research and product development costs as incurred.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Company uses the asset and liability method of accounting for income taxes. Under the asset and liability method, deferred tax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are recognized for the future tax consequences attributable to temporary differences between the financial statement carrying amounts of existing assets and liabilities and their respective tax bases, and operating loss and tax credit carry-forwards. These temporary differences will result in deductible or taxable amounts in future years when the reported amounts of the assets or liabilities are recovered or settled.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when it is more likely than not that some or all of the deferred tax assets may not be realized. The Company evaluates the realizability of its net deferred tax assets on a quarterly basis and valuation allowances are provided, as necessary. Adjustments to the valuation allowance increase or decrease the Company’s income tax provision or benefit. As of December 31, 2017 and 2016, the Company had a valuation allowance of $2,236 and $1,404, respectively against foreign net operating losses, foreign intangible assets, capital losses carryforwards, and state research and development credits.</w:t>
      </w:r>
    </w:p>
    <w:p>
      <w:pPr>
        <w:spacing w:after="0" w:line="16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Tax Cuts and Jobs Act (the "Tax Act"). The Tax Act, which is generally effective for tax years beginning on January 1, 2018, makes broad and complex changes to the U.S. tax code, including, but not limited to, (1) reducing the U.S. federal corporate tax rate from 35 percent to 21 percent; (2) eliminating the corporate alternative minimum tax (AMT); (3) bonus depreciation that will allow for full expensing of qualified property; (4) creating a new limitation on deductible interest expense; (5) the repeal of the domestic production activity deduction; (6) the creation of the base erosion anti-abuse tax (BEAT), a new minimum tax; (7) a general elimination of U.S. federal income taxes on dividends from foreign subsidiaries and imposing a one-time repatriation tax on deemed repatriated earnings and profits of U.S.-owned foreign subsidiaries (the Transition Tax); (8) a new provision designed to tax global intangible low-taxed income (GILTI), which allows for the possibility of using foreign tax credits (FTCs) and a deduction of up to 50 percent to offset the income tax liability (subject to some limitations); and (9) changing rules related to uses and limitation of net operating loss carryforwards created in tax years beginning after December 31, 2017.</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Shortly after enactment, the Securities and Exchange Commission issued Staff Accounting Bulletin No. 118 ("SAB 118") which provided US GAAP guidance on the accounting for the Act's impact at December 31, 2017. A reporting entity may recognize provisional amounts, where the necessary information is not available, prepared or analyzed (including computations) in reasonable detail or where additional guidance is needed from the taxing authority to determine the appropriate application of the Act. A reporting entity's provisional impact analysis may be adjusted within the 12-month measurement period provided for under SAB 118.</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Transition Tax is based on the Company's post-1986 earnings and profits (E&amp;P) of U.S.-owned foreign subsidiaries for which the Company had previously deferred U.S. income taxes. Due to the aggregate loss position of these subsidiaries, the Company estimates that the Transition Tax will not result in additional U.S. tax.</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reduction in the corporate tax rate to 21 percent due to the Tax Act is effective January 1, 2018. Consequently, the Company has recorded a decrease related to the net deferred tax assets of approximately $3.3 million with a corresponding net adjustment to deferred income tax expense of approximately $3.3 million for the year ended December 31, 2017.</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impact of the Tax Act may differ from amounts currently recorded, possibly materially, during the 12-month measurement period due to, among other things, further refinement of the Company's calculations, changes in interpretations and assumptions the Company has made, guidance that may be issued and actions the Company may take as a result of the Tax Act.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follows the provisions contained in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The Company recognizes the tax benefit from an uncertain tax position only if it is at least more likely than not that the tax position will be sustained on examination by the taxing authorities, based on the technical merits of the position.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Judgment is required in determining the provision for income taxes and related accruals, deferred tax assets and liabilities. In the ordinary course of business, there are transactions and calculations where the ultimate tax outcome is uncertain. Additionally, the Company’s tax returns are subject to audit by various tax authorities. Although the Company believes that its estimates are reasonable, actual results could differ from these estimates.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gridSpan w:val="7"/>
          </w:tcPr>
          <w:p>
            <w:pPr>
              <w:spacing w:after="0"/>
              <w:rPr>
                <w:sz w:val="20"/>
                <w:szCs w:val="20"/>
                <w:color w:val="auto"/>
              </w:rPr>
            </w:pPr>
            <w:r>
              <w:rPr>
                <w:rFonts w:ascii="Arial" w:cs="Arial" w:eastAsia="Arial" w:hAnsi="Arial"/>
                <w:sz w:val="18"/>
                <w:szCs w:val="18"/>
                <w:i w:val="1"/>
                <w:iCs w:val="1"/>
                <w:color w:val="auto"/>
                <w:w w:val="91"/>
              </w:rPr>
              <w:t xml:space="preserve">Earnings Per Share </w:t>
            </w:r>
            <w:r>
              <w:rPr>
                <w:rFonts w:ascii="Arial" w:cs="Arial" w:eastAsia="Arial" w:hAnsi="Arial"/>
                <w:sz w:val="18"/>
                <w:szCs w:val="18"/>
                <w:color w:val="auto"/>
                <w:w w:val="91"/>
              </w:rPr>
              <w:t>– The following table sets forth the computation of basic and diluted earnings per common share:</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b w:val="1"/>
                <w:bCs w:val="1"/>
                <w:color w:val="auto"/>
              </w:rPr>
              <w:t>Year Ended December 31,</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Net income/(loss)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(14,172)</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2,444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Basic weighted average shares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8,576,588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9,021,980</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9,127,385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common stock equivalents using treasury stock method</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284,054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Diluted weighted average shares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8,576,588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9,306,034</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9,594,659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0.27</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0.26</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options outstanding</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815,870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885,163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1,053,785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Anti-dilutive options not included in the computation</w:t>
            </w:r>
          </w:p>
        </w:tc>
        <w:tc>
          <w:tcPr>
            <w:tcW w:w="3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815,870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323,644</w:t>
            </w: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177,125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Share-Based Payment </w:t>
      </w:r>
      <w:r>
        <w:rPr>
          <w:rFonts w:ascii="Arial" w:cs="Arial" w:eastAsia="Arial" w:hAnsi="Arial"/>
          <w:sz w:val="18"/>
          <w:szCs w:val="18"/>
          <w:color w:val="auto"/>
        </w:rPr>
        <w:t>– We estimate the fair value of stock options using the Black-Scholes option-pricing model, which requires certain estimates,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Recent Accounting Pronouncements - </w:t>
      </w:r>
      <w:r>
        <w:rPr>
          <w:rFonts w:ascii="Arial" w:cs="Arial" w:eastAsia="Arial" w:hAnsi="Arial"/>
          <w:sz w:val="16"/>
          <w:szCs w:val="16"/>
          <w:color w:val="auto"/>
        </w:rPr>
        <w:t>Recent Accounting Standards Not Yet Effective as of Fiscal Year End. In May 2014, the FASB issued ASU 2014-09,</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from Contracts with Customers (Topic 606),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Early adoption is permitted. The updated standard becomes effective for the Company on January 1, 2018. The Company expects to adopt this accounting standard update on a modified retrospective basis in the first quarter of fiscal 2018, and it is currently evaluating the impact of this accounting standard update on the consolidated financial statements.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ASU No. 2016-02, Leases (Topic 842) to bring transparency to lessee balance sheets. The ASU will require organizations that lease assets (lessees) to recognize assets and liabilities on the balance sheet for the rights and obligations created by all leases with terms of more than 12 months. The standard will apply to both types of leases-capital (or finance) leases and operating leases. Previously, GAAP has required only capital leases to be recognized on lessee balance sheets. The standard is effective for fiscal years beginning after December 15, 2018 and interim periods within fiscal years beginning after December 15, 2018. Early application will be permitted for all organizations. The Company has not yet selected a transition method and is currently evaluating the effect that the updated standard will have on the consolidated financial statements.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2016, the FASB issued ASU No. 2016-09, Compensation - Stock Compensation: Improvements to Employee Share-Based Payment Accounting. The standard is intended to simplify several areas of accounting for share-based compensation arrangements, including the income tax impact, classification on the statement of cash flows and forfeitures. ASU 2016-09 was effective for the Company on January 1, 2017. As a result of the adoption of ASU 2016-09, excess tax benefits or deficiencies related to stock-based compensation are now reflected in the Consolidated Statements of Operations as a component of the provision for income taxes, whereas they previously were recognized in additional paid-in capital. In addition, our Consolidated Statements of Cash Flows will now present, on a prospective basis, excess tax benefits as an operating activity. Finally, we have elected to account for forfeitures as they occur, rather than estimate expected forfeitures.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August 2016, the FASB issued ASU No. 2016-15, Classification of Certain Cash Receipts and Cash Payments, which addresses eight specific cash flow issues with the objective of reducing the existing diversity in practice. ASU 2016-15 is effective for the Company beginning January 1, 2018 and the Company is currently evaluating the impact that ASU 2016-15 will have on the consolidated financial statements.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May 2017, the FASB issued ASU No. 2017-09, Compensation—Stock Compensation (Topic 718): Scope of Modification Accounting. The new guidance provides clarity and reduces both (1) diversity in practice and (2) cost and complexity when applying the guidance in Topic 718, Compensation—Stock Compensation, to a change to the terms or conditions of a share-based payment award. The accounting standard update will be effective for The Company beginning January 1, 2018 on a prospective basis, and early adoption is permitted. The Company has not yet selected a transition method and is currently evaluating the effect that the updated standard will have on the consolidated financial statements.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Marketable Securities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classified its marketable securities as available-for-sale securities. These securities are carried at estimated fair value with unrealized holding gains and losses included in accumulated other comprehensive income/loss in shareholders’ equity until realized. Gains and losses on marketable security transactions are reported on the specific-identification method. Dividend and interest income are recognized when earned.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security at December 31, 2017 and 2016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Gross unrealized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Gross unrealized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holding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holding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Estimated fair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0"/>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gains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74"/>
              </w:rPr>
              <w:t>losses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8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 and notes</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Municipal bonds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available-for-sale securities</w:t>
            </w:r>
          </w:p>
        </w:tc>
        <w:tc>
          <w:tcPr>
            <w:tcW w:w="8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13,095</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8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 and notes</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20,028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Municipal bonds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6,425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available-for-sale securities</w:t>
            </w: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26,491</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Maturities of marketable securities classified as available-for-sale securities were as follows at December 31,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Amortized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55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5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within one year</w:t>
            </w:r>
          </w:p>
        </w:tc>
        <w:tc>
          <w:tcPr>
            <w:tcW w:w="2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2,688</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Due after one year through five years</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10,408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10,350</w:t>
            </w:r>
          </w:p>
        </w:tc>
      </w:tr>
      <w:tr>
        <w:trPr>
          <w:trHeight w:val="20"/>
        </w:trPr>
        <w:tc>
          <w:tcPr>
            <w:tcW w:w="5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6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13,096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13,038</w:t>
            </w:r>
          </w:p>
        </w:tc>
      </w:tr>
      <w:tr>
        <w:trPr>
          <w:trHeight w:val="20"/>
        </w:trPr>
        <w:tc>
          <w:tcPr>
            <w:tcW w:w="55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Debt securities in an unrealized loss position as of December 31, 2017 were not deemed impaired at acquisition and subsequent declines in fair value are not deemed attributed to declines in credit quality. Management believes that it is more likely than not that the securities will receive a full recovery of par value. The available-for-sale marketable securities in a gross unrealized loss position as of December 31, 2017 are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256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More than 12 months</w:t>
            </w:r>
          </w:p>
        </w:tc>
        <w:tc>
          <w:tcPr>
            <w:tcW w:w="140" w:type="dxa"/>
            <w:vAlign w:val="bottom"/>
          </w:tcPr>
          <w:p>
            <w:pPr>
              <w:spacing w:after="0"/>
              <w:rPr>
                <w:sz w:val="20"/>
                <w:szCs w:val="20"/>
                <w:color w:val="auto"/>
              </w:rPr>
            </w:pPr>
          </w:p>
        </w:tc>
        <w:tc>
          <w:tcPr>
            <w:tcW w:w="134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3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Estimated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holding</w:t>
            </w: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holding</w:t>
            </w: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holding</w:t>
            </w:r>
          </w:p>
        </w:tc>
      </w:tr>
      <w:tr>
        <w:trPr>
          <w:trHeight w:val="234"/>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fair value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78"/>
              </w:rPr>
              <w:t>losses</w:t>
            </w:r>
          </w:p>
        </w:tc>
        <w:tc>
          <w:tcPr>
            <w:tcW w:w="14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74"/>
              </w:rPr>
              <w:t>losses</w:t>
            </w:r>
          </w:p>
        </w:tc>
        <w:tc>
          <w:tcPr>
            <w:tcW w:w="14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74"/>
              </w:rPr>
              <w:t>losses</w:t>
            </w: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2017</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3,799</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2,125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5,924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0"/>
        </w:trPr>
        <w:tc>
          <w:tcPr>
            <w:tcW w:w="3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7,140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2,782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9,922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20"/>
        </w:trPr>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was a decrease in goodwill during the twelve months ended from $12,724 as of December 31, 2016 to $0 as of December 31, 2017 due to the impairment of goodwill. During the third quarter ended September 30, 2017, there was a decrease in the Company’s market capitalization which was determined to be a triggering event for potential goodwill impairment. Accordingly, the Company performed a goodwill impairment analysis. The Company utilized the market capitalization to estimate the fair value. Our total stockholders’ equity exceeded the estimated fair value. The failure of step one of the goodwill impairment test triggered a step two impairment test. As a result of step two of the impairment test, the Company determined the implied fair value of goodwill and concluded that the carrying value of goodwill exceeded its implied fair value as of September 30, 2017. Accordingly, an impairment charge of $12,724, which represents a full impairment charge, was recognized in the third quarter ended September 30, 2017.</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b w:val="1"/>
                <w:bCs w:val="1"/>
                <w:i w:val="1"/>
                <w:iCs w:val="1"/>
                <w:color w:val="auto"/>
              </w:rPr>
              <w:t>Intangible Assets</w:t>
            </w: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0" w:type="dxa"/>
            <w:vAlign w:val="bottom"/>
          </w:tcPr>
          <w:p>
            <w:pPr>
              <w:spacing w:after="0"/>
              <w:rPr>
                <w:sz w:val="20"/>
                <w:szCs w:val="20"/>
                <w:color w:val="auto"/>
              </w:rPr>
            </w:pPr>
            <w:r>
              <w:rPr>
                <w:rFonts w:ascii="Arial" w:cs="Arial" w:eastAsia="Arial" w:hAnsi="Arial"/>
                <w:sz w:val="18"/>
                <w:szCs w:val="18"/>
                <w:color w:val="auto"/>
                <w:w w:val="99"/>
              </w:rPr>
              <w:t>Intangible assets as of December 31, 2017, and 2016 consisted of the following:</w:t>
            </w: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4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gridSpan w:val="6"/>
            <w:vMerge w:val="restart"/>
          </w:tcPr>
          <w:p>
            <w:pPr>
              <w:jc w:val="right"/>
              <w:ind w:right="100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1"/>
        </w:trPr>
        <w:tc>
          <w:tcPr>
            <w:tcW w:w="64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5"/>
              </w:rPr>
              <w:t>useful lives</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6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0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Tradename</w:t>
            </w:r>
          </w:p>
        </w:tc>
        <w:tc>
          <w:tcPr>
            <w:tcW w:w="15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5 to 7</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Patents and technological know-how</w:t>
            </w:r>
          </w:p>
        </w:tc>
        <w:tc>
          <w:tcPr>
            <w:tcW w:w="1520" w:type="dxa"/>
            <w:vAlign w:val="bottom"/>
          </w:tcPr>
          <w:p>
            <w:pPr>
              <w:jc w:val="right"/>
              <w:ind w:right="51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8,578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6,010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Proprietary software</w:t>
            </w:r>
          </w:p>
        </w:tc>
        <w:tc>
          <w:tcPr>
            <w:tcW w:w="15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3 to 15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4,341</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Other</w:t>
            </w:r>
          </w:p>
        </w:tc>
        <w:tc>
          <w:tcPr>
            <w:tcW w:w="1520" w:type="dxa"/>
            <w:vAlign w:val="bottom"/>
          </w:tcPr>
          <w:p>
            <w:pPr>
              <w:ind w:left="620"/>
              <w:spacing w:after="0"/>
              <w:rPr>
                <w:sz w:val="20"/>
                <w:szCs w:val="20"/>
                <w:color w:val="auto"/>
              </w:rPr>
            </w:pPr>
            <w:r>
              <w:rPr>
                <w:rFonts w:ascii="Arial" w:cs="Arial" w:eastAsia="Arial" w:hAnsi="Arial"/>
                <w:sz w:val="18"/>
                <w:szCs w:val="18"/>
                <w:color w:val="auto"/>
              </w:rPr>
              <w:t>3 to 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 assets, gross</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11,230</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(5,894)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(5,553)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 assets, net</w:t>
            </w:r>
          </w:p>
        </w:tc>
        <w:tc>
          <w:tcPr>
            <w:tcW w:w="15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6,543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years ended December 31, 2017, 2016 and 2015, amortization of these intangible assets were $932, $1,121, and $1,258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expense of intangible assets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Years ending December 31,</w:t>
            </w:r>
          </w:p>
        </w:tc>
        <w:tc>
          <w:tcPr>
            <w:tcW w:w="3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86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2019</w:t>
            </w:r>
          </w:p>
        </w:tc>
        <w:tc>
          <w:tcPr>
            <w:tcW w:w="38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86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2021</w:t>
            </w:r>
          </w:p>
        </w:tc>
        <w:tc>
          <w:tcPr>
            <w:tcW w:w="38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86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8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consisted of the following:</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tcPr>
          <w:p>
            <w:pPr>
              <w:spacing w:after="0"/>
              <w:rPr>
                <w:sz w:val="20"/>
                <w:szCs w:val="20"/>
                <w:color w:val="auto"/>
              </w:rPr>
            </w:pPr>
          </w:p>
        </w:tc>
        <w:tc>
          <w:tcPr>
            <w:tcW w:w="264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8"/>
                <w:szCs w:val="18"/>
                <w:color w:val="auto"/>
              </w:rPr>
              <w:t>As of December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2016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40" w:type="dxa"/>
            <w:vAlign w:val="bottom"/>
          </w:tcPr>
          <w:p>
            <w:pPr>
              <w:ind w:left="340"/>
              <w:spacing w:after="0"/>
              <w:rPr>
                <w:sz w:val="20"/>
                <w:szCs w:val="20"/>
                <w:color w:val="auto"/>
              </w:rPr>
            </w:pPr>
            <w:r>
              <w:rPr>
                <w:rFonts w:ascii="Arial" w:cs="Arial" w:eastAsia="Arial" w:hAnsi="Arial"/>
                <w:sz w:val="18"/>
                <w:szCs w:val="18"/>
                <w:color w:val="auto"/>
              </w:rPr>
              <w:t>Raw materials</w:t>
            </w:r>
          </w:p>
        </w:tc>
        <w:tc>
          <w:tcPr>
            <w:tcW w:w="940" w:type="dxa"/>
            <w:vAlign w:val="bottom"/>
          </w:tcPr>
          <w:p>
            <w:pPr>
              <w:jc w:val="right"/>
              <w:ind w:right="78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8"/>
                <w:szCs w:val="18"/>
                <w:color w:val="auto"/>
              </w:rPr>
            </w:pPr>
          </w:p>
        </w:tc>
        <w:tc>
          <w:tcPr>
            <w:tcW w:w="10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2,291</w:t>
            </w:r>
          </w:p>
        </w:tc>
      </w:tr>
      <w:tr>
        <w:trPr>
          <w:trHeight w:val="216"/>
        </w:trPr>
        <w:tc>
          <w:tcPr>
            <w:tcW w:w="81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Finished goods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14,218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9,086</w:t>
            </w:r>
          </w:p>
        </w:tc>
      </w:tr>
      <w:tr>
        <w:trPr>
          <w:trHeight w:val="20"/>
        </w:trPr>
        <w:tc>
          <w:tcPr>
            <w:tcW w:w="814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140" w:type="dxa"/>
            <w:vAlign w:val="bottom"/>
          </w:tcPr>
          <w:p>
            <w:pPr>
              <w:ind w:left="340"/>
              <w:spacing w:after="0"/>
              <w:rPr>
                <w:sz w:val="20"/>
                <w:szCs w:val="20"/>
                <w:color w:val="auto"/>
              </w:rPr>
            </w:pPr>
            <w:r>
              <w:rPr>
                <w:rFonts w:ascii="Arial" w:cs="Arial" w:eastAsia="Arial" w:hAnsi="Arial"/>
                <w:sz w:val="18"/>
                <w:szCs w:val="18"/>
                <w:color w:val="auto"/>
              </w:rPr>
              <w:t>Total</w:t>
            </w:r>
          </w:p>
        </w:tc>
        <w:tc>
          <w:tcPr>
            <w:tcW w:w="940" w:type="dxa"/>
            <w:vAlign w:val="bottom"/>
          </w:tcPr>
          <w:p>
            <w:pPr>
              <w:jc w:val="right"/>
              <w:ind w:right="78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14,415</w:t>
            </w:r>
          </w:p>
        </w:tc>
        <w:tc>
          <w:tcPr>
            <w:tcW w:w="10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11,377</w:t>
            </w:r>
          </w:p>
        </w:tc>
      </w:tr>
      <w:tr>
        <w:trPr>
          <w:trHeight w:val="20"/>
        </w:trPr>
        <w:tc>
          <w:tcPr>
            <w:tcW w:w="8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14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140" w:type="dxa"/>
            <w:vAlign w:val="bottom"/>
          </w:tcPr>
          <w:p>
            <w:pPr>
              <w:ind w:left="340"/>
              <w:spacing w:after="0"/>
              <w:rPr>
                <w:sz w:val="20"/>
                <w:szCs w:val="20"/>
                <w:color w:val="auto"/>
              </w:rPr>
            </w:pPr>
            <w:r>
              <w:rPr>
                <w:rFonts w:ascii="Arial" w:cs="Arial" w:eastAsia="Arial" w:hAnsi="Arial"/>
                <w:sz w:val="18"/>
                <w:szCs w:val="18"/>
                <w:color w:val="auto"/>
              </w:rPr>
              <w:t>Raw materials</w:t>
            </w:r>
          </w:p>
        </w:tc>
        <w:tc>
          <w:tcPr>
            <w:tcW w:w="940" w:type="dxa"/>
            <w:vAlign w:val="bottom"/>
          </w:tcPr>
          <w:p>
            <w:pPr>
              <w:jc w:val="right"/>
              <w:ind w:right="78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2,682</w:t>
            </w:r>
          </w:p>
        </w:tc>
        <w:tc>
          <w:tcPr>
            <w:tcW w:w="120" w:type="dxa"/>
            <w:vAlign w:val="bottom"/>
          </w:tcPr>
          <w:p>
            <w:pPr>
              <w:spacing w:after="0"/>
              <w:rPr>
                <w:sz w:val="18"/>
                <w:szCs w:val="18"/>
                <w:color w:val="auto"/>
              </w:rPr>
            </w:pPr>
          </w:p>
        </w:tc>
        <w:tc>
          <w:tcPr>
            <w:tcW w:w="10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r>
      <w:tr>
        <w:trPr>
          <w:trHeight w:val="216"/>
        </w:trPr>
        <w:tc>
          <w:tcPr>
            <w:tcW w:w="814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Finished goods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140" w:type="dxa"/>
            <w:vAlign w:val="bottom"/>
          </w:tcPr>
          <w:p>
            <w:pPr>
              <w:ind w:left="340"/>
              <w:spacing w:after="0"/>
              <w:rPr>
                <w:sz w:val="20"/>
                <w:szCs w:val="20"/>
                <w:color w:val="auto"/>
              </w:rPr>
            </w:pPr>
            <w:r>
              <w:rPr>
                <w:rFonts w:ascii="Arial" w:cs="Arial" w:eastAsia="Arial" w:hAnsi="Arial"/>
                <w:sz w:val="18"/>
                <w:szCs w:val="18"/>
                <w:color w:val="auto"/>
              </w:rPr>
              <w:t>Total</w:t>
            </w:r>
          </w:p>
        </w:tc>
        <w:tc>
          <w:tcPr>
            <w:tcW w:w="940" w:type="dxa"/>
            <w:vAlign w:val="bottom"/>
          </w:tcPr>
          <w:p>
            <w:pPr>
              <w:jc w:val="right"/>
              <w:ind w:right="78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8,708</w:t>
            </w:r>
          </w:p>
        </w:tc>
        <w:tc>
          <w:tcPr>
            <w:tcW w:w="120" w:type="dxa"/>
            <w:vAlign w:val="bottom"/>
          </w:tcPr>
          <w:p>
            <w:pPr>
              <w:spacing w:after="0"/>
              <w:rPr>
                <w:sz w:val="18"/>
                <w:szCs w:val="18"/>
                <w:color w:val="auto"/>
              </w:rPr>
            </w:pPr>
          </w:p>
        </w:tc>
        <w:tc>
          <w:tcPr>
            <w:tcW w:w="10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1,664</w:t>
            </w:r>
          </w:p>
        </w:tc>
      </w:tr>
      <w:tr>
        <w:trPr>
          <w:trHeight w:val="20"/>
        </w:trPr>
        <w:tc>
          <w:tcPr>
            <w:tcW w:w="8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Long-term inventory represents inventory held in excess of our current (next 12 months) requirements based on our recent sales and forecasted level of sales. We have developed programs to reduce the inventory to normal operating levels in the near future. We expect to sell the above inventory, net of reserves, at or above the stated cost and believe that no loss will be incurred on its sale.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 finished goods do not include distributor channel inventories in the amounts of approximately $1,555 and $1,530 as of December 31, 2017 and 2016, respectively. Distributor channel inventories represent inventory at distributors and other customers where revenue recognition criteria have not been achieved.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losses incurred on valuation of inventory at the lower of cost or market value and write-off of obsolete inventory amounted to $649, $653 and $496 during the years ended December 31, 2017, 2016 and 2015, respectively.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property and equipment and estimated useful lives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520" w:type="dxa"/>
            <w:vAlign w:val="bottom"/>
            <w:gridSpan w:val="3"/>
          </w:tcPr>
          <w:p>
            <w:pPr>
              <w:ind w:left="360"/>
              <w:spacing w:after="0"/>
              <w:rPr>
                <w:sz w:val="20"/>
                <w:szCs w:val="20"/>
                <w:color w:val="auto"/>
              </w:rPr>
            </w:pPr>
            <w:r>
              <w:rPr>
                <w:rFonts w:ascii="Arial" w:cs="Arial" w:eastAsia="Arial" w:hAnsi="Arial"/>
                <w:sz w:val="18"/>
                <w:szCs w:val="18"/>
                <w:b w:val="1"/>
                <w:bCs w:val="1"/>
                <w:color w:val="auto"/>
              </w:rPr>
              <w:t>Estimated</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400" w:type="dxa"/>
            <w:vAlign w:val="bottom"/>
          </w:tcPr>
          <w:p>
            <w:pPr>
              <w:spacing w:after="0"/>
              <w:rPr>
                <w:sz w:val="20"/>
                <w:szCs w:val="20"/>
                <w:color w:val="auto"/>
              </w:rPr>
            </w:pPr>
          </w:p>
        </w:tc>
        <w:tc>
          <w:tcPr>
            <w:tcW w:w="1520" w:type="dxa"/>
            <w:vAlign w:val="bottom"/>
            <w:gridSpan w:val="3"/>
          </w:tcPr>
          <w:p>
            <w:pPr>
              <w:ind w:left="340"/>
              <w:spacing w:after="0"/>
              <w:rPr>
                <w:sz w:val="20"/>
                <w:szCs w:val="20"/>
                <w:color w:val="auto"/>
              </w:rPr>
            </w:pPr>
            <w:r>
              <w:rPr>
                <w:rFonts w:ascii="Arial" w:cs="Arial" w:eastAsia="Arial" w:hAnsi="Arial"/>
                <w:sz w:val="18"/>
                <w:szCs w:val="18"/>
                <w:b w:val="1"/>
                <w:bCs w:val="1"/>
                <w:color w:val="auto"/>
              </w:rPr>
              <w:t>useful lives</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As of December 31,</w:t>
            </w:r>
          </w:p>
        </w:tc>
      </w:tr>
      <w:tr>
        <w:trPr>
          <w:trHeight w:val="210"/>
        </w:trPr>
        <w:tc>
          <w:tcPr>
            <w:tcW w:w="6400" w:type="dxa"/>
            <w:vAlign w:val="bottom"/>
          </w:tcPr>
          <w:p>
            <w:pPr>
              <w:spacing w:after="0"/>
              <w:rPr>
                <w:sz w:val="18"/>
                <w:szCs w:val="18"/>
                <w:color w:val="auto"/>
              </w:rPr>
            </w:pPr>
          </w:p>
        </w:tc>
        <w:tc>
          <w:tcPr>
            <w:tcW w:w="1100" w:type="dxa"/>
            <w:vAlign w:val="bottom"/>
            <w:tcBorders>
              <w:top w:val="single" w:sz="8" w:color="auto"/>
              <w:bottom w:val="single" w:sz="8" w:color="auto"/>
            </w:tcBorders>
            <w:gridSpan w:val="2"/>
          </w:tcPr>
          <w:p>
            <w:pPr>
              <w:ind w:left="460"/>
              <w:spacing w:after="0"/>
              <w:rPr>
                <w:sz w:val="20"/>
                <w:szCs w:val="20"/>
                <w:color w:val="auto"/>
              </w:rPr>
            </w:pPr>
            <w:r>
              <w:rPr>
                <w:rFonts w:ascii="Arial" w:cs="Arial" w:eastAsia="Arial" w:hAnsi="Arial"/>
                <w:sz w:val="18"/>
                <w:szCs w:val="18"/>
                <w:b w:val="1"/>
                <w:bCs w:val="1"/>
                <w:color w:val="auto"/>
                <w:w w:val="91"/>
              </w:rPr>
              <w:t>in years</w:t>
            </w:r>
          </w:p>
        </w:tc>
        <w:tc>
          <w:tcPr>
            <w:tcW w:w="42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w:t>
            </w:r>
          </w:p>
        </w:tc>
        <w:tc>
          <w:tcPr>
            <w:tcW w:w="4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10</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4,835</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20" w:type="dxa"/>
            <w:vAlign w:val="bottom"/>
          </w:tcPr>
          <w:p>
            <w:pPr>
              <w:ind w:left="380"/>
              <w:spacing w:after="0"/>
              <w:rPr>
                <w:sz w:val="20"/>
                <w:szCs w:val="20"/>
                <w:color w:val="auto"/>
              </w:rPr>
            </w:pPr>
            <w:r>
              <w:rPr>
                <w:rFonts w:ascii="Arial" w:cs="Arial" w:eastAsia="Arial" w:hAnsi="Arial"/>
                <w:sz w:val="18"/>
                <w:szCs w:val="18"/>
                <w:color w:val="auto"/>
              </w:rPr>
              <w:t>1</w:t>
            </w:r>
          </w:p>
        </w:tc>
        <w:tc>
          <w:tcPr>
            <w:tcW w:w="480" w:type="dxa"/>
            <w:vAlign w:val="bottom"/>
          </w:tcPr>
          <w:p>
            <w:pPr>
              <w:ind w:left="140"/>
              <w:spacing w:after="0"/>
              <w:rPr>
                <w:sz w:val="20"/>
                <w:szCs w:val="20"/>
                <w:color w:val="auto"/>
              </w:rPr>
            </w:pPr>
            <w:r>
              <w:rPr>
                <w:rFonts w:ascii="Arial" w:cs="Arial" w:eastAsia="Arial" w:hAnsi="Arial"/>
                <w:sz w:val="18"/>
                <w:szCs w:val="18"/>
                <w:color w:val="auto"/>
              </w:rPr>
              <w:t>to</w:t>
            </w:r>
          </w:p>
        </w:tc>
        <w:tc>
          <w:tcPr>
            <w:tcW w:w="420" w:type="dxa"/>
            <w:vAlign w:val="bottom"/>
          </w:tcPr>
          <w:p>
            <w:pPr>
              <w:jc w:val="center"/>
              <w:ind w:right="70"/>
              <w:spacing w:after="0"/>
              <w:rPr>
                <w:sz w:val="20"/>
                <w:szCs w:val="20"/>
                <w:color w:val="auto"/>
              </w:rPr>
            </w:pPr>
            <w:r>
              <w:rPr>
                <w:rFonts w:ascii="Arial" w:cs="Arial" w:eastAsia="Arial" w:hAnsi="Arial"/>
                <w:sz w:val="18"/>
                <w:szCs w:val="18"/>
                <w:color w:val="auto"/>
                <w:w w:val="99"/>
              </w:rPr>
              <w:t>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1,509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1,495</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5</w:t>
            </w: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w:t>
            </w:r>
          </w:p>
        </w:tc>
        <w:tc>
          <w:tcPr>
            <w:tcW w:w="4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10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Manufacturing and test equipment</w:t>
            </w:r>
          </w:p>
        </w:tc>
        <w:tc>
          <w:tcPr>
            <w:tcW w:w="620" w:type="dxa"/>
            <w:vAlign w:val="bottom"/>
          </w:tcPr>
          <w:p>
            <w:pPr>
              <w:ind w:left="380"/>
              <w:spacing w:after="0"/>
              <w:rPr>
                <w:sz w:val="20"/>
                <w:szCs w:val="20"/>
                <w:color w:val="auto"/>
              </w:rPr>
            </w:pPr>
            <w:r>
              <w:rPr>
                <w:rFonts w:ascii="Arial" w:cs="Arial" w:eastAsia="Arial" w:hAnsi="Arial"/>
                <w:sz w:val="18"/>
                <w:szCs w:val="18"/>
                <w:color w:val="auto"/>
              </w:rPr>
              <w:t>2</w:t>
            </w:r>
          </w:p>
        </w:tc>
        <w:tc>
          <w:tcPr>
            <w:tcW w:w="480" w:type="dxa"/>
            <w:vAlign w:val="bottom"/>
          </w:tcPr>
          <w:p>
            <w:pPr>
              <w:ind w:left="140"/>
              <w:spacing w:after="0"/>
              <w:rPr>
                <w:sz w:val="20"/>
                <w:szCs w:val="20"/>
                <w:color w:val="auto"/>
              </w:rPr>
            </w:pPr>
            <w:r>
              <w:rPr>
                <w:rFonts w:ascii="Arial" w:cs="Arial" w:eastAsia="Arial" w:hAnsi="Arial"/>
                <w:sz w:val="18"/>
                <w:szCs w:val="18"/>
                <w:color w:val="auto"/>
              </w:rPr>
              <w:t>to</w:t>
            </w:r>
          </w:p>
        </w:tc>
        <w:tc>
          <w:tcPr>
            <w:tcW w:w="420" w:type="dxa"/>
            <w:vAlign w:val="bottom"/>
          </w:tcPr>
          <w:p>
            <w:pPr>
              <w:jc w:val="center"/>
              <w:ind w:right="70"/>
              <w:spacing w:after="0"/>
              <w:rPr>
                <w:sz w:val="20"/>
                <w:szCs w:val="20"/>
                <w:color w:val="auto"/>
              </w:rPr>
            </w:pPr>
            <w:r>
              <w:rPr>
                <w:rFonts w:ascii="Arial" w:cs="Arial" w:eastAsia="Arial" w:hAnsi="Arial"/>
                <w:sz w:val="18"/>
                <w:szCs w:val="18"/>
                <w:color w:val="auto"/>
                <w:w w:val="89"/>
              </w:rPr>
              <w:t>10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2,577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2,537</w:t>
            </w:r>
          </w:p>
        </w:tc>
      </w:tr>
      <w:tr>
        <w:trPr>
          <w:trHeight w:val="20"/>
        </w:trPr>
        <w:tc>
          <w:tcPr>
            <w:tcW w:w="6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8,867</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(7,601)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(7,354)</w:t>
            </w:r>
          </w:p>
        </w:tc>
      </w:tr>
      <w:tr>
        <w:trPr>
          <w:trHeight w:val="20"/>
        </w:trPr>
        <w:tc>
          <w:tcPr>
            <w:tcW w:w="6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1,549</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w:t>
            </w: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expense on property and equipment for the years ended December 31, 2017, 2016 and 2015 was $599, $723, and $801, respectively. During the twelve months ended December 31, 2017 we recorded $128 thousand for the disposal of fixed assets consisting of software, manufacturing equipment and furniture.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 and Deferred Rent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Rent expense is recognized on a straight-line basis over the period of the lease taking into account future rent escalation and holiday periods. Rent expense was $999, $1,099 and $1,420, including amortization of deferred rent of $44, $73, and $95 for the years ended December 31, 2017, 2016 and 2015, respectively.</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occupy a 5,000 square-foot facility in Gainesville, Florida under the terms of an operating lease that expires in February 2021 with the possibility of renewing the lease for 10 more years. The Gainesville facility was used primarily to support our research and development activities.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lease a 4,700 square-foot office facility in Hod Hasharon, Israel under the terms of an operating lease expiring in December 2019 which serves to support our research and development activities. Upon expiration, we will have the option to extend the lease for two additional years.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occupy a 31,000 square-foot facility in Salt Lake City, Utah under the terms of an operating lease expiring in May 2019, which supports our principal administrative, sales, marketing, customer support, and research and product development activities.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occupy a 10,700 square-foot warehouse in Shenzhen, China under the terms of an operating lease expiring in September 2019, which serves as our primary inventory fulfillment and repair center for Asia.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occupy a 7,070 square-foot facility in Austin, Texas - under the terms of an operating lease expiring in October 2019. This facility support our administrative, sales, marketing, customer support, and research and development activities.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occupy a 40,000 square-foot warehouse in Salt Lake City, Utah under the terms of an operating lease expiring in April 2025, which serves as our primary inventory fulfillment and repair center. This facility also serves as our assembly workshop for digital signage products.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non-cancellable operating leases with initial terms of one year or more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2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2018</w:t>
            </w:r>
          </w:p>
        </w:tc>
        <w:tc>
          <w:tcPr>
            <w:tcW w:w="2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w:t>
            </w:r>
          </w:p>
        </w:tc>
      </w:tr>
      <w:tr>
        <w:trPr>
          <w:trHeight w:val="216"/>
        </w:trPr>
        <w:tc>
          <w:tcPr>
            <w:tcW w:w="5620" w:type="dxa"/>
            <w:vAlign w:val="bottom"/>
          </w:tcPr>
          <w:p>
            <w:pPr>
              <w:ind w:left="340"/>
              <w:spacing w:after="0"/>
              <w:rPr>
                <w:sz w:val="20"/>
                <w:szCs w:val="20"/>
                <w:color w:val="auto"/>
              </w:rPr>
            </w:pPr>
            <w:r>
              <w:rPr>
                <w:rFonts w:ascii="Arial" w:cs="Arial" w:eastAsia="Arial" w:hAnsi="Arial"/>
                <w:sz w:val="18"/>
                <w:szCs w:val="18"/>
                <w:color w:val="auto"/>
              </w:rPr>
              <w:t>2019</w:t>
            </w:r>
          </w:p>
        </w:tc>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r>
      <w:tr>
        <w:trPr>
          <w:trHeight w:val="216"/>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2020</w:t>
            </w:r>
          </w:p>
        </w:tc>
        <w:tc>
          <w:tcPr>
            <w:tcW w:w="2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r>
      <w:tr>
        <w:trPr>
          <w:trHeight w:val="216"/>
        </w:trPr>
        <w:tc>
          <w:tcPr>
            <w:tcW w:w="5620" w:type="dxa"/>
            <w:vAlign w:val="bottom"/>
          </w:tcPr>
          <w:p>
            <w:pPr>
              <w:ind w:left="340"/>
              <w:spacing w:after="0"/>
              <w:rPr>
                <w:sz w:val="20"/>
                <w:szCs w:val="20"/>
                <w:color w:val="auto"/>
              </w:rPr>
            </w:pPr>
            <w:r>
              <w:rPr>
                <w:rFonts w:ascii="Arial" w:cs="Arial" w:eastAsia="Arial" w:hAnsi="Arial"/>
                <w:sz w:val="18"/>
                <w:szCs w:val="18"/>
                <w:color w:val="auto"/>
              </w:rPr>
              <w:t>2021</w:t>
            </w:r>
          </w:p>
        </w:tc>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r>
      <w:tr>
        <w:trPr>
          <w:trHeight w:val="216"/>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2022</w:t>
            </w:r>
          </w:p>
        </w:tc>
        <w:tc>
          <w:tcPr>
            <w:tcW w:w="2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r>
      <w:tr>
        <w:trPr>
          <w:trHeight w:val="216"/>
        </w:trPr>
        <w:tc>
          <w:tcPr>
            <w:tcW w:w="5620" w:type="dxa"/>
            <w:vAlign w:val="bottom"/>
          </w:tcPr>
          <w:p>
            <w:pPr>
              <w:ind w:left="340"/>
              <w:spacing w:after="0"/>
              <w:rPr>
                <w:sz w:val="20"/>
                <w:szCs w:val="20"/>
                <w:color w:val="auto"/>
              </w:rPr>
            </w:pPr>
            <w:r>
              <w:rPr>
                <w:rFonts w:ascii="Arial" w:cs="Arial" w:eastAsia="Arial" w:hAnsi="Arial"/>
                <w:sz w:val="18"/>
                <w:szCs w:val="18"/>
                <w:color w:val="auto"/>
              </w:rPr>
              <w:t>Thereafter</w:t>
            </w:r>
          </w:p>
        </w:tc>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8"/>
                <w:szCs w:val="18"/>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25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2,208</w:t>
            </w:r>
          </w:p>
        </w:tc>
      </w:tr>
      <w:tr>
        <w:trPr>
          <w:trHeight w:val="656"/>
        </w:trPr>
        <w:tc>
          <w:tcPr>
            <w:tcW w:w="56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7. Accrued Liabilities</w:t>
            </w:r>
          </w:p>
        </w:tc>
        <w:tc>
          <w:tcPr>
            <w:tcW w:w="250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Accrued liabilities consist of the following:</w:t>
            </w:r>
          </w:p>
        </w:tc>
        <w:tc>
          <w:tcPr>
            <w:tcW w:w="2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0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rPr>
              <w:t>As of December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6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other compensation</w:t>
            </w:r>
          </w:p>
        </w:tc>
        <w:tc>
          <w:tcPr>
            <w:tcW w:w="350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1,072</w:t>
            </w:r>
          </w:p>
        </w:tc>
        <w:tc>
          <w:tcPr>
            <w:tcW w:w="10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Sales and marketing programs</w:t>
            </w:r>
          </w:p>
        </w:tc>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2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r>
      <w:tr>
        <w:trPr>
          <w:trHeight w:val="20"/>
        </w:trPr>
        <w:tc>
          <w:tcPr>
            <w:tcW w:w="5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1,843</w:t>
            </w:r>
          </w:p>
        </w:tc>
        <w:tc>
          <w:tcPr>
            <w:tcW w:w="10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w:t>
            </w:r>
          </w:p>
        </w:tc>
      </w:tr>
      <w:tr>
        <w:trPr>
          <w:trHeight w:val="20"/>
        </w:trPr>
        <w:tc>
          <w:tcPr>
            <w:tcW w:w="56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establish contingent liabilities when a particular contingency is both probable and estimable. The Company is not aware of any pending claims or assessments, other than as described below, which may have a material adverse impact on the Company’s financial position or results of operations.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Outsource Manufacturers. </w:t>
      </w:r>
      <w:r>
        <w:rPr>
          <w:rFonts w:ascii="Arial" w:cs="Arial" w:eastAsia="Arial" w:hAnsi="Arial"/>
          <w:sz w:val="18"/>
          <w:szCs w:val="18"/>
          <w:color w:val="auto"/>
        </w:rPr>
        <w:t>We have manufacturing agreements with electronics manufacturing service (“EMS”) providers related to the outsourced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of our products. Certain manufacturing agreements establish annual volume commitments. We are also obligated to repurchase Company-forecasted but unused materials. The Company has non-cancellable, non-returnable, and long-lead time commitments with its EMS providers and certain suppliers for inventory components that will be used in production. The Company’s purchase commitments under such agreements is approximately $3,402 as of December 31, 2017.</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Uncertain Tax Positions. </w:t>
      </w:r>
      <w:r>
        <w:rPr>
          <w:rFonts w:ascii="Arial" w:cs="Arial" w:eastAsia="Arial" w:hAnsi="Arial"/>
          <w:sz w:val="18"/>
          <w:szCs w:val="18"/>
          <w:color w:val="auto"/>
        </w:rPr>
        <w:t>As further discussed in Note 12, we had $652 of uncertain tax positions as of December 31, 2017. Due to the inherent uncertainty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underlying tax positions, it is not possible to forecast the payment of this liability to any particular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1" w:name="page62"/>
    <w:bookmarkEnd w:id="61"/>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Legal Proceedings.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Intellectual Property Litigation</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April 25, 2017, the Company was awarded a new patent, U.S. Patent No. 9,635,186 (the “186 Patent”), which relates to a system and method involving the combination of echo cancellation and beamforming microphone arrays. Also on April 25, 2017, the Company filed a lawsuit in the U.S. Federal District Court in the District of Utah against three parties—Shure, Inc. (“Shure”), Biamp Systems Corporation (“Biamp”), and QSC Audio Products, LLC (“QSC,” together with Shure and Biamp, collectively, the “Defendants”), alleging that the Defendants were jointly and indirectly infringing the newly issued ‘186 Patent (the “Infringement Action”). On that same day, Shure filed a separate action in the U.S. Federal District Court in the Northern District of Illinois (the “Illinois Action”) requesting a declaratory judgment as to the invalidity or non-infringement with respect to the ‘186 Patent. The Illinois Action also seeks the same declaratory judgment with respect to another Company patent, United States Patent No. 9,264,553 (the “553 Patent”), and which has not been asserted by the Company against any defendant and has been submitted to the USPTO for reissue. In early 2018, Shure added a claim that the ‘186 Patent is unenforceable.</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May 22, 2017, the U.S. Supreme Court issued its opinion in the TC Heartland LLC v. Kraft Foods Group Brands LLC, No. 16–341. That opinion changed the law on permissible venues for patent litigation from any district in which there was personal jurisdiction over a defendant to only districts in which a defendant was incorporated or had a regular and established place of business. Given that none of the Defendants were incorporated or had a regular and established place of business in the District of Utah, on May 30, 2017, the Company filed an answer to the Illinois Action and counterclaims substantially the same as those in the Company’s Infringement Action, joining Biamp and QSC as counter-defendants with Shure in such counterclaims in the Illinois Action, and on May 31, 2017, the Company voluntarily dismissed the Infringement Action in Utah without prejudice. On November 14, 2017 the U.S. Federal District Court in the Northern District of Illinois granted Biamp’s and QSC’s motions to dismiss for lack of appropriate venue and followed up with a written opinion on March 16, 2018 consistent with its minute order on November 14, 2017. Also on March 16, the Court granted the Company’s motion to dismiss Shure’s declaratory judgment claim for noninfringement of the '553 Patent.</w:t>
      </w:r>
    </w:p>
    <w:p>
      <w:pPr>
        <w:spacing w:after="0" w:line="18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July 14, 2017, Shure filed a petition with Patent Trial and Appeals Board (“PTAB”) for inter partes review against the ‘553 Patent. On January 29, 2018, PTAB decided to institute inter partes review.</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August 6, 2017, the Company filed a motion seeking a preliminary injunction to enjoin the defendants from continuing to infringe on the Company’s '186 Patent. On March 16, 2018 the Court denied the Company’s motion for preliminary injunction.</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 November 7, 2017, the U.S. Patent and Trademark Office awarded the Company U.S. Patent No. 9,813,806 ("the '806 Patent"). On February 6, 2018, the Company filed a motion for leave to file a Second Amended Counterclaim adding the '806 Patent to the case. The Court granted the motion the next day. On April 17, the Company filed a motion for preliminary injunction to enjoin Shure from continuing to infringe the Company’s '806 Patent.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intends to continue to vigorously enforce and defend its intellectual property rights in the Illinois Action.</w:t>
      </w:r>
    </w:p>
    <w:p>
      <w:pPr>
        <w:spacing w:after="0" w:line="22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During twelve months ended December 31, 2016 and 2016, the Company recorded $408 and $1,111 respectively, of pretax gross expenses related to this intellectual property litigation to prevent infringement of the Company’s patents. In addition, the Company also capitalized $2,289 of litigation expenses related to this matter during the twelve months ended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Former Employee Litigation</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or about October 24, 2016, the Company received written notice from the United States Department of Labor, Occupational Health and Safety Administration (“OSHA”) that a complaint had been filed against it by a former employee. Among other things, the former employee’s OSHA complaint alleged harassment, retaliation, and violations of 18 U.S.C.A. Section 1514A, et seq. (the “Sarbanes-Oxley Act”), arising out of the termination of his employment with the Company on or about August 17, 2016 (the “OSHA Complaint”). By letter dated March 2, 2017, the Company received notice that the same former employee who initiated the OSHA Complaint filed a complaint with the Utah Labor Commission, Anti-Discrimination &amp; Labor Division (“UALD“), alleging that the employee's termination was discriminatory based upon a disability or, in the alternative, retaliatory for substantially the same reasons alleged in the OSHA Complaint. The charge was also forwarded to the United States Equal Employment and Opportunity Commission (“EEOC“) and was also recognized as a charge under the EEOC's federal jurisdiction.</w:t>
      </w:r>
    </w:p>
    <w:p>
      <w:pPr>
        <w:spacing w:after="0" w:line="17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Following negotiations between the parties, the parties executed a settlement agreement on December 7, 2017 (“the Agreement“) with respect to the OSHA Complaint. Per the terms of the Agreement, the Company's signing of the Agreement in no way constitutes an admission of a violation of any law or regulation enforced by OSHA. Around the same time in December 2017, the parties executed a side settlement agreement by which the former employee acknowledged that he does not believe that the Company engaged in activities which would be construed as violations of securities-related laws and agreed to withdraw his charge against the Company from the UALD and the EEOC. The charge was effectively withdrawn on December 6, 2017.</w:t>
      </w:r>
    </w:p>
    <w:p>
      <w:pPr>
        <w:spacing w:after="0" w:line="15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twelve months ended December 31, 2016 and 2017, the Company recorded $927 and $152 respectively, of pretax gross expenses and settlement costs related to the defense of the OSHA Complaint and review of the allegations underlying the former employee’s OSHA complaint. The amount recorded in 2017 is net of recoveries from the insurance company towards this matter.</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maintains an Employment Practices Liability policy with Chubb/Federal Insurance Company (the “EPL Policy”). Based on the allegations contained in the OSHA Complaint, the Company has tendered a claim for coverage under the EPL Policy.</w:t>
      </w:r>
    </w:p>
    <w:p>
      <w:pPr>
        <w:sectPr>
          <w:pgSz w:w="11900" w:h="16838" w:orient="portrait"/>
          <w:cols w:equalWidth="0" w:num="1">
            <w:col w:w="11300"/>
          </w:cols>
          <w:pgMar w:left="220" w:top="118" w:right="379" w:bottom="8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 F- 19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105410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20" w:top="118" w:right="379" w:bottom="823" w:gutter="0" w:footer="0" w:header="0"/>
          <w:type w:val="continuous"/>
        </w:sectPr>
      </w:pPr>
    </w:p>
    <w:bookmarkStart w:id="62" w:name="page63"/>
    <w:bookmarkEnd w:id="62"/>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addition, the Company is also involved from time to time in various claims and legal proceedings which arise in the normal course of our business. Such matters are subject to many uncertainties and outcomes that are not predictable. However, based on the information available to us, we do not believe any such other proceedings will have a material adverse effect on our business, results of operations, financial position,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Conclusion</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We believe there are no other items that will have a material adverse impact on the Company’s financial position or results of operations. Legal proceedings are subject to all of the risks and uncertainties of legal proceedings and there can be no assurance as to the probable result of any legal proceedings.</w:t>
      </w:r>
    </w:p>
    <w:p>
      <w:pPr>
        <w:spacing w:after="0" w:line="124"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Company believes it has adequately accrued for the aforementioned contingent liabilities. If adverse outcomes were to occur, our financial position, results of operations and cash flows could be negatively affected materially for the period in which the adverse outcomes are known.</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9. Share-Based Payments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Employee Stock Option Plans</w:t>
      </w:r>
    </w:p>
    <w:p>
      <w:pPr>
        <w:spacing w:after="0" w:line="225"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The Company’s share-based incentive plans offering stock options primarily consists of two plans. Under both plans, one new share is issued for each stock option exercised. The plans are described below.</w:t>
      </w:r>
    </w:p>
    <w:p>
      <w:pPr>
        <w:spacing w:after="0" w:line="170" w:lineRule="exact"/>
        <w:rPr>
          <w:sz w:val="20"/>
          <w:szCs w:val="20"/>
          <w:color w:val="auto"/>
        </w:rPr>
      </w:pPr>
    </w:p>
    <w:p>
      <w:pPr>
        <w:jc w:val="both"/>
        <w:ind w:left="20"/>
        <w:spacing w:after="0" w:line="285" w:lineRule="auto"/>
        <w:rPr>
          <w:sz w:val="20"/>
          <w:szCs w:val="20"/>
          <w:color w:val="auto"/>
        </w:rPr>
      </w:pPr>
      <w:r>
        <w:rPr>
          <w:rFonts w:ascii="Arial" w:cs="Arial" w:eastAsia="Arial" w:hAnsi="Arial"/>
          <w:sz w:val="16"/>
          <w:szCs w:val="16"/>
          <w:color w:val="auto"/>
        </w:rPr>
        <w:t>The Company’s 1998 Incentive Plan (the “1998 Plan”) was the Company’s primary plan through November 2007. Under this plan shares of common stock was made available for issuance to employees and directors. Through December 1999, 1,066,000 options were granted that would cliff vest after 9.8 years; however, such vesting was accelerated for 637,089 of these options upon meeting certain earnings per share goals through the fiscal year ended June 30, 2003. Subsequent to December 1999 and through June 2002, 1,248,250 options were granted that would cliff vest after 6.0 years; however, such vesting was accelerated for 300,494 of these options upon meeting certain earnings per share goals through the fiscal year ended June 30, 2005.</w:t>
      </w:r>
    </w:p>
    <w:p>
      <w:pPr>
        <w:spacing w:after="0" w:line="2" w:lineRule="exact"/>
        <w:rPr>
          <w:sz w:val="20"/>
          <w:szCs w:val="20"/>
          <w:color w:val="auto"/>
        </w:rPr>
      </w:pPr>
    </w:p>
    <w:p>
      <w:pPr>
        <w:jc w:val="both"/>
        <w:ind w:left="20"/>
        <w:spacing w:after="0" w:line="254" w:lineRule="auto"/>
        <w:rPr>
          <w:sz w:val="20"/>
          <w:szCs w:val="20"/>
          <w:color w:val="auto"/>
        </w:rPr>
      </w:pPr>
      <w:r>
        <w:rPr>
          <w:rFonts w:ascii="Arial" w:cs="Arial" w:eastAsia="Arial" w:hAnsi="Arial"/>
          <w:sz w:val="18"/>
          <w:szCs w:val="18"/>
          <w:color w:val="auto"/>
        </w:rPr>
        <w:t>The Company’s 2007 Equity Incentive Plan (the “2007 Plan”) was restated and approved by the shareholders on December 12, 2016. Provisions of the restated 2007 Plan include the granting of up to 2,000,000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w:t>
      </w:r>
    </w:p>
    <w:p>
      <w:pPr>
        <w:spacing w:after="0" w:line="190" w:lineRule="exact"/>
        <w:rPr>
          <w:sz w:val="20"/>
          <w:szCs w:val="20"/>
          <w:color w:val="auto"/>
        </w:rPr>
      </w:pPr>
    </w:p>
    <w:p>
      <w:pPr>
        <w:jc w:val="both"/>
        <w:ind w:left="20"/>
        <w:spacing w:after="0" w:line="276" w:lineRule="auto"/>
        <w:rPr>
          <w:sz w:val="20"/>
          <w:szCs w:val="20"/>
          <w:color w:val="auto"/>
        </w:rPr>
      </w:pPr>
      <w:r>
        <w:rPr>
          <w:rFonts w:ascii="Arial" w:cs="Arial" w:eastAsia="Arial" w:hAnsi="Arial"/>
          <w:sz w:val="17"/>
          <w:szCs w:val="17"/>
          <w:color w:val="auto"/>
        </w:rPr>
        <w:t>Of the options granted subsequent to June 2002, all vesting schedules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the Company’s Board of Directors has the authority to elect that all unvested options shall vest and become exercisable immediately prior to the event or closing of the transaction. All options outstanding as of December 31, 2017 had contractual lives of ten years.</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7"/>
          <w:szCs w:val="17"/>
          <w:color w:val="auto"/>
        </w:rPr>
        <w:t>Under the 1998 Plan, 2,500,000 shares were authorized for grant. As of December 31, 2017, there were no options outstanding under the 1998 Plan.</w:t>
      </w:r>
    </w:p>
    <w:p>
      <w:pPr>
        <w:spacing w:after="0" w:line="237"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As of December 31, 2017, there were 764,430 options outstanding under the 2007 Plan. As of December 31, 2017, the 2007 Plan had 774,456 authorized unissued options, while there were no options remaining that could be granted under the 1998 Plan.</w:t>
      </w:r>
    </w:p>
    <w:p>
      <w:pPr>
        <w:spacing w:after="0" w:line="170" w:lineRule="exact"/>
        <w:rPr>
          <w:sz w:val="20"/>
          <w:szCs w:val="20"/>
          <w:color w:val="auto"/>
        </w:rPr>
      </w:pPr>
    </w:p>
    <w:p>
      <w:pPr>
        <w:jc w:val="both"/>
        <w:ind w:left="20"/>
        <w:spacing w:after="0" w:line="302" w:lineRule="auto"/>
        <w:rPr>
          <w:sz w:val="20"/>
          <w:szCs w:val="20"/>
          <w:color w:val="auto"/>
        </w:rPr>
      </w:pPr>
      <w:r>
        <w:rPr>
          <w:rFonts w:ascii="Arial" w:cs="Arial" w:eastAsia="Arial" w:hAnsi="Arial"/>
          <w:sz w:val="16"/>
          <w:szCs w:val="16"/>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 option pricing model to determine the fair value of share-based payments granted under the guidelines of ASC Topic 718.</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applying the Black-Scholes methodology to the options granted, the Company used the following assumptions:</w:t>
      </w:r>
    </w:p>
    <w:p>
      <w:pPr>
        <w:spacing w:after="0" w:line="221"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3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8"/>
                <w:szCs w:val="18"/>
                <w:color w:val="auto"/>
              </w:rPr>
            </w:pPr>
          </w:p>
        </w:tc>
      </w:tr>
      <w:tr>
        <w:trPr>
          <w:trHeight w:val="210"/>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 average</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Expected option life, average (in years)</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7.9</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6.1</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price volatility, average</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40.71%</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43.75%</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44.30%</w:t>
            </w: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2.83%</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1.71%</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r>
    </w:tbl>
    <w:p>
      <w:pPr>
        <w:spacing w:after="0" w:line="200" w:lineRule="exact"/>
        <w:rPr>
          <w:sz w:val="20"/>
          <w:szCs w:val="20"/>
          <w:color w:val="auto"/>
        </w:rPr>
      </w:pPr>
    </w:p>
    <w:p>
      <w:pPr>
        <w:spacing w:after="0" w:line="204"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The risk-free interest rate is determined using the U.S. Treasury rate in effect as of the date of the grant, based on the expected life of the stock option. The expected life of the stock option is determined using historical data.</w:t>
      </w:r>
    </w:p>
    <w:p>
      <w:pPr>
        <w:spacing w:after="0" w:line="170"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The expected price volatility is determined using a weighted average of daily historical volatility of the Company’s stock price over the corresponding expected option life.</w:t>
      </w:r>
    </w:p>
    <w:p>
      <w:pPr>
        <w:spacing w:after="0" w:line="170"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Under guidelines of ASC Topic 718, the Company recognizes the associated compensation cost for only those awards expected to vest on a straight-line basis over the underlying requisite service period. The Company estimated the forfeiture rates based on its historical experience and expectations about future forfeitures.</w:t>
      </w:r>
    </w:p>
    <w:p>
      <w:pPr>
        <w:sectPr>
          <w:pgSz w:w="11900" w:h="16838" w:orient="portrait"/>
          <w:cols w:equalWidth="0" w:num="1">
            <w:col w:w="11440"/>
          </w:cols>
          <w:pgMar w:left="220" w:top="118" w:right="239" w:bottom="58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F- 20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105410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580" w:gutter="0" w:footer="0" w:header="0"/>
          <w:type w:val="continuous"/>
        </w:sectPr>
      </w:pPr>
    </w:p>
    <w:bookmarkStart w:id="63" w:name="page64"/>
    <w:bookmarkEnd w:id="6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stock option activity: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ind w:left="80"/>
              <w:spacing w:after="0"/>
              <w:rPr>
                <w:sz w:val="20"/>
                <w:szCs w:val="20"/>
                <w:color w:val="auto"/>
              </w:rPr>
            </w:pPr>
            <w:r>
              <w:rPr>
                <w:rFonts w:ascii="Arial" w:cs="Arial" w:eastAsia="Arial" w:hAnsi="Arial"/>
                <w:sz w:val="18"/>
                <w:szCs w:val="18"/>
                <w:b w:val="1"/>
                <w:bCs w:val="1"/>
                <w:color w:val="auto"/>
              </w:rPr>
              <w:t>Weighted Average</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Aggregate 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Number of Shares</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Exercise Price</w:t>
            </w:r>
          </w:p>
        </w:tc>
        <w:tc>
          <w:tcPr>
            <w:tcW w:w="22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2014</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1,040,081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w:t>
            </w: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Granted</w:t>
            </w:r>
          </w:p>
        </w:tc>
        <w:tc>
          <w:tcPr>
            <w:tcW w:w="2200" w:type="dxa"/>
            <w:vAlign w:val="bottom"/>
            <w:gridSpan w:val="2"/>
          </w:tcPr>
          <w:p>
            <w:pPr>
              <w:jc w:val="right"/>
              <w:ind w:right="260"/>
              <w:spacing w:after="0"/>
              <w:rPr>
                <w:sz w:val="20"/>
                <w:szCs w:val="20"/>
                <w:color w:val="auto"/>
              </w:rPr>
            </w:pPr>
            <w:r>
              <w:rPr>
                <w:rFonts w:ascii="Arial" w:cs="Arial" w:eastAsia="Arial" w:hAnsi="Arial"/>
                <w:sz w:val="18"/>
                <w:szCs w:val="18"/>
                <w:color w:val="auto"/>
              </w:rPr>
              <w:t>56,666</w:t>
            </w:r>
          </w:p>
        </w:tc>
        <w:tc>
          <w:tcPr>
            <w:tcW w:w="180" w:type="dxa"/>
            <w:vAlign w:val="bottom"/>
          </w:tcPr>
          <w:p>
            <w:pPr>
              <w:spacing w:after="0"/>
              <w:rPr>
                <w:sz w:val="18"/>
                <w:szCs w:val="18"/>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13.03</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Reinstated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Expired and canceled</w:t>
            </w:r>
          </w:p>
        </w:tc>
        <w:tc>
          <w:tcPr>
            <w:tcW w:w="220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3.42</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prior to vesting</w:t>
            </w:r>
          </w:p>
        </w:tc>
        <w:tc>
          <w:tcPr>
            <w:tcW w:w="2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(15,252)</w:t>
            </w: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2200" w:type="dxa"/>
            <w:vAlign w:val="bottom"/>
            <w:gridSpan w:val="2"/>
          </w:tcPr>
          <w:p>
            <w:pPr>
              <w:jc w:val="right"/>
              <w:ind w:right="200"/>
              <w:spacing w:after="0"/>
              <w:rPr>
                <w:sz w:val="20"/>
                <w:szCs w:val="20"/>
                <w:color w:val="auto"/>
              </w:rPr>
            </w:pPr>
            <w:r>
              <w:rPr>
                <w:rFonts w:ascii="Arial" w:cs="Arial" w:eastAsia="Arial" w:hAnsi="Arial"/>
                <w:sz w:val="18"/>
                <w:szCs w:val="18"/>
                <w:color w:val="auto"/>
              </w:rPr>
              <w:t>(56,143)</w:t>
            </w:r>
          </w:p>
        </w:tc>
        <w:tc>
          <w:tcPr>
            <w:tcW w:w="180" w:type="dxa"/>
            <w:vAlign w:val="bottom"/>
          </w:tcPr>
          <w:p>
            <w:pPr>
              <w:spacing w:after="0"/>
              <w:rPr>
                <w:sz w:val="18"/>
                <w:szCs w:val="18"/>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5.51</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2015</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1,028,935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spacing w:after="0"/>
              <w:rPr>
                <w:sz w:val="20"/>
                <w:szCs w:val="20"/>
                <w:color w:val="auto"/>
              </w:rPr>
            </w:pPr>
            <w:r>
              <w:rPr>
                <w:rFonts w:ascii="Arial" w:cs="Arial" w:eastAsia="Arial" w:hAnsi="Arial"/>
                <w:sz w:val="18"/>
                <w:szCs w:val="18"/>
                <w:color w:val="auto"/>
              </w:rPr>
              <w:t>217,700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11.73</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 and canceled</w:t>
            </w:r>
          </w:p>
        </w:tc>
        <w:tc>
          <w:tcPr>
            <w:tcW w:w="2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(4,186)</w:t>
            </w: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12.03</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Forfeited prior to vesting</w:t>
            </w:r>
          </w:p>
        </w:tc>
        <w:tc>
          <w:tcPr>
            <w:tcW w:w="2200" w:type="dxa"/>
            <w:vAlign w:val="bottom"/>
            <w:gridSpan w:val="2"/>
          </w:tcPr>
          <w:p>
            <w:pPr>
              <w:jc w:val="right"/>
              <w:ind w:right="200"/>
              <w:spacing w:after="0"/>
              <w:rPr>
                <w:sz w:val="20"/>
                <w:szCs w:val="20"/>
                <w:color w:val="auto"/>
              </w:rPr>
            </w:pPr>
            <w:r>
              <w:rPr>
                <w:rFonts w:ascii="Arial" w:cs="Arial" w:eastAsia="Arial" w:hAnsi="Arial"/>
                <w:sz w:val="18"/>
                <w:szCs w:val="18"/>
                <w:color w:val="auto"/>
              </w:rPr>
              <w:t>(17,360)</w:t>
            </w:r>
          </w:p>
        </w:tc>
        <w:tc>
          <w:tcPr>
            <w:tcW w:w="180" w:type="dxa"/>
            <w:vAlign w:val="bottom"/>
          </w:tcPr>
          <w:p>
            <w:pPr>
              <w:spacing w:after="0"/>
              <w:rPr>
                <w:sz w:val="18"/>
                <w:szCs w:val="18"/>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10.67</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2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(374,857)</w:t>
            </w: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As of December 31, 2016</w:t>
            </w:r>
          </w:p>
        </w:tc>
        <w:tc>
          <w:tcPr>
            <w:tcW w:w="1940" w:type="dxa"/>
            <w:vAlign w:val="bottom"/>
          </w:tcPr>
          <w:p>
            <w:pPr>
              <w:jc w:val="right"/>
              <w:spacing w:after="0"/>
              <w:rPr>
                <w:sz w:val="20"/>
                <w:szCs w:val="20"/>
                <w:color w:val="auto"/>
              </w:rPr>
            </w:pPr>
            <w:r>
              <w:rPr>
                <w:rFonts w:ascii="Arial" w:cs="Arial" w:eastAsia="Arial" w:hAnsi="Arial"/>
                <w:sz w:val="18"/>
                <w:szCs w:val="18"/>
                <w:color w:val="auto"/>
              </w:rPr>
              <w:t>850,232</w:t>
            </w:r>
          </w:p>
        </w:tc>
        <w:tc>
          <w:tcPr>
            <w:tcW w:w="2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8.06</w:t>
            </w:r>
          </w:p>
        </w:tc>
        <w:tc>
          <w:tcPr>
            <w:tcW w:w="220" w:type="dxa"/>
            <w:vAlign w:val="bottom"/>
          </w:tcPr>
          <w:p>
            <w:pPr>
              <w:spacing w:after="0"/>
              <w:rPr>
                <w:sz w:val="18"/>
                <w:szCs w:val="18"/>
                <w:color w:val="auto"/>
              </w:rPr>
            </w:pP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5.78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Expired and canceled</w:t>
            </w:r>
          </w:p>
        </w:tc>
        <w:tc>
          <w:tcPr>
            <w:tcW w:w="2200" w:type="dxa"/>
            <w:vAlign w:val="bottom"/>
            <w:gridSpan w:val="2"/>
          </w:tcPr>
          <w:p>
            <w:pPr>
              <w:jc w:val="right"/>
              <w:ind w:right="200"/>
              <w:spacing w:after="0"/>
              <w:rPr>
                <w:sz w:val="20"/>
                <w:szCs w:val="20"/>
                <w:color w:val="auto"/>
              </w:rPr>
            </w:pPr>
            <w:r>
              <w:rPr>
                <w:rFonts w:ascii="Arial" w:cs="Arial" w:eastAsia="Arial" w:hAnsi="Arial"/>
                <w:sz w:val="18"/>
                <w:szCs w:val="18"/>
                <w:color w:val="auto"/>
              </w:rPr>
              <w:t>(3,144)</w:t>
            </w:r>
          </w:p>
        </w:tc>
        <w:tc>
          <w:tcPr>
            <w:tcW w:w="180" w:type="dxa"/>
            <w:vAlign w:val="bottom"/>
          </w:tcPr>
          <w:p>
            <w:pPr>
              <w:spacing w:after="0"/>
              <w:rPr>
                <w:sz w:val="18"/>
                <w:szCs w:val="18"/>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10.29</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prior to vesting</w:t>
            </w:r>
          </w:p>
        </w:tc>
        <w:tc>
          <w:tcPr>
            <w:tcW w:w="2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(8,996)</w:t>
            </w: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11.01</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2200" w:type="dxa"/>
            <w:vAlign w:val="bottom"/>
            <w:gridSpan w:val="2"/>
          </w:tcPr>
          <w:p>
            <w:pPr>
              <w:jc w:val="right"/>
              <w:ind w:right="200"/>
              <w:spacing w:after="0"/>
              <w:rPr>
                <w:sz w:val="20"/>
                <w:szCs w:val="20"/>
                <w:color w:val="auto"/>
              </w:rPr>
            </w:pPr>
            <w:r>
              <w:rPr>
                <w:rFonts w:ascii="Arial" w:cs="Arial" w:eastAsia="Arial" w:hAnsi="Arial"/>
                <w:sz w:val="18"/>
                <w:szCs w:val="18"/>
                <w:color w:val="auto"/>
              </w:rPr>
              <w:t>(178,662)</w:t>
            </w:r>
          </w:p>
        </w:tc>
        <w:tc>
          <w:tcPr>
            <w:tcW w:w="180" w:type="dxa"/>
            <w:vAlign w:val="bottom"/>
          </w:tcPr>
          <w:p>
            <w:pPr>
              <w:spacing w:after="0"/>
              <w:rPr>
                <w:sz w:val="18"/>
                <w:szCs w:val="18"/>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5.90</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2017</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764,430</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2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60" w:type="dxa"/>
            <w:vAlign w:val="bottom"/>
            <w:tcBorders>
              <w:top w:val="single" w:sz="8" w:color="CCEEFF"/>
            </w:tcBorders>
          </w:tcPr>
          <w:p>
            <w:pPr>
              <w:ind w:left="160"/>
              <w:spacing w:after="0" w:line="182" w:lineRule="exact"/>
              <w:rPr>
                <w:sz w:val="20"/>
                <w:szCs w:val="20"/>
                <w:color w:val="auto"/>
              </w:rPr>
            </w:pPr>
            <w:r>
              <w:rPr>
                <w:rFonts w:ascii="Arial" w:cs="Arial" w:eastAsia="Arial" w:hAnsi="Arial"/>
                <w:sz w:val="18"/>
                <w:szCs w:val="18"/>
                <w:color w:val="auto"/>
              </w:rPr>
              <w:t>Vested and Expected to Vest at</w:t>
            </w:r>
          </w:p>
        </w:tc>
        <w:tc>
          <w:tcPr>
            <w:tcW w:w="194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9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December 31, 2015</w:t>
            </w:r>
          </w:p>
        </w:tc>
        <w:tc>
          <w:tcPr>
            <w:tcW w:w="1940" w:type="dxa"/>
            <w:vAlign w:val="bottom"/>
          </w:tcPr>
          <w:p>
            <w:pPr>
              <w:jc w:val="right"/>
              <w:spacing w:after="0"/>
              <w:rPr>
                <w:sz w:val="20"/>
                <w:szCs w:val="20"/>
                <w:color w:val="auto"/>
              </w:rPr>
            </w:pPr>
            <w:r>
              <w:rPr>
                <w:rFonts w:ascii="Arial" w:cs="Arial" w:eastAsia="Arial" w:hAnsi="Arial"/>
                <w:sz w:val="18"/>
                <w:szCs w:val="18"/>
                <w:color w:val="auto"/>
              </w:rPr>
              <w:t>1,028,935</w:t>
            </w:r>
          </w:p>
        </w:tc>
        <w:tc>
          <w:tcPr>
            <w:tcW w:w="26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6.03</w:t>
            </w: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4.73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7,104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Vested at December 31, 2015</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820,022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w:t>
            </w: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ind w:left="160"/>
              <w:spacing w:after="0" w:line="201" w:lineRule="exact"/>
              <w:rPr>
                <w:sz w:val="20"/>
                <w:szCs w:val="20"/>
                <w:color w:val="auto"/>
              </w:rPr>
            </w:pPr>
            <w:r>
              <w:rPr>
                <w:rFonts w:ascii="Arial" w:cs="Arial" w:eastAsia="Arial" w:hAnsi="Arial"/>
                <w:sz w:val="18"/>
                <w:szCs w:val="18"/>
                <w:color w:val="auto"/>
              </w:rPr>
              <w:t>Vested and Expected to Vest at</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December 31, 2016</w:t>
            </w:r>
          </w:p>
        </w:tc>
        <w:tc>
          <w:tcPr>
            <w:tcW w:w="1940" w:type="dxa"/>
            <w:vAlign w:val="bottom"/>
          </w:tcPr>
          <w:p>
            <w:pPr>
              <w:jc w:val="right"/>
              <w:spacing w:after="0"/>
              <w:rPr>
                <w:sz w:val="20"/>
                <w:szCs w:val="20"/>
                <w:color w:val="auto"/>
              </w:rPr>
            </w:pPr>
            <w:r>
              <w:rPr>
                <w:rFonts w:ascii="Arial" w:cs="Arial" w:eastAsia="Arial" w:hAnsi="Arial"/>
                <w:sz w:val="18"/>
                <w:szCs w:val="18"/>
                <w:color w:val="auto"/>
              </w:rPr>
              <w:t>850,232</w:t>
            </w:r>
          </w:p>
        </w:tc>
        <w:tc>
          <w:tcPr>
            <w:tcW w:w="26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8.06</w:t>
            </w: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5.78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Vested at December 31, 2016</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552,097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w:t>
            </w: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ind w:left="160"/>
              <w:spacing w:after="0" w:line="201" w:lineRule="exact"/>
              <w:rPr>
                <w:sz w:val="20"/>
                <w:szCs w:val="20"/>
                <w:color w:val="auto"/>
              </w:rPr>
            </w:pPr>
            <w:r>
              <w:rPr>
                <w:rFonts w:ascii="Arial" w:cs="Arial" w:eastAsia="Arial" w:hAnsi="Arial"/>
                <w:sz w:val="18"/>
                <w:szCs w:val="18"/>
                <w:color w:val="auto"/>
              </w:rPr>
              <w:t>Vested and Expected to Vest at</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December 31, 2017</w:t>
            </w:r>
          </w:p>
        </w:tc>
        <w:tc>
          <w:tcPr>
            <w:tcW w:w="1940" w:type="dxa"/>
            <w:vAlign w:val="bottom"/>
          </w:tcPr>
          <w:p>
            <w:pPr>
              <w:jc w:val="right"/>
              <w:spacing w:after="0"/>
              <w:rPr>
                <w:sz w:val="20"/>
                <w:szCs w:val="20"/>
                <w:color w:val="auto"/>
              </w:rPr>
            </w:pPr>
            <w:r>
              <w:rPr>
                <w:rFonts w:ascii="Arial" w:cs="Arial" w:eastAsia="Arial" w:hAnsi="Arial"/>
                <w:sz w:val="18"/>
                <w:szCs w:val="18"/>
                <w:color w:val="auto"/>
              </w:rPr>
              <w:t>764,430</w:t>
            </w:r>
          </w:p>
        </w:tc>
        <w:tc>
          <w:tcPr>
            <w:tcW w:w="26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8.78</w:t>
            </w: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6.48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Vested at December 31, 2017</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529,669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w:t>
            </w: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 average per share fair value of options granted during the years ending December 31, 2017, 2016 and 2015 was $3.31, $4.27, and $ 5.27 respectively. The total intrinsic value of options exercised during the years ended December 31, 2017, 2016 and 2015 was $646, $2,824, and $404 respectively.</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total pre-tax compensation cost related to stock options recognized during the years ended December 31, 2017, 2016, and 2015 was $665, $667 and $848, respectively. Tax benefit from compensation cost related to stock options during the years ended December 31, 2017, 2016 and 2015 was $0, $107 and $41, respectively. As of December 31, 2017, the total compensation cost related to stock options not yet recognized and before the effect of any forfeitures was $829, which is expected to be recognized over approximately the next 1.80 years on a straight-line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Employee Stock Purchase Plan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2017, the Company issued shares to employees under the Company’s 2016 Employee Stock Purchase Plan (the “ESPP”). The ESPP was approved by the Company’s shareholders on December 12, 2016. As of December 31, 2017, 466,783 of the originally approved 500,000 shares were available for offerings under the ESPP. Offering periods under the ESPP commence on each Jan 1 and July 1, and continue for a duration of six months. The ESPP is available to all employees who do not own, or are deemed to own, shares of stock making up an excess of 5% of the combined voting power of the Company, its parent or subsidiary.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each offering period, each eligible employee may purchase shares under the ESPP after authorizing payroll deductions. Under the ESPP, each employee may purchase up to the lesser of 2,500 shares or $25 of fair market value (based on the established purchase price) of the Company’s stock for each offering period. Unless the employee has previously withdrawn from the offering, his or her accumulated payroll deductions will be used to purchase common stock on the last business day of the period at a price equal to 85% (or a 15% discount) of the fair market value of the common stock on the first or last day of the offering period, whichever is lower.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4" w:name="page65"/>
    <w:bookmarkEnd w:id="6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Shares purchased and compensation expense associated with Employee Stock Purchase Plans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Shares purchased under ESPP plans</w:t>
            </w: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9,110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14,982</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Plan compensation expense</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10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Repurchase Program and Cash Dividends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2012, our Board of Directors authorized a stock repurchase program to purchase the Company’s common stock in the open market. A total of 272,767 shares costing $2,598 were purchased under this program during the year ended December 31, 2014. The cost of shares purchased were recorded as a reduction to shareholders’ equity. On December 2, 2016, the Company announced the discontinuance of the stock repurchase program along with the initiation of a cash dividend plan.</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9, 2016, the Board of Directors of the Company authorized the repurchase of up to $10 million of the Company’s outstanding shares of common stock under a new stock repurchase program. In connection with the repurchase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repurchase program may be suspended or discontinued at any time without prior notice. The transactions effectuated to date occurred in open market purchases.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 2017, the Board of Directors of the Company renewed and extended the repurchase program for up to an additional $10 million of common stock over the next twelve months. In connection with the repurchase extension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repurchase program may be suspended or discontinued at any time without prior notice. The transactions effectuated to date occurred in open market purchases. This program terminated in March 2018.</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twelve months ended December 31, 2017, we acquired the following shares of common stock under the stock repurchase program authorized by the Board of Directors in March 2016 and renewed and extended in March 2017:</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60"/>
        <w:spacing w:after="0"/>
        <w:rPr>
          <w:sz w:val="20"/>
          <w:szCs w:val="20"/>
          <w:color w:val="auto"/>
        </w:rPr>
      </w:pPr>
      <w:r>
        <w:rPr>
          <w:rFonts w:ascii="Arial" w:cs="Arial" w:eastAsia="Arial" w:hAnsi="Arial"/>
          <w:sz w:val="15"/>
          <w:szCs w:val="15"/>
          <w:color w:val="auto"/>
        </w:rPr>
        <w:t>$ in thousands except per share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29070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January 1 to March 31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 to June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 to September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 to December 31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Approximate</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of Shares</w:t>
            </w: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Purchased as</w:t>
            </w: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Shares that May</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Part of Publicly</w:t>
            </w: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Yet Be Purchased</w:t>
            </w:r>
          </w:p>
        </w:tc>
      </w:tr>
      <w:tr>
        <w:trPr>
          <w:trHeight w:val="216"/>
        </w:trPr>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Total Number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Under the Plans</w:t>
            </w:r>
          </w:p>
        </w:tc>
      </w:tr>
      <w:tr>
        <w:trPr>
          <w:trHeight w:val="216"/>
        </w:trPr>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of Shares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Average Price</w:t>
            </w: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Plans or</w:t>
            </w: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or Programs</w:t>
            </w:r>
          </w:p>
        </w:tc>
      </w:tr>
      <w:tr>
        <w:trPr>
          <w:trHeight w:val="216"/>
        </w:trPr>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Purchased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Paid per Share</w:t>
            </w: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Programs</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w w:val="86"/>
              </w:rPr>
              <w:t>thousands)</w:t>
            </w:r>
          </w:p>
        </w:tc>
      </w:tr>
      <w:tr>
        <w:trPr>
          <w:trHeight w:val="234"/>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5"/>
              </w:rPr>
              <w:t>(b)</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5"/>
              </w:rPr>
              <w:t>(d)</w:t>
            </w:r>
          </w:p>
        </w:tc>
      </w:tr>
      <w:tr>
        <w:trPr>
          <w:trHeight w:val="411"/>
        </w:trPr>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78,956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11.75</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78,956</w:t>
            </w: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500" w:type="dxa"/>
            <w:vAlign w:val="bottom"/>
          </w:tcPr>
          <w:p>
            <w:pPr>
              <w:jc w:val="right"/>
              <w:spacing w:after="0"/>
              <w:rPr>
                <w:sz w:val="20"/>
                <w:szCs w:val="20"/>
                <w:color w:val="auto"/>
              </w:rPr>
            </w:pPr>
            <w:r>
              <w:rPr>
                <w:rFonts w:ascii="Arial" w:cs="Arial" w:eastAsia="Arial" w:hAnsi="Arial"/>
                <w:sz w:val="18"/>
                <w:szCs w:val="18"/>
                <w:color w:val="auto"/>
              </w:rPr>
              <w:t>214,866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9.91</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214,866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500" w:type="dxa"/>
            <w:vAlign w:val="bottom"/>
          </w:tcPr>
          <w:p>
            <w:pPr>
              <w:jc w:val="right"/>
              <w:spacing w:after="0"/>
              <w:rPr>
                <w:sz w:val="20"/>
                <w:szCs w:val="20"/>
                <w:color w:val="auto"/>
              </w:rPr>
            </w:pPr>
            <w:r>
              <w:rPr>
                <w:rFonts w:ascii="Arial" w:cs="Arial" w:eastAsia="Arial" w:hAnsi="Arial"/>
                <w:sz w:val="18"/>
                <w:szCs w:val="18"/>
                <w:color w:val="auto"/>
              </w:rPr>
              <w:t>139,570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7.84</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139,570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1500" w:type="dxa"/>
            <w:vAlign w:val="bottom"/>
          </w:tcPr>
          <w:p>
            <w:pPr>
              <w:jc w:val="right"/>
              <w:spacing w:after="0"/>
              <w:rPr>
                <w:sz w:val="20"/>
                <w:szCs w:val="20"/>
                <w:color w:val="auto"/>
              </w:rPr>
            </w:pPr>
            <w:r>
              <w:rPr>
                <w:rFonts w:ascii="Arial" w:cs="Arial" w:eastAsia="Arial" w:hAnsi="Arial"/>
                <w:sz w:val="18"/>
                <w:szCs w:val="18"/>
                <w:color w:val="auto"/>
              </w:rPr>
              <w:t>118,544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8.18</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118,544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0"/>
        </w:trPr>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551,936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2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551,936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-719455</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-445135</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-162560</wp:posOffset>
            </wp:positionV>
            <wp:extent cx="724662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720"/>
          </w:cols>
          <w:pgMar w:left="240" w:top="118" w:right="239" w:bottom="1440" w:gutter="0" w:footer="0" w:header="0"/>
          <w:type w:val="continuous"/>
        </w:sectPr>
      </w:pP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March 11, 2016 to March 17, 2016, the Company offered to repurchase eligible vested options to purchase shares under the 1998 Plan and the 2007 Plan from employees and directors. The Company repurchased delivered options at a repurchase price equal to the difference between the closing market price on the date of the employee’s communication of accepting the repurchase offer and the exercise price of such employee’s delivered options, subject to applicable withholding taxes and charges. The Company repurchased 225,542 stock options from employees and directors at an average purchase price of $7.77.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5" w:name="page66"/>
    <w:bookmarkEnd w:id="6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Significant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Sales to significant customers that represented more than 10 percent of total revenues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89"/>
              </w:rPr>
              <w:t>Year ended December 31,</w:t>
            </w:r>
          </w:p>
        </w:tc>
        <w:tc>
          <w:tcPr>
            <w:tcW w:w="1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6180" w:type="dxa"/>
            <w:vAlign w:val="bottom"/>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44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18"/>
                <w:szCs w:val="18"/>
                <w:color w:val="auto"/>
              </w:rPr>
            </w:pPr>
          </w:p>
        </w:tc>
        <w:tc>
          <w:tcPr>
            <w:tcW w:w="14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8"/>
                <w:szCs w:val="18"/>
                <w:color w:val="auto"/>
              </w:rPr>
            </w:pPr>
          </w:p>
        </w:tc>
      </w:tr>
      <w:tr>
        <w:trPr>
          <w:trHeight w:val="210"/>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A</w:t>
            </w:r>
          </w:p>
        </w:tc>
        <w:tc>
          <w:tcPr>
            <w:tcW w:w="8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16.1%</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Customer B</w:t>
            </w:r>
          </w:p>
        </w:tc>
        <w:tc>
          <w:tcPr>
            <w:tcW w:w="1000" w:type="dxa"/>
            <w:vAlign w:val="bottom"/>
          </w:tcPr>
          <w:p>
            <w:pPr>
              <w:spacing w:after="0"/>
              <w:rPr>
                <w:sz w:val="18"/>
                <w:szCs w:val="18"/>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r>
      <w:tr>
        <w:trPr>
          <w:trHeight w:val="20"/>
        </w:trPr>
        <w:tc>
          <w:tcPr>
            <w:tcW w:w="6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16.1%</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r>
      <w:tr>
        <w:trPr>
          <w:trHeight w:val="20"/>
        </w:trPr>
        <w:tc>
          <w:tcPr>
            <w:tcW w:w="6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Sales did not exceed 10% of the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percentage of total gross accounts receivable from significant customers:</w:t>
      </w:r>
    </w:p>
    <w:p>
      <w:pPr>
        <w:spacing w:after="0" w:line="221" w:lineRule="exact"/>
        <w:rPr>
          <w:sz w:val="20"/>
          <w:szCs w:val="20"/>
          <w:color w:val="auto"/>
        </w:rPr>
      </w:pPr>
    </w:p>
    <w:p>
      <w:pPr>
        <w:ind w:left="8860"/>
        <w:spacing w:after="0"/>
        <w:rPr>
          <w:sz w:val="20"/>
          <w:szCs w:val="20"/>
          <w:color w:val="auto"/>
        </w:rPr>
      </w:pPr>
      <w:r>
        <w:rPr>
          <w:rFonts w:ascii="Arial" w:cs="Arial" w:eastAsia="Arial" w:hAnsi="Arial"/>
          <w:sz w:val="18"/>
          <w:szCs w:val="18"/>
          <w:b w:val="1"/>
          <w:bCs w:val="1"/>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4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8"/>
                <w:szCs w:val="18"/>
                <w:color w:val="auto"/>
              </w:rPr>
            </w:pPr>
          </w:p>
        </w:tc>
      </w:tr>
      <w:tr>
        <w:trPr>
          <w:trHeight w:val="210"/>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A</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Customer B</w:t>
            </w:r>
          </w:p>
        </w:tc>
        <w:tc>
          <w:tcPr>
            <w:tcW w:w="10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r>
      <w:tr>
        <w:trPr>
          <w:trHeight w:val="20"/>
        </w:trPr>
        <w:tc>
          <w:tcPr>
            <w:tcW w:w="80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r>
      <w:tr>
        <w:trPr>
          <w:trHeight w:val="20"/>
        </w:trPr>
        <w:tc>
          <w:tcPr>
            <w:tcW w:w="80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customers facilitate product sales to a large number of end-users, none of which is known to account for more than 10 percent of the Company’s revenue from product sales. Nevertheless, the loss of one or more of these customers could reduce revenue and have a material adverse effect on the Company’s business and results of operations.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225"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substantial majority of the Company’s financial instruments are valued using quoted prices in active markets or based on other observable inputs. The following tables set forth the fair value of the financial instruments re-measured by the Company as of December 31, 2017 and 2016:</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900" w:type="dxa"/>
            <w:vAlign w:val="bottom"/>
          </w:tcPr>
          <w:p>
            <w:pPr>
              <w:jc w:val="right"/>
              <w:ind w:right="742"/>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8,428</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8,428</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4,610</w:t>
            </w:r>
          </w:p>
        </w:tc>
      </w:tr>
      <w:tr>
        <w:trPr>
          <w:trHeight w:val="20"/>
        </w:trPr>
        <w:tc>
          <w:tcPr>
            <w:tcW w:w="60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ind w:left="180"/>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ind w:right="742"/>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13,038</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13,038</w:t>
            </w:r>
          </w:p>
        </w:tc>
      </w:tr>
      <w:tr>
        <w:trPr>
          <w:trHeight w:val="20"/>
        </w:trPr>
        <w:tc>
          <w:tcPr>
            <w:tcW w:w="60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2016</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900" w:type="dxa"/>
            <w:vAlign w:val="bottom"/>
          </w:tcPr>
          <w:p>
            <w:pPr>
              <w:jc w:val="right"/>
              <w:ind w:right="742"/>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19,970</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19,970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6,425</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6,425</w:t>
            </w:r>
          </w:p>
        </w:tc>
      </w:tr>
      <w:tr>
        <w:trPr>
          <w:trHeight w:val="20"/>
        </w:trPr>
        <w:tc>
          <w:tcPr>
            <w:tcW w:w="60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ind w:left="180"/>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ind w:right="742"/>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26,395</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26,395</w:t>
            </w:r>
          </w:p>
        </w:tc>
      </w:tr>
      <w:tr>
        <w:trPr>
          <w:trHeight w:val="20"/>
        </w:trPr>
        <w:tc>
          <w:tcPr>
            <w:tcW w:w="60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6" w:name="page67"/>
    <w:bookmarkEnd w:id="6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Consolidated income before taxes for domestic and foreign operations consisted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Year ended December 31,</w:t>
            </w:r>
          </w:p>
        </w:tc>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4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(12,630)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6,332</w:t>
            </w: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13,295</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Foreign</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(2,454)</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(2,744)</w:t>
            </w:r>
          </w:p>
        </w:tc>
      </w:tr>
      <w:tr>
        <w:trPr>
          <w:trHeight w:val="20"/>
        </w:trPr>
        <w:tc>
          <w:tcPr>
            <w:tcW w:w="6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(15,893)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3,878</w:t>
            </w: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10,551</w:t>
            </w:r>
          </w:p>
        </w:tc>
      </w:tr>
      <w:tr>
        <w:trPr>
          <w:trHeight w:val="413"/>
        </w:trPr>
        <w:tc>
          <w:tcPr>
            <w:tcW w:w="64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The Company’s (provision) for income taxes consisted of the following:</w:t>
            </w:r>
          </w:p>
        </w:tc>
        <w:tc>
          <w:tcPr>
            <w:tcW w:w="9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b w:val="1"/>
                <w:bCs w:val="1"/>
                <w:color w:val="auto"/>
              </w:rPr>
              <w:t>Year ended December 31,</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Federal</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577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(593)</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Foreign</w:t>
            </w:r>
          </w:p>
        </w:tc>
        <w:tc>
          <w:tcPr>
            <w:tcW w:w="10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w:t>
            </w: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State</w:t>
            </w:r>
          </w:p>
        </w:tc>
        <w:tc>
          <w:tcPr>
            <w:tcW w:w="10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2,725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(535)</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Total deferred</w:t>
            </w:r>
          </w:p>
        </w:tc>
        <w:tc>
          <w:tcPr>
            <w:tcW w:w="10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(867)</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Benefit/(provision) for income taxes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(1,434)</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benefit (provision) differs from that computed at the federal statutory corporate income tax rate as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color w:val="auto"/>
              </w:rPr>
              <w:t>Year ended December 31,</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4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Tax benefit (provision) at federal statutory rate</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5,403</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(3,587)</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State income tax benefit (provision), net of federal benefit</w:t>
            </w:r>
          </w:p>
        </w:tc>
        <w:tc>
          <w:tcPr>
            <w:tcW w:w="9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(408)</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Subpart F inclusion</w:t>
            </w:r>
          </w:p>
        </w:tc>
        <w:tc>
          <w:tcPr>
            <w:tcW w:w="9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(370 )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Foreign earnings or losses taxed at different rates</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Tax rate change</w:t>
            </w:r>
          </w:p>
        </w:tc>
        <w:tc>
          <w:tcPr>
            <w:tcW w:w="9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(3,161)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9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(833)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(332)</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r>
      <w:tr>
        <w:trPr>
          <w:trHeight w:val="20"/>
        </w:trPr>
        <w:tc>
          <w:tcPr>
            <w:tcW w:w="6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Tax benefit (provision)</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1,721</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(1,434)</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(3,775)</w:t>
            </w: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significant temporary differences representing net deferred tax assets and liabilities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22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Basis difference in intangible assets</w:t>
            </w: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3,403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w:t>
            </w: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2,650</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1,627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1,391</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w:t>
            </w: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Accrued expenses</w:t>
            </w: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Allowance for sales returns and doubtful accounts</w:t>
            </w: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Difference in property and equipment basis</w:t>
            </w: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Other</w:t>
            </w: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743</w:t>
            </w:r>
          </w:p>
        </w:tc>
      </w:tr>
      <w:tr>
        <w:trPr>
          <w:trHeight w:val="20"/>
        </w:trPr>
        <w:tc>
          <w:tcPr>
            <w:tcW w:w="5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 deferred income tax asset</w:t>
            </w: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6,057</w:t>
            </w:r>
          </w:p>
        </w:tc>
      </w:tr>
      <w:tr>
        <w:trPr>
          <w:trHeight w:val="216"/>
        </w:trPr>
        <w:tc>
          <w:tcPr>
            <w:tcW w:w="588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(2,236)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(1,403)</w:t>
            </w:r>
          </w:p>
        </w:tc>
      </w:tr>
      <w:tr>
        <w:trPr>
          <w:trHeight w:val="20"/>
        </w:trPr>
        <w:tc>
          <w:tcPr>
            <w:tcW w:w="5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deferred income tax asset (liability)</w:t>
            </w:r>
          </w:p>
        </w:tc>
        <w:tc>
          <w:tcPr>
            <w:tcW w:w="2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6,531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4,654</w:t>
            </w:r>
          </w:p>
        </w:tc>
      </w:tr>
      <w:tr>
        <w:trPr>
          <w:trHeight w:val="20"/>
        </w:trPr>
        <w:tc>
          <w:tcPr>
            <w:tcW w:w="58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Company has not provided for U.S. deferred income taxes or foreign withholding taxes on undistributed earnings of its non-U.S. subsidiaries since these earnings are intended to be reinvested indefinitely, in accordance with guidelines contained in ASC Topic 740,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It is not practical to estimate the amount of additional taxes that might be payable on such undistributed earnings.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ASC Topic 740, the Company analyzed its valuation allowance at December 31, 2017 and determined that, based upon available evidence, it is more likely than not that certain of its deferred tax assets may not be realized and, as such, has established a valuation allowance against certain deferred tax assets. These deferred tax assets include foreign net operating loss carryforwards, foreign intangible assets, state R&amp;D tax credit carryforwards, and capital loss carryforwards.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federal net operating loss (“NOL”) carryforwards of approximately $692 (pre-tax), and Spain NOL carryforwards of approximately $5,805. The federal NOL carryforwards will begin to expire in 2029. The Spain NOL carryforward does not expire.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 July 1, 2007, the Company adopted the accounting standards related to uncertain tax positions. This standard requires that tax positions be assessed using a two-step process. A tax position is recognized if it meets a “more likely than not” threshold, and is measured at the largest amount of benefit that is greater than 50 percent likely of being realized. Uncertain tax positions must be reviewed at each balance sheet date. Liabilities recorded as a result of this analysis must generally be recorded separately from any current or deferred income tax accounts.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amount of unrecognized tax benefits at December 31, 2017 and 2016, that would favorably impact our effective tax rate if recognized was $647 and $588, respectively. As of December 31, 2017 and 2016, we accrued $14 and $87, respectively, in interest and penalties related to unrecognized tax benefits. We account for interest expense and penalties for unrecognized tax benefits as part of our income tax provision.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we believe our estimates are reasonable, we can make no assurance that the final tax outcome of these matters will not be different from that which we have reflected in our historical income tax provisions and accruals. Such difference could have a material impact on our income tax provision and operating results in the period in which we make such determination.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liabilities associated with uncertain tax positions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7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Year ended December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Balance - beginning of year</w:t>
            </w:r>
          </w:p>
        </w:tc>
        <w:tc>
          <w:tcPr>
            <w:tcW w:w="286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1,189</w:t>
            </w:r>
          </w:p>
        </w:tc>
        <w:tc>
          <w:tcPr>
            <w:tcW w:w="980" w:type="dxa"/>
            <w:vAlign w:val="bottom"/>
            <w:shd w:val="clear" w:color="auto" w:fill="CCEEFF"/>
          </w:tcPr>
          <w:p>
            <w:pPr>
              <w:jc w:val="right"/>
              <w:ind w:right="820"/>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w:t>
            </w: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Additions based on tax positions related to the current year</w:t>
            </w:r>
          </w:p>
        </w:tc>
        <w:tc>
          <w:tcPr>
            <w:tcW w:w="1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9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for tax positions of prior years</w:t>
            </w:r>
          </w:p>
        </w:tc>
        <w:tc>
          <w:tcPr>
            <w:tcW w:w="18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w:t>
            </w: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Reductions for tax positions of prior years</w:t>
            </w:r>
          </w:p>
        </w:tc>
        <w:tc>
          <w:tcPr>
            <w:tcW w:w="1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18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w:t>
            </w: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Lapse in statutes of limitations</w:t>
            </w:r>
          </w:p>
        </w:tc>
        <w:tc>
          <w:tcPr>
            <w:tcW w:w="1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(959)</w:t>
            </w:r>
          </w:p>
        </w:tc>
        <w:tc>
          <w:tcPr>
            <w:tcW w:w="9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 ending balance</w:t>
            </w:r>
          </w:p>
        </w:tc>
        <w:tc>
          <w:tcPr>
            <w:tcW w:w="18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w:t>
            </w:r>
          </w:p>
        </w:tc>
        <w:tc>
          <w:tcPr>
            <w:tcW w:w="980" w:type="dxa"/>
            <w:vAlign w:val="bottom"/>
            <w:shd w:val="clear" w:color="auto" w:fill="CCEEFF"/>
          </w:tcPr>
          <w:p>
            <w:pPr>
              <w:jc w:val="right"/>
              <w:ind w:right="820"/>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w:t>
            </w:r>
          </w:p>
        </w:tc>
      </w:tr>
      <w:tr>
        <w:trPr>
          <w:trHeight w:val="20"/>
        </w:trPr>
        <w:tc>
          <w:tcPr>
            <w:tcW w:w="62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U.S. federal income tax returns for 2014 through 2017 are subject to examination. The Company also files in various state and foreign jurisdictions. With few exceptions, the Company is no longer subject to federal, state, or non-U.S. income tax examinations by tax authorities for years prior to 2014. The Company completed its audit by the Internal Revenue Service (“IRS”) for its 2012 and 2013 tax returns in 2017. As a result of the audit by the IRS, there were no material adjustments made to the Company’s tax return.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Inland Revenue Department of Hong Kong, a Special Administrative Region (the “IRD”), commenced an examination of the Company’s Hong Kong profits tax returns for 2009 through 2011 in the fourth quarter of 2012, which was completed subsequent to December 31, 2017. As a result of the audit, there were no material changes to the Company’s financial position. During the next twelve months, it is reasonably possible that the amount of the Company’s unrecognized income tax benefits could change significantly. These changes could be the result of our ongoing tax audits or the settlement of outstanding audit issues. However, due to the issues being examined, at the current time, an estimate of the range of reasonably possible outcomes cannot be made, beyond amounts currently accrued.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 Sales Information</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United States was the only country to contribute more than 10 percent of total revenues in each fiscal year. The Company’s revenues are substantially denominated in U.S. dollars and are summarized geographically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b w:val="1"/>
                <w:bCs w:val="1"/>
                <w:color w:val="auto"/>
              </w:rPr>
              <w:t>Year ended December 31,</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4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24,569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31,838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39,563</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All other countries</w:t>
            </w:r>
          </w:p>
        </w:tc>
        <w:tc>
          <w:tcPr>
            <w:tcW w:w="9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17,235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16,799</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18,233</w:t>
            </w:r>
          </w:p>
        </w:tc>
      </w:tr>
      <w:tr>
        <w:trPr>
          <w:trHeight w:val="20"/>
        </w:trPr>
        <w:tc>
          <w:tcPr>
            <w:tcW w:w="64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41,804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48,637</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57,796</w:t>
            </w: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February 21, 2018, the Company declared a stock dividend of $0.07 per share of ClearOne common stock payable on March 21, 2018 to shareholders of record on March 7,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March 2018, the Company did not renew its common stock repurchase program.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F-26 |</w:t>
      </w:r>
    </w:p>
    <w:p>
      <w:pPr>
        <w:sectPr>
          <w:pgSz w:w="11900" w:h="16838" w:orient="portrait"/>
          <w:cols w:equalWidth="0" w:num="1">
            <w:col w:w="11420"/>
          </w:cols>
          <w:pgMar w:left="240" w:top="118"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NetStreams, Inc. (DE)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NetStreams, LLC. (TX)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Web Solutions, Inc.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Hong Kong Limited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Ltd.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Middle East FZE (Dubai)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DMCC Branch (Dubai)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Innovation India Private Ltd. (India)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Technology Ltd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Spain SL (Spain)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Communications Limited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Ventures, Inc. (UT)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E.mergent, Inc.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Sabine, Inc. (FL)</w:t>
      </w:r>
    </w:p>
    <w:p>
      <w:pPr>
        <w:sectPr>
          <w:pgSz w:w="11900" w:h="16838" w:orient="portrait"/>
          <w:cols w:equalWidth="0" w:num="1">
            <w:col w:w="11420"/>
          </w:cols>
          <w:pgMar w:left="240" w:top="121" w:right="239" w:bottom="1440" w:gutter="0" w:footer="0" w:header="0"/>
        </w:sectPr>
      </w:pPr>
    </w:p>
    <w:bookmarkStart w:id="70" w:name="page71"/>
    <w:bookmarkEnd w:id="70"/>
    <w:p>
      <w:pPr>
        <w:ind w:left="10280"/>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incorporation by reference in Registration Statements (Nos. 333-205356, 333-209130, 333-148789 and 333-137859) on Form S-8 and Registration Statement (No. 333-195591) on Form S-3 of ClearOne, Inc. of our report dated April 20, 2018, relating to our audit of the consolidated financial statements, which appears in this Annual Report on Form 10-K of ClearOne, Inc. for the year ended December 31, 2017 .</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Tanner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20, 2018</w:t>
      </w:r>
    </w:p>
    <w:p>
      <w:pPr>
        <w:sectPr>
          <w:pgSz w:w="11900" w:h="16838" w:orient="portrait"/>
          <w:cols w:equalWidth="0" w:num="1">
            <w:col w:w="11420"/>
          </w:cols>
          <w:pgMar w:left="240" w:top="1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25" w:lineRule="exact"/>
        <w:rPr>
          <w:sz w:val="20"/>
          <w:szCs w:val="20"/>
          <w:color w:val="auto"/>
        </w:rPr>
      </w:pPr>
    </w:p>
    <w:p>
      <w:pPr>
        <w:ind w:left="760" w:hanging="752"/>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annual report of ClearOne, Inc. on Form 10-K;</w:t>
      </w:r>
    </w:p>
    <w:p>
      <w:pPr>
        <w:spacing w:after="0" w:line="225" w:lineRule="exact"/>
        <w:rPr>
          <w:rFonts w:ascii="Arial" w:cs="Arial" w:eastAsia="Arial" w:hAnsi="Arial"/>
          <w:sz w:val="18"/>
          <w:szCs w:val="18"/>
          <w:color w:val="auto"/>
        </w:rPr>
      </w:pPr>
    </w:p>
    <w:p>
      <w:pPr>
        <w:jc w:val="both"/>
        <w:ind w:left="760" w:right="20" w:hanging="752"/>
        <w:spacing w:after="0" w:line="264"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60" w:right="20" w:hanging="752"/>
        <w:spacing w:after="0" w:line="308" w:lineRule="auto"/>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20" w:hanging="752"/>
        <w:spacing w:after="0" w:line="264"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460" w:right="20" w:hanging="723"/>
        <w:spacing w:after="0" w:line="264" w:lineRule="auto"/>
        <w:tabs>
          <w:tab w:leader="none" w:pos="1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right="20" w:hanging="723"/>
        <w:spacing w:after="0" w:line="264" w:lineRule="auto"/>
        <w:tabs>
          <w:tab w:leader="none" w:pos="1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right="20" w:hanging="723"/>
        <w:spacing w:after="0" w:line="342" w:lineRule="auto"/>
        <w:tabs>
          <w:tab w:leader="none" w:pos="14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right="20" w:hanging="723"/>
        <w:spacing w:after="0" w:line="264" w:lineRule="auto"/>
        <w:tabs>
          <w:tab w:leader="none" w:pos="1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760" w:right="20" w:hanging="752"/>
        <w:spacing w:after="0" w:line="308" w:lineRule="auto"/>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460" w:right="20" w:hanging="723"/>
        <w:spacing w:after="0" w:line="308" w:lineRule="auto"/>
        <w:tabs>
          <w:tab w:leader="none" w:pos="14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right="20" w:hanging="723"/>
        <w:spacing w:after="0" w:line="277" w:lineRule="auto"/>
        <w:tabs>
          <w:tab w:leader="none" w:pos="1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April 20, 2018</w:t>
            </w:r>
          </w:p>
        </w:tc>
        <w:tc>
          <w:tcPr>
            <w:tcW w:w="8040" w:type="dxa"/>
            <w:vAlign w:val="bottom"/>
            <w:gridSpan w:val="2"/>
          </w:tcPr>
          <w:p>
            <w:pPr>
              <w:ind w:left="2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3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3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25" w:lineRule="exact"/>
        <w:rPr>
          <w:sz w:val="20"/>
          <w:szCs w:val="20"/>
          <w:color w:val="auto"/>
        </w:rPr>
      </w:pPr>
    </w:p>
    <w:p>
      <w:pPr>
        <w:ind w:left="760" w:hanging="75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annual report of ClearOne, Inc. on Form 10-K;</w:t>
      </w:r>
    </w:p>
    <w:p>
      <w:pPr>
        <w:spacing w:after="0" w:line="225" w:lineRule="exact"/>
        <w:rPr>
          <w:rFonts w:ascii="Arial" w:cs="Arial" w:eastAsia="Arial" w:hAnsi="Arial"/>
          <w:sz w:val="18"/>
          <w:szCs w:val="18"/>
          <w:color w:val="auto"/>
        </w:rPr>
      </w:pPr>
    </w:p>
    <w:p>
      <w:pPr>
        <w:jc w:val="both"/>
        <w:ind w:left="760" w:right="20" w:hanging="752"/>
        <w:spacing w:after="0" w:line="264"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60" w:right="20" w:hanging="752"/>
        <w:spacing w:after="0" w:line="308" w:lineRule="auto"/>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20" w:hanging="752"/>
        <w:spacing w:after="0" w:line="264"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460" w:right="20" w:hanging="723"/>
        <w:spacing w:after="0" w:line="264" w:lineRule="auto"/>
        <w:tabs>
          <w:tab w:leader="none" w:pos="1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right="20" w:hanging="723"/>
        <w:spacing w:after="0" w:line="264" w:lineRule="auto"/>
        <w:tabs>
          <w:tab w:leader="none" w:pos="1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right="20" w:hanging="723"/>
        <w:spacing w:after="0" w:line="342" w:lineRule="auto"/>
        <w:tabs>
          <w:tab w:leader="none" w:pos="14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right="20" w:hanging="723"/>
        <w:spacing w:after="0" w:line="264" w:lineRule="auto"/>
        <w:tabs>
          <w:tab w:leader="none" w:pos="1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760" w:right="20" w:hanging="752"/>
        <w:spacing w:after="0" w:line="308" w:lineRule="auto"/>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460" w:right="20" w:hanging="723"/>
        <w:spacing w:after="0" w:line="308" w:lineRule="auto"/>
        <w:tabs>
          <w:tab w:leader="none" w:pos="14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right="20" w:hanging="723"/>
        <w:spacing w:after="0" w:line="277" w:lineRule="auto"/>
        <w:tabs>
          <w:tab w:leader="none" w:pos="1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April 20, 2018</w:t>
            </w:r>
          </w:p>
        </w:tc>
        <w:tc>
          <w:tcPr>
            <w:tcW w:w="8040" w:type="dxa"/>
            <w:vAlign w:val="bottom"/>
            <w:gridSpan w:val="2"/>
          </w:tcPr>
          <w:p>
            <w:pPr>
              <w:ind w:left="2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3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3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(principal accounting and principal financial officer)</w:t>
            </w:r>
          </w:p>
        </w:tc>
      </w:tr>
    </w:tbl>
    <w:p>
      <w:pPr>
        <w:sectPr>
          <w:pgSz w:w="11900" w:h="16838" w:orient="portrait"/>
          <w:cols w:equalWidth="0" w:num="1">
            <w:col w:w="11420"/>
          </w:cols>
          <w:pgMar w:left="240" w:top="121" w:right="239" w:bottom="1440" w:gutter="0" w:footer="0" w:header="0"/>
        </w:sectPr>
      </w:pPr>
    </w:p>
    <w:bookmarkStart w:id="73" w:name="page74"/>
    <w:bookmarkEnd w:id="73"/>
    <w:p>
      <w:pPr>
        <w:ind w:left="1028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 Zeynep Hakimoglu, certify, to my best knowledge and belief, pursuant to 18 U.S.C. Section 1350, as adopted pursuant to Section 906 of the Sarbanes-Oxley Act of 2002, that the annual report of ClearOne, Inc. (the “Company”) on Form 10-K for the year ended December 31, 2017 , fully complies with the requirements of Section 13(a) or 15(d) of the Securities Exchange Act of 1934, as amended, and that the information contained in such annual report on Form 10-K fairly presents, in all material respects, the financial condition and results of operations of the Company.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April 20, 2018</w:t>
            </w:r>
          </w:p>
        </w:tc>
        <w:tc>
          <w:tcPr>
            <w:tcW w:w="8040" w:type="dxa"/>
            <w:vAlign w:val="bottom"/>
            <w:gridSpan w:val="2"/>
          </w:tcPr>
          <w:p>
            <w:pPr>
              <w:ind w:left="2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3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3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74" w:name="page75"/>
    <w:bookmarkEnd w:id="74"/>
    <w:p>
      <w:pPr>
        <w:ind w:left="1028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 Narsi Narayanan, certify, to my best knowledge and belief, pursuant to 18 U.S.C. Section 1350, as adopted pursuant to Section 906 of the Sarbanes-Oxley Act of 2002, that the annual report of ClearOne, Inc. (the “Company”) on Form 10-K for the year ended December 31, 2017 , fully complies with the requirements of Section 13(a) or 15(d) of the Securities Exchange Act of 1934, as amended, and that the information contained in such annual report on Form 10-K fairly presents, in all material respects, the financial condition and results of operations of the Company.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April 20, 2018</w:t>
            </w:r>
          </w:p>
        </w:tc>
        <w:tc>
          <w:tcPr>
            <w:tcW w:w="8040" w:type="dxa"/>
            <w:vAlign w:val="bottom"/>
            <w:gridSpan w:val="2"/>
          </w:tcPr>
          <w:p>
            <w:pPr>
              <w:ind w:left="2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3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3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(principal accounting and principal financial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3"/>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lowerRoman"/>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49" Type="http://schemas.openxmlformats.org/officeDocument/2006/relationships/hyperlink" Target="http://www.sec.gov/Archives/edgar/data/840715/000095012309060284/p16247exv2w2.htm" TargetMode="External"/><Relationship Id="rId50" Type="http://schemas.openxmlformats.org/officeDocument/2006/relationships/hyperlink" Target="http://www.sec.gov/Archives/edgar/data/840715/000084071513000019/clro-2012ex3z1.htm" TargetMode="External"/><Relationship Id="rId51" Type="http://schemas.openxmlformats.org/officeDocument/2006/relationships/hyperlink" Target="http://www.sec.gov/Archives/edgar/data/840715/000084071511000003/ex_32.htm" TargetMode="External"/><Relationship Id="rId52" Type="http://schemas.openxmlformats.org/officeDocument/2006/relationships/hyperlink" Target="http://www.sec.gov/Archives/edgar/data/840715/000084071506000050/ex4_9.htm" TargetMode="External"/><Relationship Id="rId53" Type="http://schemas.openxmlformats.org/officeDocument/2006/relationships/hyperlink" Target="http://www.sec.gov/Archives/edgar/data/840715/000084071506000050/ex4_8.htm" TargetMode="External"/><Relationship Id="rId54" Type="http://schemas.openxmlformats.org/officeDocument/2006/relationships/hyperlink" Target="http://www.sec.gov/Archives/edgar/data/840715/000084071508000005/equityincentiveplan.htm" TargetMode="External"/><Relationship Id="rId55" Type="http://schemas.openxmlformats.org/officeDocument/2006/relationships/hyperlink" Target="http://www.sec.gov/Archives/edgar/data/840715/000084071516000065/exhibit48eip.htm" TargetMode="External"/><Relationship Id="rId56" Type="http://schemas.openxmlformats.org/officeDocument/2006/relationships/hyperlink" Target="http://www.sec.gov/Archives/edgar/data/840715/000084071515000019/exhibit411amendmentno1equi.htm" TargetMode="External"/><Relationship Id="rId57" Type="http://schemas.openxmlformats.org/officeDocument/2006/relationships/hyperlink" Target="http://www.sec.gov/Archives/edgar/data/840715/000084071515000022/exhibit43clearoneemployees.htm" TargetMode="External"/><Relationship Id="rId58" Type="http://schemas.openxmlformats.org/officeDocument/2006/relationships/hyperlink" Target="http://www.sec.gov/Archives/edgar/data/840715/000084071506000045/ex10_19.htm" TargetMode="External"/><Relationship Id="rId59" Type="http://schemas.openxmlformats.org/officeDocument/2006/relationships/hyperlink" Target="http://www.sec.gov/Archives/edgar/data/840715/000084071514000014/clro-2013ex10z7.htm" TargetMode="External"/><Relationship Id="rId60" Type="http://schemas.openxmlformats.org/officeDocument/2006/relationships/hyperlink" Target="http://www.sec.gov/Archives/edgar/data/840715/000084071509000061/manufagmt.htm" TargetMode="External"/><Relationship Id="rId61" Type="http://schemas.openxmlformats.org/officeDocument/2006/relationships/hyperlink" Target="http://www.sec.gov/Archives/edgar/data/840715/000084071514000017/exhibit101frameworkagreeme.htm" TargetMode="External"/><Relationship Id="rId62" Type="http://schemas.openxmlformats.org/officeDocument/2006/relationships/hyperlink" Target="http://www.sec.gov/Archives/edgar/data/840715/000084071514000017/exhibit102amendmenttoframe.htm" TargetMode="External"/><Relationship Id="rId63" Type="http://schemas.openxmlformats.org/officeDocument/2006/relationships/hyperlink" Target="http://www.sec.gov/Archives/edgar/data/840715/000084071514000026/exhibit103033114.htm" TargetMode="External"/><Relationship Id="rId64" Type="http://schemas.openxmlformats.org/officeDocument/2006/relationships/hyperlink" Target="http://www.sec.gov/Archives/edgar/data/840715/000084071516000080/exhibit101formofoffertorep.htm" TargetMode="External"/><Relationship Id="rId65" Type="http://schemas.openxmlformats.org/officeDocument/2006/relationships/hyperlink" Target="http://www.sec.gov/Archives/edgar/data/840715/000084071506000045/ex1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2019-12-28T23:33:52Z</dcterms:created>
  <dcterms:modified xsi:type="dcterms:W3CDTF">2019-12-28T23:33:52Z</dcterms:modified>
</cp:coreProperties>
</file>