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CLEARONE Communications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#185060100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#185060100</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0</w:t>
      </w:r>
    </w:p>
    <w:tbl>
      <w:tblPr>
        <w:tblLayout w:type="fixed"/>
        <w:tblInd w:w="0" w:type="dxa"/>
        <w:tblCellMar>
          <w:top w:w="0" w:type="dxa"/>
          <w:left w:w="0" w:type="dxa"/>
          <w:bottom w:w="0" w:type="dxa"/>
          <w:right w:w="0" w:type="dxa"/>
        </w:tblCellMar>
      </w:tblP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 0</w:t>
            </w:r>
          </w:p>
        </w:tc>
        <w:tc>
          <w:tcPr>
            <w:tcW w:w="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Item 7: 812,165</w:t>
            </w:r>
          </w:p>
        </w:tc>
        <w:tc>
          <w:tcPr>
            <w:tcW w:w="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 0</w:t>
            </w:r>
          </w:p>
        </w:tc>
        <w:tc>
          <w:tcPr>
            <w:tcW w:w="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Item 9: 812,165</w:t>
            </w:r>
          </w:p>
        </w:tc>
        <w:tc>
          <w:tcPr>
            <w:tcW w:w="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7.247%</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#185060100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244" w:right="1440" w:bottom="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 812,165</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8: 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9: 812,165</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11:</w:t>
      </w:r>
    </w:p>
    <w:p>
      <w:pPr>
        <w:spacing w:after="0" w:line="238" w:lineRule="auto"/>
        <w:rPr>
          <w:sz w:val="20"/>
          <w:szCs w:val="20"/>
          <w:color w:val="auto"/>
        </w:rPr>
      </w:pPr>
      <w:r>
        <w:rPr>
          <w:rFonts w:ascii="Courier New" w:cs="Courier New" w:eastAsia="Courier New" w:hAnsi="Courier New"/>
          <w:sz w:val="18"/>
          <w:szCs w:val="18"/>
          <w:color w:val="auto"/>
        </w:rPr>
        <w:t>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7.247%</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00" w:lineRule="exact"/>
        <w:rPr>
          <w:sz w:val="24"/>
          <w:szCs w:val="24"/>
          <w:color w:val="auto"/>
        </w:rPr>
      </w:pPr>
    </w:p>
    <w:p>
      <w:pPr>
        <w:sectPr>
          <w:pgSz w:w="11900" w:h="16838" w:orient="portrait"/>
          <w:cols w:equalWidth="0" w:num="2">
            <w:col w:w="1580" w:space="120"/>
            <w:col w:w="8519"/>
          </w:cols>
          <w:pgMar w:left="240" w:top="244" w:right="1440" w:bottom="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#185060100</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tbl>
      <w:tblPr>
        <w:tblLayout w:type="fixed"/>
        <w:tblInd w:w="0" w:type="dxa"/>
        <w:tblCellMar>
          <w:top w:w="0" w:type="dxa"/>
          <w:left w:w="0" w:type="dxa"/>
          <w:bottom w:w="0" w:type="dxa"/>
          <w:right w:w="0" w:type="dxa"/>
        </w:tblCellMar>
      </w:tblP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 0</w:t>
            </w:r>
          </w:p>
        </w:tc>
        <w:tc>
          <w:tcPr>
            <w:tcW w:w="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Item 7: 812,165</w:t>
            </w:r>
          </w:p>
        </w:tc>
        <w:tc>
          <w:tcPr>
            <w:tcW w:w="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 0</w:t>
            </w:r>
          </w:p>
        </w:tc>
        <w:tc>
          <w:tcPr>
            <w:tcW w:w="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Item 9: 812,165</w:t>
            </w:r>
          </w:p>
        </w:tc>
        <w:tc>
          <w:tcPr>
            <w:tcW w:w="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7.247%</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spacing w:after="0" w:line="5"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FILED PURSUANT TO RULE 13d-1(b) or 13d-2(b)</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CLEARONE Communications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Incorporated</w:t>
      </w:r>
    </w:p>
    <w:p>
      <w:pPr>
        <w:sectPr>
          <w:pgSz w:w="11900" w:h="16838" w:orient="portrait"/>
          <w:cols w:equalWidth="0" w:num="1">
            <w:col w:w="10219"/>
          </w:cols>
          <w:pgMar w:left="240" w:top="244"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18"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1825 Research Way</w:t>
      </w:r>
    </w:p>
    <w:p>
      <w:pPr>
        <w:spacing w:after="0" w:line="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Salt Lake City, UT</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84119</w:t>
      </w:r>
    </w:p>
    <w:p>
      <w:pPr>
        <w:spacing w:after="0" w:line="200" w:lineRule="exact"/>
        <w:rPr>
          <w:sz w:val="24"/>
          <w:szCs w:val="24"/>
          <w:color w:val="auto"/>
        </w:rPr>
      </w:pPr>
    </w:p>
    <w:p>
      <w:pPr>
        <w:sectPr>
          <w:pgSz w:w="11900" w:h="16838" w:orient="portrait"/>
          <w:cols w:equalWidth="0" w:num="2">
            <w:col w:w="3600" w:space="200"/>
            <w:col w:w="6419"/>
          </w:cols>
          <w:pgMar w:left="240" w:top="244" w:right="1440" w:bottom="0" w:gutter="0" w:footer="0" w:header="0"/>
          <w:type w:val="continuous"/>
        </w:sect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Residence: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w:t>
      </w:r>
    </w:p>
    <w:p>
      <w:pPr>
        <w:spacing w:after="0" w:line="402"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82 Devonshire Street, Boston,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02109</w:t>
      </w:r>
    </w:p>
    <w:p>
      <w:pPr>
        <w:spacing w:after="0" w:line="200" w:lineRule="exact"/>
        <w:rPr>
          <w:sz w:val="24"/>
          <w:szCs w:val="24"/>
          <w:color w:val="auto"/>
        </w:rPr>
      </w:pPr>
    </w:p>
    <w:p>
      <w:pPr>
        <w:sectPr>
          <w:pgSz w:w="11900" w:h="16838" w:orient="portrait"/>
          <w:cols w:equalWidth="0" w:num="2">
            <w:col w:w="1380" w:space="200"/>
            <w:col w:w="8639"/>
          </w:cols>
          <w:pgMar w:left="240" w:top="244"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185060100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812,165</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7.247%</w:t>
            </w:r>
          </w:p>
        </w:tc>
        <w:tc>
          <w:tcPr>
            <w:tcW w:w="84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812,165</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CLEARONE Communications Incorporated. The interest of one person, Fidelity Low Priced Stock Fund, an investment company registered under the Investment Company Act of 1940, in the Common Stock of CLEARONE Communications Incorporated, amounted to</w:t>
      </w:r>
    </w:p>
    <w:p>
      <w:pPr>
        <w:spacing w:after="0" w:line="9"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812,165 shares or 7.247% of the total outstanding Common Stock at December 31, 2004.</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419"/>
        <w:spacing w:after="0" w:line="290" w:lineRule="auto"/>
        <w:rPr>
          <w:sz w:val="20"/>
          <w:szCs w:val="20"/>
          <w:color w:val="auto"/>
        </w:rPr>
      </w:pPr>
      <w:r>
        <w:rPr>
          <w:rFonts w:ascii="Courier New" w:cs="Courier New" w:eastAsia="Courier New" w:hAnsi="Courier New"/>
          <w:sz w:val="16"/>
          <w:szCs w:val="16"/>
          <w:color w:val="auto"/>
        </w:rPr>
        <w:t>the Common Stock of CLEARONE Communications Incorporated at December 31, 2004 is true, complete and</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correct.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2005</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812,165 shares or 7.247% of the Common Stock outstanding</w:t>
      </w:r>
    </w:p>
    <w:p>
      <w:pPr>
        <w:spacing w:after="0" w:line="5"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8"/>
          <w:szCs w:val="18"/>
          <w:color w:val="auto"/>
        </w:rPr>
        <w:t>of CLEARONE Communications Incorporated ("the Company") as a result of acting as investment adviser to various investment companies registered under Section 8 of the Investment Company Act of 1940.</w:t>
      </w:r>
    </w:p>
    <w:p>
      <w:pPr>
        <w:spacing w:after="0" w:line="207" w:lineRule="exact"/>
        <w:rPr>
          <w:sz w:val="20"/>
          <w:szCs w:val="20"/>
          <w:color w:val="auto"/>
        </w:rPr>
      </w:pPr>
    </w:p>
    <w:p>
      <w:pPr>
        <w:ind w:right="4199" w:firstLine="843"/>
        <w:spacing w:after="0" w:line="273" w:lineRule="auto"/>
        <w:rPr>
          <w:sz w:val="20"/>
          <w:szCs w:val="20"/>
          <w:color w:val="auto"/>
        </w:rPr>
      </w:pPr>
      <w:r>
        <w:rPr>
          <w:rFonts w:ascii="Courier New" w:cs="Courier New" w:eastAsia="Courier New" w:hAnsi="Courier New"/>
          <w:sz w:val="16"/>
          <w:szCs w:val="16"/>
          <w:color w:val="auto"/>
        </w:rPr>
        <w:t>The ownership of one investment company, Fidelity Low Priced Stock Fund, amounted to 812,165 shares or 7.247% of the Common Stock outstanding. Fidelity Low Priced Stock Fund has its principal business office at 82 Devonshire Street, Boston, Massachusetts 02109.</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812,165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2005, agree and consent to the joint filing on their behalf of this Schedule 13G in connection with their beneficial ownership of the Common Stock of CLEARONE Communications Incorporated at December 31, 2004.</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FMR Corp. and its direct and indirect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Edward C. Johnson 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Low Priced Stock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9359"/>
      </w:cols>
      <w:pgMar w:left="110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2019-12-13T18:12:55Z</dcterms:created>
  <dcterms:modified xsi:type="dcterms:W3CDTF">2019-12-13T18:12:55Z</dcterms:modified>
</cp:coreProperties>
</file>