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5" w:lineRule="exact"/>
        <w:rPr>
          <w:sz w:val="24"/>
          <w:szCs w:val="24"/>
          <w:color w:val="auto"/>
        </w:rPr>
      </w:pPr>
    </w:p>
    <w:p>
      <w:pPr>
        <w:ind w:left="5600" w:right="3319" w:hanging="5072"/>
        <w:spacing w:after="0" w:line="254" w:lineRule="auto"/>
        <w:rPr>
          <w:sz w:val="20"/>
          <w:szCs w:val="20"/>
          <w:color w:val="auto"/>
        </w:rPr>
      </w:pPr>
      <w:r>
        <w:rPr>
          <w:rFonts w:ascii="Courier New" w:cs="Courier New" w:eastAsia="Courier New" w:hAnsi="Courier New"/>
          <w:sz w:val="14"/>
          <w:szCs w:val="14"/>
          <w:color w:val="auto"/>
        </w:rPr>
        <w:t>As filed with the Securities and Exchange Commission on July 22, 2002 Registration No</w:t>
      </w:r>
    </w:p>
    <w:p>
      <w:pPr>
        <w:spacing w:after="0" w:line="1"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239"/>
        <w:spacing w:after="0" w:line="237" w:lineRule="auto"/>
        <w:rPr>
          <w:sz w:val="20"/>
          <w:szCs w:val="20"/>
          <w:color w:val="auto"/>
        </w:rPr>
      </w:pPr>
      <w:r>
        <w:rPr>
          <w:rFonts w:ascii="Courier New" w:cs="Courier New" w:eastAsia="Courier New" w:hAnsi="Courier New"/>
          <w:sz w:val="15"/>
          <w:szCs w:val="15"/>
          <w:color w:val="auto"/>
        </w:rPr>
        <w:t>Washington, D.C. 20549</w:t>
      </w:r>
    </w:p>
    <w:p>
      <w:pPr>
        <w:ind w:left="2900"/>
        <w:spacing w:after="0" w:line="238" w:lineRule="auto"/>
        <w:rPr>
          <w:sz w:val="20"/>
          <w:szCs w:val="20"/>
          <w:color w:val="auto"/>
        </w:rPr>
      </w:pPr>
      <w:r>
        <w:rPr>
          <w:rFonts w:ascii="Courier New" w:cs="Courier New" w:eastAsia="Courier New" w:hAnsi="Courier New"/>
          <w:sz w:val="15"/>
          <w:szCs w:val="15"/>
          <w:color w:val="auto"/>
        </w:rPr>
        <w:t>---------------</w:t>
      </w:r>
    </w:p>
    <w:p>
      <w:pPr>
        <w:ind w:left="3160"/>
        <w:spacing w:after="0" w:line="237" w:lineRule="auto"/>
        <w:rPr>
          <w:sz w:val="20"/>
          <w:szCs w:val="20"/>
          <w:color w:val="auto"/>
        </w:rPr>
      </w:pPr>
      <w:r>
        <w:rPr>
          <w:rFonts w:ascii="Courier New" w:cs="Courier New" w:eastAsia="Courier New" w:hAnsi="Courier New"/>
          <w:sz w:val="15"/>
          <w:szCs w:val="15"/>
          <w:color w:val="auto"/>
        </w:rPr>
        <w:t>FORM S-3</w:t>
      </w:r>
    </w:p>
    <w:p>
      <w:pPr>
        <w:ind w:left="2540"/>
        <w:spacing w:after="0" w:line="238" w:lineRule="auto"/>
        <w:rPr>
          <w:sz w:val="20"/>
          <w:szCs w:val="20"/>
          <w:color w:val="auto"/>
        </w:rPr>
      </w:pPr>
      <w:r>
        <w:rPr>
          <w:rFonts w:ascii="Courier New" w:cs="Courier New" w:eastAsia="Courier New" w:hAnsi="Courier New"/>
          <w:sz w:val="15"/>
          <w:szCs w:val="15"/>
          <w:color w:val="auto"/>
        </w:rPr>
        <w:t>REGISTRATION STATEMENT</w:t>
      </w:r>
    </w:p>
    <w:p>
      <w:pPr>
        <w:ind w:left="3340"/>
        <w:spacing w:after="0" w:line="237" w:lineRule="auto"/>
        <w:rPr>
          <w:sz w:val="20"/>
          <w:szCs w:val="20"/>
          <w:color w:val="auto"/>
        </w:rPr>
      </w:pPr>
      <w:r>
        <w:rPr>
          <w:rFonts w:ascii="Courier New" w:cs="Courier New" w:eastAsia="Courier New" w:hAnsi="Courier New"/>
          <w:sz w:val="15"/>
          <w:szCs w:val="15"/>
          <w:color w:val="auto"/>
        </w:rPr>
        <w:t>UNDER</w:t>
      </w:r>
    </w:p>
    <w:p>
      <w:pPr>
        <w:ind w:left="2380"/>
        <w:spacing w:after="0" w:line="238" w:lineRule="auto"/>
        <w:rPr>
          <w:sz w:val="20"/>
          <w:szCs w:val="20"/>
          <w:color w:val="auto"/>
        </w:rPr>
      </w:pPr>
      <w:r>
        <w:rPr>
          <w:rFonts w:ascii="Courier New" w:cs="Courier New" w:eastAsia="Courier New" w:hAnsi="Courier New"/>
          <w:sz w:val="15"/>
          <w:szCs w:val="15"/>
          <w:color w:val="auto"/>
        </w:rPr>
        <w:t>THE SECURITIES ACT OF 1933</w:t>
      </w:r>
    </w:p>
    <w:p>
      <w:pPr>
        <w:ind w:left="272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CLEARONE COMMUNICATIONS, INC.</w:t>
      </w:r>
    </w:p>
    <w:p>
      <w:pPr>
        <w:jc w:val="center"/>
        <w:ind w:right="3239"/>
        <w:spacing w:after="0" w:line="237" w:lineRule="auto"/>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923" w:orient="portrait"/>
          <w:cols w:equalWidth="0" w:num="1">
            <w:col w:w="10239"/>
          </w:cols>
          <w:pgMar w:left="220" w:top="231" w:right="1440" w:bottom="0" w:gutter="0" w:footer="0" w:header="0"/>
        </w:sectPr>
      </w:pPr>
    </w:p>
    <w:p>
      <w:pPr>
        <w:spacing w:after="0" w:line="167" w:lineRule="exact"/>
        <w:rPr>
          <w:sz w:val="24"/>
          <w:szCs w:val="24"/>
          <w:color w:val="auto"/>
        </w:rPr>
      </w:pPr>
    </w:p>
    <w:p>
      <w:pPr>
        <w:ind w:left="980"/>
        <w:spacing w:after="0"/>
        <w:tabs>
          <w:tab w:leader="none" w:pos="3480" w:val="left"/>
        </w:tabs>
        <w:rPr>
          <w:sz w:val="20"/>
          <w:szCs w:val="20"/>
          <w:color w:val="auto"/>
        </w:rPr>
      </w:pPr>
      <w:r>
        <w:rPr>
          <w:rFonts w:ascii="Courier New" w:cs="Courier New" w:eastAsia="Courier New" w:hAnsi="Courier New"/>
          <w:sz w:val="15"/>
          <w:szCs w:val="15"/>
          <w:color w:val="auto"/>
        </w:rPr>
        <w:t>Utah</w:t>
      </w:r>
      <w:r>
        <w:rPr>
          <w:sz w:val="20"/>
          <w:szCs w:val="20"/>
          <w:color w:val="auto"/>
        </w:rPr>
        <w:tab/>
      </w:r>
      <w:r>
        <w:rPr>
          <w:rFonts w:ascii="Courier New" w:cs="Courier New" w:eastAsia="Courier New" w:hAnsi="Courier New"/>
          <w:sz w:val="15"/>
          <w:szCs w:val="15"/>
          <w:color w:val="auto"/>
        </w:rPr>
        <w:t>3663</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 (Primary Standard Industrial</w:t>
      </w:r>
    </w:p>
    <w:p>
      <w:pPr>
        <w:spacing w:after="0" w:line="3" w:lineRule="exact"/>
        <w:rPr>
          <w:sz w:val="24"/>
          <w:szCs w:val="24"/>
          <w:color w:val="auto"/>
        </w:rPr>
      </w:pPr>
    </w:p>
    <w:p>
      <w:pPr>
        <w:ind w:left="440"/>
        <w:spacing w:after="0"/>
        <w:tabs>
          <w:tab w:leader="none" w:pos="2620" w:val="left"/>
        </w:tabs>
        <w:rPr>
          <w:sz w:val="20"/>
          <w:szCs w:val="20"/>
          <w:color w:val="auto"/>
        </w:rPr>
      </w:pPr>
      <w:r>
        <w:rPr>
          <w:rFonts w:ascii="Courier New" w:cs="Courier New" w:eastAsia="Courier New" w:hAnsi="Courier New"/>
          <w:sz w:val="15"/>
          <w:szCs w:val="15"/>
          <w:color w:val="auto"/>
        </w:rPr>
        <w:t>of incorporation</w:t>
      </w:r>
      <w:r>
        <w:rPr>
          <w:sz w:val="20"/>
          <w:szCs w:val="20"/>
          <w:color w:val="auto"/>
        </w:rPr>
        <w:tab/>
      </w:r>
      <w:r>
        <w:rPr>
          <w:rFonts w:ascii="Courier New" w:cs="Courier New" w:eastAsia="Courier New" w:hAnsi="Courier New"/>
          <w:sz w:val="14"/>
          <w:szCs w:val="14"/>
          <w:color w:val="auto"/>
        </w:rPr>
        <w:t>Classification Code Number)</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ind w:left="340"/>
        <w:spacing w:after="0"/>
        <w:rPr>
          <w:sz w:val="20"/>
          <w:szCs w:val="20"/>
          <w:color w:val="auto"/>
        </w:rPr>
      </w:pPr>
      <w:r>
        <w:rPr>
          <w:rFonts w:ascii="Courier New" w:cs="Courier New" w:eastAsia="Courier New" w:hAnsi="Courier New"/>
          <w:sz w:val="15"/>
          <w:szCs w:val="15"/>
          <w:color w:val="auto"/>
        </w:rPr>
        <w:t>87-0398877</w:t>
      </w:r>
    </w:p>
    <w:p>
      <w:pPr>
        <w:ind w:left="80"/>
        <w:spacing w:after="0" w:line="237" w:lineRule="auto"/>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5" w:lineRule="exact"/>
        <w:rPr>
          <w:sz w:val="24"/>
          <w:szCs w:val="24"/>
          <w:color w:val="auto"/>
        </w:rPr>
      </w:pPr>
    </w:p>
    <w:p>
      <w:pPr>
        <w:sectPr>
          <w:pgSz w:w="11900" w:h="16923" w:orient="portrait"/>
          <w:cols w:equalWidth="0" w:num="2">
            <w:col w:w="5000" w:space="260"/>
            <w:col w:w="4979"/>
          </w:cols>
          <w:pgMar w:left="220" w:top="231" w:right="1440" w:bottom="0" w:gutter="0" w:footer="0" w:header="0"/>
          <w:type w:val="continuous"/>
        </w:sectPr>
      </w:pPr>
    </w:p>
    <w:p>
      <w:pPr>
        <w:ind w:left="440"/>
        <w:spacing w:after="0" w:line="237" w:lineRule="auto"/>
        <w:rPr>
          <w:sz w:val="20"/>
          <w:szCs w:val="20"/>
          <w:color w:val="auto"/>
        </w:rPr>
      </w:pPr>
      <w:r>
        <w:rPr>
          <w:rFonts w:ascii="Courier New" w:cs="Courier New" w:eastAsia="Courier New" w:hAnsi="Courier New"/>
          <w:sz w:val="15"/>
          <w:szCs w:val="15"/>
          <w:color w:val="auto"/>
        </w:rPr>
        <w:t>or organization)</w:t>
      </w:r>
    </w:p>
    <w:p>
      <w:pPr>
        <w:spacing w:after="0" w:line="167" w:lineRule="exact"/>
        <w:rPr>
          <w:sz w:val="24"/>
          <w:szCs w:val="24"/>
          <w:color w:val="auto"/>
        </w:rPr>
      </w:pPr>
    </w:p>
    <w:p>
      <w:pPr>
        <w:ind w:left="2280"/>
        <w:spacing w:after="0"/>
        <w:rPr>
          <w:sz w:val="20"/>
          <w:szCs w:val="20"/>
          <w:color w:val="auto"/>
        </w:rPr>
      </w:pPr>
      <w:r>
        <w:rPr>
          <w:rFonts w:ascii="Courier New" w:cs="Courier New" w:eastAsia="Courier New" w:hAnsi="Courier New"/>
          <w:sz w:val="15"/>
          <w:szCs w:val="15"/>
          <w:color w:val="auto"/>
        </w:rPr>
        <w:t>ClearOne Communications, Inc.</w:t>
      </w:r>
    </w:p>
    <w:p>
      <w:pPr>
        <w:ind w:left="2800"/>
        <w:spacing w:after="0" w:line="237" w:lineRule="auto"/>
        <w:rPr>
          <w:sz w:val="20"/>
          <w:szCs w:val="20"/>
          <w:color w:val="auto"/>
        </w:rPr>
      </w:pPr>
      <w:r>
        <w:rPr>
          <w:rFonts w:ascii="Courier New" w:cs="Courier New" w:eastAsia="Courier New" w:hAnsi="Courier New"/>
          <w:sz w:val="15"/>
          <w:szCs w:val="15"/>
          <w:color w:val="auto"/>
        </w:rPr>
        <w:t>1825 Research Way</w:t>
      </w:r>
    </w:p>
    <w:p>
      <w:pPr>
        <w:ind w:left="2380"/>
        <w:spacing w:after="0" w:line="238" w:lineRule="auto"/>
        <w:rPr>
          <w:sz w:val="20"/>
          <w:szCs w:val="20"/>
          <w:color w:val="auto"/>
        </w:rPr>
      </w:pPr>
      <w:r>
        <w:rPr>
          <w:rFonts w:ascii="Courier New" w:cs="Courier New" w:eastAsia="Courier New" w:hAnsi="Courier New"/>
          <w:sz w:val="15"/>
          <w:szCs w:val="15"/>
          <w:color w:val="auto"/>
        </w:rPr>
        <w:t>Salt Lake City, Utah 84119</w:t>
      </w:r>
    </w:p>
    <w:p>
      <w:pPr>
        <w:ind w:left="2900"/>
        <w:spacing w:after="0" w:line="237" w:lineRule="auto"/>
        <w:rPr>
          <w:sz w:val="20"/>
          <w:szCs w:val="20"/>
          <w:color w:val="auto"/>
        </w:rPr>
      </w:pPr>
      <w:r>
        <w:rPr>
          <w:rFonts w:ascii="Courier New" w:cs="Courier New" w:eastAsia="Courier New" w:hAnsi="Courier New"/>
          <w:sz w:val="15"/>
          <w:szCs w:val="15"/>
          <w:color w:val="auto"/>
        </w:rPr>
        <w:t>(801) 975-7200</w:t>
      </w:r>
    </w:p>
    <w:p>
      <w:pPr>
        <w:spacing w:after="0" w:line="5" w:lineRule="exact"/>
        <w:rPr>
          <w:sz w:val="24"/>
          <w:szCs w:val="24"/>
          <w:color w:val="auto"/>
        </w:rPr>
      </w:pPr>
    </w:p>
    <w:p>
      <w:pPr>
        <w:jc w:val="center"/>
        <w:ind w:right="3139"/>
        <w:spacing w:after="0" w:line="235" w:lineRule="auto"/>
        <w:rPr>
          <w:sz w:val="20"/>
          <w:szCs w:val="20"/>
          <w:color w:val="auto"/>
        </w:rPr>
      </w:pPr>
      <w:r>
        <w:rPr>
          <w:rFonts w:ascii="Courier New" w:cs="Courier New" w:eastAsia="Courier New" w:hAnsi="Courier New"/>
          <w:sz w:val="15"/>
          <w:szCs w:val="15"/>
          <w:color w:val="auto"/>
        </w:rPr>
        <w:t>(Address, including zip code, and telephone number, including area code, of registrant's principal executive offices)</w:t>
      </w:r>
    </w:p>
    <w:p>
      <w:pPr>
        <w:spacing w:after="0" w:line="167" w:lineRule="exact"/>
        <w:rPr>
          <w:sz w:val="24"/>
          <w:szCs w:val="24"/>
          <w:color w:val="auto"/>
        </w:rPr>
      </w:pPr>
    </w:p>
    <w:p>
      <w:pPr>
        <w:ind w:left="272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4"/>
          <w:szCs w:val="24"/>
          <w:color w:val="auto"/>
        </w:rPr>
      </w:pPr>
    </w:p>
    <w:p>
      <w:pPr>
        <w:ind w:left="2800"/>
        <w:spacing w:after="0"/>
        <w:rPr>
          <w:sz w:val="20"/>
          <w:szCs w:val="20"/>
          <w:color w:val="auto"/>
        </w:rPr>
      </w:pPr>
      <w:r>
        <w:rPr>
          <w:rFonts w:ascii="Courier New" w:cs="Courier New" w:eastAsia="Courier New" w:hAnsi="Courier New"/>
          <w:sz w:val="15"/>
          <w:szCs w:val="15"/>
          <w:color w:val="auto"/>
        </w:rPr>
        <w:t>Frances M. Flood</w:t>
      </w:r>
    </w:p>
    <w:p>
      <w:pPr>
        <w:ind w:left="2280"/>
        <w:spacing w:after="0" w:line="237" w:lineRule="auto"/>
        <w:rPr>
          <w:sz w:val="20"/>
          <w:szCs w:val="20"/>
          <w:color w:val="auto"/>
        </w:rPr>
      </w:pPr>
      <w:r>
        <w:rPr>
          <w:rFonts w:ascii="Courier New" w:cs="Courier New" w:eastAsia="Courier New" w:hAnsi="Courier New"/>
          <w:sz w:val="15"/>
          <w:szCs w:val="15"/>
          <w:color w:val="auto"/>
        </w:rPr>
        <w:t>ClearOne Communications, Inc.</w:t>
      </w:r>
    </w:p>
    <w:p>
      <w:pPr>
        <w:ind w:left="1940"/>
        <w:spacing w:after="0" w:line="238" w:lineRule="auto"/>
        <w:rPr>
          <w:sz w:val="20"/>
          <w:szCs w:val="20"/>
          <w:color w:val="auto"/>
        </w:rPr>
      </w:pPr>
      <w:r>
        <w:rPr>
          <w:rFonts w:ascii="Courier New" w:cs="Courier New" w:eastAsia="Courier New" w:hAnsi="Courier New"/>
          <w:sz w:val="15"/>
          <w:szCs w:val="15"/>
          <w:color w:val="auto"/>
        </w:rPr>
        <w:t>President and Chief Executive Officer</w:t>
      </w:r>
    </w:p>
    <w:p>
      <w:pPr>
        <w:ind w:left="2800"/>
        <w:spacing w:after="0" w:line="237" w:lineRule="auto"/>
        <w:rPr>
          <w:sz w:val="20"/>
          <w:szCs w:val="20"/>
          <w:color w:val="auto"/>
        </w:rPr>
      </w:pPr>
      <w:r>
        <w:rPr>
          <w:rFonts w:ascii="Courier New" w:cs="Courier New" w:eastAsia="Courier New" w:hAnsi="Courier New"/>
          <w:sz w:val="15"/>
          <w:szCs w:val="15"/>
          <w:color w:val="auto"/>
        </w:rPr>
        <w:t>1825 Research Way</w:t>
      </w:r>
    </w:p>
    <w:p>
      <w:pPr>
        <w:ind w:left="2380"/>
        <w:spacing w:after="0" w:line="238" w:lineRule="auto"/>
        <w:rPr>
          <w:sz w:val="20"/>
          <w:szCs w:val="20"/>
          <w:color w:val="auto"/>
        </w:rPr>
      </w:pPr>
      <w:r>
        <w:rPr>
          <w:rFonts w:ascii="Courier New" w:cs="Courier New" w:eastAsia="Courier New" w:hAnsi="Courier New"/>
          <w:sz w:val="15"/>
          <w:szCs w:val="15"/>
          <w:color w:val="auto"/>
        </w:rPr>
        <w:t>Salt Lake City, Utah 84119</w:t>
      </w:r>
    </w:p>
    <w:p>
      <w:pPr>
        <w:ind w:left="2900"/>
        <w:spacing w:after="0" w:line="237" w:lineRule="auto"/>
        <w:rPr>
          <w:sz w:val="20"/>
          <w:szCs w:val="20"/>
          <w:color w:val="auto"/>
        </w:rPr>
      </w:pPr>
      <w:r>
        <w:rPr>
          <w:rFonts w:ascii="Courier New" w:cs="Courier New" w:eastAsia="Courier New" w:hAnsi="Courier New"/>
          <w:sz w:val="15"/>
          <w:szCs w:val="15"/>
          <w:color w:val="auto"/>
        </w:rPr>
        <w:t>(801) 975-7200</w:t>
      </w:r>
    </w:p>
    <w:p>
      <w:pPr>
        <w:jc w:val="center"/>
        <w:ind w:right="3139"/>
        <w:spacing w:after="0" w:line="238" w:lineRule="auto"/>
        <w:rPr>
          <w:sz w:val="20"/>
          <w:szCs w:val="20"/>
          <w:color w:val="auto"/>
        </w:rPr>
      </w:pPr>
      <w:r>
        <w:rPr>
          <w:rFonts w:ascii="Courier New" w:cs="Courier New" w:eastAsia="Courier New" w:hAnsi="Courier New"/>
          <w:sz w:val="15"/>
          <w:szCs w:val="15"/>
          <w:color w:val="auto"/>
        </w:rPr>
        <w:t>(Name, address, including zip code, and telephone number,</w:t>
      </w:r>
    </w:p>
    <w:p>
      <w:pPr>
        <w:jc w:val="center"/>
        <w:ind w:right="3139"/>
        <w:spacing w:after="0" w:line="237" w:lineRule="auto"/>
        <w:rPr>
          <w:sz w:val="20"/>
          <w:szCs w:val="20"/>
          <w:color w:val="auto"/>
        </w:rPr>
      </w:pPr>
      <w:r>
        <w:rPr>
          <w:rFonts w:ascii="Courier New" w:cs="Courier New" w:eastAsia="Courier New" w:hAnsi="Courier New"/>
          <w:sz w:val="15"/>
          <w:szCs w:val="15"/>
          <w:color w:val="auto"/>
        </w:rPr>
        <w:t>including area code, of agent for service of each registrant)</w:t>
      </w:r>
    </w:p>
    <w:p>
      <w:pPr>
        <w:spacing w:after="0" w:line="167" w:lineRule="exact"/>
        <w:rPr>
          <w:sz w:val="24"/>
          <w:szCs w:val="24"/>
          <w:color w:val="auto"/>
        </w:rPr>
      </w:pPr>
    </w:p>
    <w:p>
      <w:pPr>
        <w:ind w:left="272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With a copy to:</w:t>
      </w:r>
    </w:p>
    <w:p>
      <w:pPr>
        <w:ind w:left="2980"/>
        <w:spacing w:after="0" w:line="237" w:lineRule="auto"/>
        <w:rPr>
          <w:sz w:val="20"/>
          <w:szCs w:val="20"/>
          <w:color w:val="auto"/>
        </w:rPr>
      </w:pPr>
      <w:r>
        <w:rPr>
          <w:rFonts w:ascii="Courier New" w:cs="Courier New" w:eastAsia="Courier New" w:hAnsi="Courier New"/>
          <w:sz w:val="15"/>
          <w:szCs w:val="15"/>
          <w:color w:val="auto"/>
        </w:rPr>
        <w:t>Bruce Czachor</w:t>
      </w:r>
    </w:p>
    <w:p>
      <w:pPr>
        <w:ind w:left="2720"/>
        <w:spacing w:after="0" w:line="238" w:lineRule="auto"/>
        <w:rPr>
          <w:sz w:val="20"/>
          <w:szCs w:val="20"/>
          <w:color w:val="auto"/>
        </w:rPr>
      </w:pPr>
      <w:r>
        <w:rPr>
          <w:rFonts w:ascii="Courier New" w:cs="Courier New" w:eastAsia="Courier New" w:hAnsi="Courier New"/>
          <w:sz w:val="15"/>
          <w:szCs w:val="15"/>
          <w:color w:val="auto"/>
        </w:rPr>
        <w:t>Shearman &amp; Sterling</w:t>
      </w:r>
    </w:p>
    <w:p>
      <w:pPr>
        <w:ind w:left="2900"/>
        <w:spacing w:after="0" w:line="237" w:lineRule="auto"/>
        <w:rPr>
          <w:sz w:val="20"/>
          <w:szCs w:val="20"/>
          <w:color w:val="auto"/>
        </w:rPr>
      </w:pPr>
      <w:r>
        <w:rPr>
          <w:rFonts w:ascii="Courier New" w:cs="Courier New" w:eastAsia="Courier New" w:hAnsi="Courier New"/>
          <w:sz w:val="15"/>
          <w:szCs w:val="15"/>
          <w:color w:val="auto"/>
        </w:rPr>
        <w:t>1080 Marsh Road</w:t>
      </w:r>
    </w:p>
    <w:p>
      <w:pPr>
        <w:ind w:left="2640"/>
        <w:spacing w:after="0" w:line="238" w:lineRule="auto"/>
        <w:rPr>
          <w:sz w:val="20"/>
          <w:szCs w:val="20"/>
          <w:color w:val="auto"/>
        </w:rPr>
      </w:pPr>
      <w:r>
        <w:rPr>
          <w:rFonts w:ascii="Courier New" w:cs="Courier New" w:eastAsia="Courier New" w:hAnsi="Courier New"/>
          <w:sz w:val="15"/>
          <w:szCs w:val="15"/>
          <w:color w:val="auto"/>
        </w:rPr>
        <w:t>Menlo Park, CA 94025</w:t>
      </w:r>
    </w:p>
    <w:p>
      <w:pPr>
        <w:ind w:left="2900"/>
        <w:spacing w:after="0" w:line="237" w:lineRule="auto"/>
        <w:rPr>
          <w:sz w:val="20"/>
          <w:szCs w:val="20"/>
          <w:color w:val="auto"/>
        </w:rPr>
      </w:pPr>
      <w:r>
        <w:rPr>
          <w:rFonts w:ascii="Courier New" w:cs="Courier New" w:eastAsia="Courier New" w:hAnsi="Courier New"/>
          <w:sz w:val="15"/>
          <w:szCs w:val="15"/>
          <w:color w:val="auto"/>
        </w:rPr>
        <w:t>(650) 838-3600</w:t>
      </w:r>
    </w:p>
    <w:p>
      <w:pPr>
        <w:spacing w:after="0" w:line="174" w:lineRule="exact"/>
        <w:rPr>
          <w:sz w:val="24"/>
          <w:szCs w:val="24"/>
          <w:color w:val="auto"/>
        </w:rPr>
      </w:pPr>
    </w:p>
    <w:p>
      <w:pPr>
        <w:ind w:right="3399" w:firstLine="350"/>
        <w:spacing w:after="0" w:line="234" w:lineRule="auto"/>
        <w:rPr>
          <w:sz w:val="20"/>
          <w:szCs w:val="20"/>
          <w:color w:val="auto"/>
        </w:rPr>
      </w:pPr>
      <w:r>
        <w:rPr>
          <w:rFonts w:ascii="Courier New" w:cs="Courier New" w:eastAsia="Courier New" w:hAnsi="Courier New"/>
          <w:sz w:val="15"/>
          <w:szCs w:val="15"/>
          <w:color w:val="auto"/>
        </w:rPr>
        <w:t>Approximate date of commencement of proposed sale to the public: From time to time after this registration statement becomes effective.</w:t>
      </w:r>
    </w:p>
    <w:p>
      <w:pPr>
        <w:spacing w:after="0" w:line="5" w:lineRule="exact"/>
        <w:rPr>
          <w:sz w:val="24"/>
          <w:szCs w:val="24"/>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If the only securities being registered on this Form are being offered pursuant to dividend or interest reinvestment plans, please check the following box. [ ]</w:t>
      </w:r>
    </w:p>
    <w:p>
      <w:pPr>
        <w:spacing w:after="0" w:line="5" w:lineRule="exact"/>
        <w:rPr>
          <w:sz w:val="24"/>
          <w:szCs w:val="24"/>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7" w:lineRule="exact"/>
        <w:rPr>
          <w:sz w:val="24"/>
          <w:szCs w:val="24"/>
          <w:color w:val="auto"/>
        </w:rPr>
      </w:pPr>
    </w:p>
    <w:p>
      <w:pPr>
        <w:ind w:right="3399" w:firstLine="350"/>
        <w:spacing w:after="0" w:line="235"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spacing w:after="0" w:line="7" w:lineRule="exact"/>
        <w:rPr>
          <w:sz w:val="24"/>
          <w:szCs w:val="24"/>
          <w:color w:val="auto"/>
        </w:rPr>
      </w:pPr>
    </w:p>
    <w:p>
      <w:pPr>
        <w:ind w:right="3499" w:firstLine="350"/>
        <w:spacing w:after="0" w:line="235"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7" w:lineRule="exact"/>
        <w:rPr>
          <w:sz w:val="24"/>
          <w:szCs w:val="24"/>
          <w:color w:val="auto"/>
        </w:rPr>
      </w:pPr>
    </w:p>
    <w:p>
      <w:pPr>
        <w:ind w:right="3399" w:firstLine="350"/>
        <w:spacing w:after="0" w:line="234" w:lineRule="auto"/>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 ]</w:t>
      </w:r>
    </w:p>
    <w:p>
      <w:pPr>
        <w:spacing w:after="0" w:line="200" w:lineRule="exact"/>
        <w:rPr>
          <w:sz w:val="24"/>
          <w:szCs w:val="24"/>
          <w:color w:val="auto"/>
        </w:rPr>
      </w:pPr>
    </w:p>
    <w:p>
      <w:pPr>
        <w:spacing w:after="0" w:line="303"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CALCULATION OF REGISTRATION FEE</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 =================== ================= ================ ============</w:t>
      </w:r>
    </w:p>
    <w:p>
      <w:pPr>
        <w:spacing w:after="0" w:line="166" w:lineRule="exact"/>
        <w:rPr>
          <w:sz w:val="24"/>
          <w:szCs w:val="24"/>
          <w:color w:val="auto"/>
        </w:rPr>
      </w:pPr>
    </w:p>
    <w:tbl>
      <w:tblPr>
        <w:tblLayout w:type="fixed"/>
        <w:tblInd w:w="440" w:type="dxa"/>
        <w:tblCellMar>
          <w:top w:w="0" w:type="dxa"/>
          <w:left w:w="0" w:type="dxa"/>
          <w:bottom w:w="0" w:type="dxa"/>
          <w:right w:w="0" w:type="dxa"/>
        </w:tblCellMar>
      </w:tblPr>
      <w:tr>
        <w:trPr>
          <w:trHeight w:val="170"/>
        </w:trPr>
        <w:tc>
          <w:tcPr>
            <w:tcW w:w="28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Proposed</w:t>
            </w: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8"/>
        </w:trPr>
        <w:tc>
          <w:tcPr>
            <w:tcW w:w="28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Proposed</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Maximum</w:t>
            </w: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8"/>
        </w:trPr>
        <w:tc>
          <w:tcPr>
            <w:tcW w:w="28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Maximum</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Aggregate</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Amount</w:t>
            </w: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w:t>
            </w:r>
          </w:p>
        </w:tc>
      </w:tr>
      <w:tr>
        <w:trPr>
          <w:trHeight w:val="168"/>
        </w:trPr>
        <w:tc>
          <w:tcPr>
            <w:tcW w:w="28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Title of each Class of</w:t>
            </w:r>
          </w:p>
        </w:tc>
        <w:tc>
          <w:tcPr>
            <w:tcW w:w="1800" w:type="dxa"/>
            <w:vAlign w:val="bottom"/>
          </w:tcPr>
          <w:p>
            <w:pPr>
              <w:jc w:val="center"/>
              <w:ind w:left="167"/>
              <w:spacing w:after="0" w:line="168" w:lineRule="exact"/>
              <w:rPr>
                <w:sz w:val="20"/>
                <w:szCs w:val="20"/>
                <w:color w:val="auto"/>
              </w:rPr>
            </w:pPr>
            <w:r>
              <w:rPr>
                <w:rFonts w:ascii="Courier New" w:cs="Courier New" w:eastAsia="Courier New" w:hAnsi="Courier New"/>
                <w:sz w:val="15"/>
                <w:szCs w:val="15"/>
                <w:color w:val="auto"/>
                <w:w w:val="96"/>
              </w:rPr>
              <w:t>Amount to be</w:t>
            </w: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Offering Price</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Offering</w:t>
            </w:r>
          </w:p>
        </w:tc>
        <w:tc>
          <w:tcPr>
            <w:tcW w:w="12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4"/>
              </w:rPr>
              <w:t>Registration</w:t>
            </w:r>
          </w:p>
        </w:tc>
      </w:tr>
      <w:tr>
        <w:trPr>
          <w:trHeight w:val="168"/>
        </w:trPr>
        <w:tc>
          <w:tcPr>
            <w:tcW w:w="2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 to be Registered</w:t>
            </w:r>
          </w:p>
        </w:tc>
        <w:tc>
          <w:tcPr>
            <w:tcW w:w="1800" w:type="dxa"/>
            <w:vAlign w:val="bottom"/>
          </w:tcPr>
          <w:p>
            <w:pPr>
              <w:jc w:val="center"/>
              <w:ind w:left="167"/>
              <w:spacing w:after="0" w:line="168" w:lineRule="exact"/>
              <w:rPr>
                <w:sz w:val="20"/>
                <w:szCs w:val="20"/>
                <w:color w:val="auto"/>
              </w:rPr>
            </w:pPr>
            <w:r>
              <w:rPr>
                <w:rFonts w:ascii="Courier New" w:cs="Courier New" w:eastAsia="Courier New" w:hAnsi="Courier New"/>
                <w:sz w:val="15"/>
                <w:szCs w:val="15"/>
                <w:color w:val="auto"/>
                <w:w w:val="97"/>
              </w:rPr>
              <w:t>Registered</w:t>
            </w:r>
          </w:p>
        </w:tc>
        <w:tc>
          <w:tcPr>
            <w:tcW w:w="1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Per Security (1)</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Price (1)</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Fee</w:t>
            </w:r>
          </w:p>
        </w:tc>
        <w:tc>
          <w:tcPr>
            <w:tcW w:w="380" w:type="dxa"/>
            <w:vAlign w:val="bottom"/>
          </w:tcPr>
          <w:p>
            <w:pPr>
              <w:spacing w:after="0"/>
              <w:rPr>
                <w:sz w:val="14"/>
                <w:szCs w:val="14"/>
                <w:color w:val="auto"/>
              </w:rPr>
            </w:pPr>
          </w:p>
        </w:tc>
      </w:tr>
    </w:tbl>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17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PRIMARY OFFERING</w:t>
      </w:r>
    </w:p>
    <w:p>
      <w:pPr>
        <w:ind w:left="180" w:hanging="170"/>
        <w:spacing w:after="0" w:line="237" w:lineRule="auto"/>
        <w:tabs>
          <w:tab w:leader="none" w:pos="1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Debt Securities of ClearOne (3) (5)...</w:t>
      </w:r>
    </w:p>
    <w:tbl>
      <w:tblPr>
        <w:tblLayout w:type="fixed"/>
        <w:tblInd w:w="0" w:type="dxa"/>
        <w:tblCellMar>
          <w:top w:w="0" w:type="dxa"/>
          <w:left w:w="0" w:type="dxa"/>
          <w:bottom w:w="0" w:type="dxa"/>
          <w:right w:w="0" w:type="dxa"/>
        </w:tblCellMar>
      </w:tblPr>
      <w:tr>
        <w:trPr>
          <w:trHeight w:val="169"/>
        </w:trPr>
        <w:tc>
          <w:tcPr>
            <w:tcW w:w="2100" w:type="dxa"/>
            <w:vAlign w:val="bottom"/>
          </w:tcPr>
          <w:p>
            <w:pPr>
              <w:spacing w:after="0" w:line="169" w:lineRule="exact"/>
              <w:rPr>
                <w:sz w:val="20"/>
                <w:szCs w:val="20"/>
                <w:color w:val="auto"/>
              </w:rPr>
            </w:pPr>
            <w:r>
              <w:rPr>
                <w:rFonts w:ascii="Courier New" w:cs="Courier New" w:eastAsia="Courier New" w:hAnsi="Courier New"/>
                <w:sz w:val="15"/>
                <w:szCs w:val="15"/>
                <w:color w:val="auto"/>
                <w:w w:val="96"/>
              </w:rPr>
              <w:t>Common Stock of ClearOne</w:t>
            </w:r>
          </w:p>
        </w:tc>
        <w:tc>
          <w:tcPr>
            <w:tcW w:w="1580" w:type="dxa"/>
            <w:vAlign w:val="bottom"/>
          </w:tcPr>
          <w:p>
            <w:pPr>
              <w:jc w:val="right"/>
              <w:ind w:right="267"/>
              <w:spacing w:after="0" w:line="169" w:lineRule="exact"/>
              <w:rPr>
                <w:sz w:val="20"/>
                <w:szCs w:val="20"/>
                <w:color w:val="auto"/>
              </w:rPr>
            </w:pPr>
            <w:r>
              <w:rPr>
                <w:rFonts w:ascii="Courier New" w:cs="Courier New" w:eastAsia="Courier New" w:hAnsi="Courier New"/>
                <w:sz w:val="15"/>
                <w:szCs w:val="15"/>
                <w:color w:val="auto"/>
              </w:rPr>
              <w:t>(4) (5)......</w:t>
            </w:r>
          </w:p>
        </w:tc>
        <w:tc>
          <w:tcPr>
            <w:tcW w:w="1400" w:type="dxa"/>
            <w:vAlign w:val="bottom"/>
          </w:tcPr>
          <w:p>
            <w:pPr>
              <w:jc w:val="right"/>
              <w:ind w:right="707"/>
              <w:spacing w:after="0" w:line="169" w:lineRule="exact"/>
              <w:rPr>
                <w:sz w:val="20"/>
                <w:szCs w:val="20"/>
                <w:color w:val="auto"/>
              </w:rPr>
            </w:pPr>
            <w:r>
              <w:rPr>
                <w:rFonts w:ascii="Courier New" w:cs="Courier New" w:eastAsia="Courier New" w:hAnsi="Courier New"/>
                <w:sz w:val="15"/>
                <w:szCs w:val="15"/>
                <w:color w:val="auto"/>
              </w:rPr>
              <w:t>(2)</w:t>
            </w:r>
          </w:p>
        </w:tc>
        <w:tc>
          <w:tcPr>
            <w:tcW w:w="1660" w:type="dxa"/>
            <w:vAlign w:val="bottom"/>
          </w:tcPr>
          <w:p>
            <w:pPr>
              <w:jc w:val="right"/>
              <w:ind w:right="527"/>
              <w:spacing w:after="0" w:line="169" w:lineRule="exact"/>
              <w:rPr>
                <w:sz w:val="20"/>
                <w:szCs w:val="20"/>
                <w:color w:val="auto"/>
              </w:rPr>
            </w:pPr>
            <w:r>
              <w:rPr>
                <w:rFonts w:ascii="Courier New" w:cs="Courier New" w:eastAsia="Courier New" w:hAnsi="Courier New"/>
                <w:sz w:val="15"/>
                <w:szCs w:val="15"/>
                <w:color w:val="auto"/>
              </w:rPr>
              <w:t>(2)</w:t>
            </w:r>
          </w:p>
        </w:tc>
        <w:tc>
          <w:tcPr>
            <w:tcW w:w="88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(2)</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Warrants of ClearOne (6)</w:t>
            </w:r>
          </w:p>
        </w:tc>
        <w:tc>
          <w:tcPr>
            <w:tcW w:w="15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w:t>
            </w:r>
          </w:p>
        </w:tc>
        <w:tc>
          <w:tcPr>
            <w:tcW w:w="14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80" w:type="dxa"/>
            <w:vAlign w:val="bottom"/>
          </w:tcPr>
          <w:p>
            <w:pPr>
              <w:spacing w:after="0"/>
              <w:rPr>
                <w:sz w:val="14"/>
                <w:szCs w:val="14"/>
                <w:color w:val="auto"/>
              </w:rPr>
            </w:pPr>
          </w:p>
        </w:tc>
      </w:tr>
    </w:tbl>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w w:val="99"/>
              </w:rPr>
              <w:t>Total.................................</w:t>
            </w:r>
          </w:p>
        </w:tc>
        <w:tc>
          <w:tcPr>
            <w:tcW w:w="17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$100,000,000</w:t>
            </w:r>
          </w:p>
        </w:tc>
        <w:tc>
          <w:tcPr>
            <w:tcW w:w="13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100%</w:t>
            </w:r>
          </w:p>
        </w:tc>
        <w:tc>
          <w:tcPr>
            <w:tcW w:w="17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$100,000,000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$9,200</w:t>
            </w:r>
          </w:p>
        </w:tc>
      </w:tr>
    </w:tbl>
    <w:p>
      <w:pPr>
        <w:spacing w:after="0" w:line="5" w:lineRule="exact"/>
        <w:rPr>
          <w:sz w:val="24"/>
          <w:szCs w:val="24"/>
          <w:color w:val="auto"/>
        </w:rPr>
      </w:pPr>
    </w:p>
    <w:p>
      <w:pPr>
        <w:ind w:left="180" w:hanging="170"/>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SECONDARY OFFERING</w:t>
      </w:r>
    </w:p>
    <w:p>
      <w:pPr>
        <w:spacing w:after="0" w:line="5"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w:t>
      </w:r>
    </w:p>
    <w:p>
      <w:pPr>
        <w:spacing w:after="0" w:line="3" w:lineRule="exact"/>
        <w:rPr>
          <w:sz w:val="24"/>
          <w:szCs w:val="24"/>
          <w:color w:val="auto"/>
        </w:rPr>
      </w:pPr>
    </w:p>
    <w:p>
      <w:pPr>
        <w:spacing w:after="0"/>
        <w:tabs>
          <w:tab w:leader="none" w:pos="3760" w:val="left"/>
          <w:tab w:leader="none" w:pos="5840" w:val="left"/>
          <w:tab w:leader="none" w:pos="6980" w:val="left"/>
          <w:tab w:leader="none" w:pos="8480" w:val="left"/>
        </w:tabs>
        <w:rPr>
          <w:sz w:val="20"/>
          <w:szCs w:val="20"/>
          <w:color w:val="auto"/>
        </w:rPr>
      </w:pPr>
      <w:r>
        <w:rPr>
          <w:rFonts w:ascii="Courier New" w:cs="Courier New" w:eastAsia="Courier New" w:hAnsi="Courier New"/>
          <w:sz w:val="15"/>
          <w:szCs w:val="15"/>
          <w:color w:val="auto"/>
        </w:rPr>
        <w:t>Common Stock of ClearOne (7)..........</w:t>
      </w:r>
      <w:r>
        <w:rPr>
          <w:sz w:val="20"/>
          <w:szCs w:val="20"/>
          <w:color w:val="auto"/>
        </w:rPr>
        <w:tab/>
      </w:r>
      <w:r>
        <w:rPr>
          <w:rFonts w:ascii="Courier New" w:cs="Courier New" w:eastAsia="Courier New" w:hAnsi="Courier New"/>
          <w:sz w:val="15"/>
          <w:szCs w:val="15"/>
          <w:color w:val="auto"/>
        </w:rPr>
        <w:t>1,000,000 shares</w:t>
      </w:r>
      <w:r>
        <w:rPr>
          <w:sz w:val="20"/>
          <w:szCs w:val="20"/>
          <w:color w:val="auto"/>
        </w:rPr>
        <w:tab/>
      </w:r>
      <w:r>
        <w:rPr>
          <w:rFonts w:ascii="Courier New" w:cs="Courier New" w:eastAsia="Courier New" w:hAnsi="Courier New"/>
          <w:sz w:val="15"/>
          <w:szCs w:val="15"/>
          <w:color w:val="auto"/>
        </w:rPr>
        <w:t>$12.67 (8)</w:t>
        <w:tab/>
        <w:t>$12,670,000 (8)</w:t>
      </w:r>
      <w:r>
        <w:rPr>
          <w:sz w:val="20"/>
          <w:szCs w:val="20"/>
          <w:color w:val="auto"/>
        </w:rPr>
        <w:tab/>
      </w:r>
      <w:r>
        <w:rPr>
          <w:rFonts w:ascii="Courier New" w:cs="Courier New" w:eastAsia="Courier New" w:hAnsi="Courier New"/>
          <w:sz w:val="14"/>
          <w:szCs w:val="14"/>
          <w:color w:val="auto"/>
        </w:rPr>
        <w:t>$1,166 (8)</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346" w:lineRule="exact"/>
        <w:rPr>
          <w:sz w:val="24"/>
          <w:szCs w:val="24"/>
          <w:color w:val="auto"/>
        </w:rPr>
      </w:pPr>
    </w:p>
    <w:p>
      <w:pPr>
        <w:ind w:right="3239" w:firstLine="700"/>
        <w:spacing w:after="0" w:line="261" w:lineRule="auto"/>
        <w:rPr>
          <w:sz w:val="20"/>
          <w:szCs w:val="20"/>
          <w:color w:val="auto"/>
        </w:rPr>
      </w:pPr>
      <w:r>
        <w:rPr>
          <w:rFonts w:ascii="Courier New" w:cs="Courier New" w:eastAsia="Courier New" w:hAnsi="Courier New"/>
          <w:sz w:val="14"/>
          <w:szCs w:val="14"/>
          <w:color w:val="auto"/>
        </w:rPr>
        <w:t>The registrant hereby amends this registration statement on such date or dates as may be necessary to delay its effective date until the registrant shall</w:t>
      </w:r>
    </w:p>
    <w:p>
      <w:pPr>
        <w:sectPr>
          <w:pgSz w:w="11900" w:h="16923" w:orient="portrait"/>
          <w:cols w:equalWidth="0" w:num="1">
            <w:col w:w="10239"/>
          </w:cols>
          <w:pgMar w:left="220" w:top="231" w:right="1440" w:bottom="0" w:gutter="0" w:footer="0" w:header="0"/>
          <w:type w:val="continuous"/>
        </w:sectPr>
      </w:pPr>
    </w:p>
    <w:bookmarkStart w:id="1" w:name="page2"/>
    <w:bookmarkEnd w:id="1"/>
    <w:p>
      <w:pPr>
        <w:ind w:right="3239"/>
        <w:spacing w:after="0" w:line="254" w:lineRule="auto"/>
        <w:rPr>
          <w:sz w:val="20"/>
          <w:szCs w:val="20"/>
          <w:color w:val="auto"/>
        </w:rPr>
      </w:pPr>
      <w:r>
        <w:rPr>
          <w:rFonts w:ascii="Courier New" w:cs="Courier New" w:eastAsia="Courier New" w:hAnsi="Courier New"/>
          <w:sz w:val="14"/>
          <w:szCs w:val="14"/>
          <w:color w:val="auto"/>
        </w:rPr>
        <w:t>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Section 8(a), may determine. ================================================================================</w:t>
      </w:r>
    </w:p>
    <w:p>
      <w:pPr>
        <w:jc w:val="center"/>
        <w:ind w:right="3239"/>
        <w:spacing w:after="0" w:line="233" w:lineRule="auto"/>
        <w:rPr>
          <w:sz w:val="20"/>
          <w:szCs w:val="20"/>
          <w:color w:val="auto"/>
        </w:rPr>
      </w:pPr>
      <w:r>
        <w:rPr>
          <w:rFonts w:ascii="Courier New" w:cs="Courier New" w:eastAsia="Courier New" w:hAnsi="Courier New"/>
          <w:sz w:val="15"/>
          <w:szCs w:val="15"/>
          <w:color w:val="auto"/>
        </w:rPr>
        <w:t>(footnotes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700" w:right="3239" w:hanging="690"/>
        <w:spacing w:after="0" w:line="255" w:lineRule="auto"/>
        <w:tabs>
          <w:tab w:leader="none" w:pos="70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the primary offering, we will determine the proposed maximum offering price per security from time to time in connection with issuances of securities registered hereunder. In addition, with respect to the primary offering, the proposed maximum aggregate offering price has been estimated solely for the purpose of calculating the registration fee pursuant to Rule 457(o) under the Securities Act.</w:t>
      </w:r>
    </w:p>
    <w:p>
      <w:pPr>
        <w:spacing w:after="0" w:line="159" w:lineRule="exact"/>
        <w:rPr>
          <w:rFonts w:ascii="Courier New" w:cs="Courier New" w:eastAsia="Courier New" w:hAnsi="Courier New"/>
          <w:sz w:val="14"/>
          <w:szCs w:val="14"/>
          <w:color w:val="auto"/>
        </w:rPr>
      </w:pPr>
    </w:p>
    <w:p>
      <w:pPr>
        <w:ind w:left="700" w:hanging="690"/>
        <w:spacing w:after="0"/>
        <w:tabs>
          <w:tab w:leader="none" w:pos="7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 pursuant to General Instruction II.D of Form S-3.</w:t>
      </w:r>
    </w:p>
    <w:p>
      <w:pPr>
        <w:spacing w:after="0" w:line="172" w:lineRule="exact"/>
        <w:rPr>
          <w:rFonts w:ascii="Courier New" w:cs="Courier New" w:eastAsia="Courier New" w:hAnsi="Courier New"/>
          <w:sz w:val="15"/>
          <w:szCs w:val="15"/>
          <w:color w:val="auto"/>
        </w:rPr>
      </w:pPr>
    </w:p>
    <w:p>
      <w:pPr>
        <w:ind w:left="700" w:right="3239" w:hanging="690"/>
        <w:spacing w:after="0" w:line="236" w:lineRule="auto"/>
        <w:tabs>
          <w:tab w:leader="none" w:pos="7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note (9) below, there is being registered hereunder an indeterminate principal amount of debt securities of ClearOne as may be offered or sold from time to time by us. If any debt securities are issued at an original issue discount, then the offering price shall be in such greater principal amount as shall result in an aggregate initial offering price not to exceed $100,000,000.</w:t>
      </w:r>
    </w:p>
    <w:p>
      <w:pPr>
        <w:spacing w:after="0" w:line="174" w:lineRule="exact"/>
        <w:rPr>
          <w:rFonts w:ascii="Courier New" w:cs="Courier New" w:eastAsia="Courier New" w:hAnsi="Courier New"/>
          <w:sz w:val="15"/>
          <w:szCs w:val="15"/>
          <w:color w:val="auto"/>
        </w:rPr>
      </w:pPr>
    </w:p>
    <w:p>
      <w:pPr>
        <w:ind w:left="700" w:right="3579" w:hanging="690"/>
        <w:spacing w:after="0" w:line="235" w:lineRule="auto"/>
        <w:tabs>
          <w:tab w:leader="none" w:pos="7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note (9) below, there is being registered hereunder an indeterminate number of shares of common stock of ClearOne as may be sold from time to time by ClearOne.</w:t>
      </w:r>
    </w:p>
    <w:p>
      <w:pPr>
        <w:spacing w:after="0" w:line="173" w:lineRule="exact"/>
        <w:rPr>
          <w:rFonts w:ascii="Courier New" w:cs="Courier New" w:eastAsia="Courier New" w:hAnsi="Courier New"/>
          <w:sz w:val="15"/>
          <w:szCs w:val="15"/>
          <w:color w:val="auto"/>
        </w:rPr>
      </w:pPr>
    </w:p>
    <w:p>
      <w:pPr>
        <w:ind w:left="700" w:right="3239" w:hanging="690"/>
        <w:spacing w:after="0" w:line="236" w:lineRule="auto"/>
        <w:tabs>
          <w:tab w:leader="none" w:pos="7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note (9) below, includes such indeterminate amount of debt securities and common stock of ClearOne as may be issued upon conversion or exchange for any other securities registered hereunder that provide for conversion or exchange into debt securities or common stock of ClearOne.</w:t>
      </w:r>
    </w:p>
    <w:p>
      <w:pPr>
        <w:spacing w:after="0" w:line="173" w:lineRule="exact"/>
        <w:rPr>
          <w:rFonts w:ascii="Courier New" w:cs="Courier New" w:eastAsia="Courier New" w:hAnsi="Courier New"/>
          <w:sz w:val="15"/>
          <w:szCs w:val="15"/>
          <w:color w:val="auto"/>
        </w:rPr>
      </w:pPr>
    </w:p>
    <w:p>
      <w:pPr>
        <w:ind w:left="700" w:right="3579" w:hanging="690"/>
        <w:spacing w:after="0" w:line="235" w:lineRule="auto"/>
        <w:tabs>
          <w:tab w:leader="none" w:pos="7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note (9) below, there is being registered hereunder an indeterminate amount and number of warrants of ClearOne representing rights to purchase certain of the debt securities or common stock of ClearOne registered hereunder.</w:t>
      </w:r>
    </w:p>
    <w:p>
      <w:pPr>
        <w:spacing w:after="0" w:line="175" w:lineRule="exact"/>
        <w:rPr>
          <w:rFonts w:ascii="Courier New" w:cs="Courier New" w:eastAsia="Courier New" w:hAnsi="Courier New"/>
          <w:sz w:val="15"/>
          <w:szCs w:val="15"/>
          <w:color w:val="auto"/>
        </w:rPr>
      </w:pPr>
    </w:p>
    <w:p>
      <w:pPr>
        <w:ind w:left="700" w:right="3679" w:hanging="690"/>
        <w:spacing w:after="0" w:line="234" w:lineRule="auto"/>
        <w:tabs>
          <w:tab w:leader="none" w:pos="7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selling stockholders may offer a maximum of 1,000,000 shares of common stock of ClearOne.</w:t>
      </w:r>
    </w:p>
    <w:p>
      <w:pPr>
        <w:spacing w:after="0" w:line="173" w:lineRule="exact"/>
        <w:rPr>
          <w:rFonts w:ascii="Courier New" w:cs="Courier New" w:eastAsia="Courier New" w:hAnsi="Courier New"/>
          <w:sz w:val="15"/>
          <w:szCs w:val="15"/>
          <w:color w:val="auto"/>
        </w:rPr>
      </w:pPr>
    </w:p>
    <w:p>
      <w:pPr>
        <w:ind w:left="700" w:right="3239" w:hanging="690"/>
        <w:spacing w:after="0" w:line="256" w:lineRule="auto"/>
        <w:tabs>
          <w:tab w:leader="none" w:pos="70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is estimated solely for the purpose of computing the amount of the registration fee pursuant to Rule 457(c) under the Securities Act, based on the average of the high and low price of the common stock of ClearOne reported on The Nasdaq National Market on July 18, 2002.</w:t>
      </w:r>
    </w:p>
    <w:p>
      <w:pPr>
        <w:spacing w:after="0" w:line="164" w:lineRule="exact"/>
        <w:rPr>
          <w:rFonts w:ascii="Courier New" w:cs="Courier New" w:eastAsia="Courier New" w:hAnsi="Courier New"/>
          <w:sz w:val="14"/>
          <w:szCs w:val="14"/>
          <w:color w:val="auto"/>
        </w:rPr>
      </w:pPr>
    </w:p>
    <w:p>
      <w:pPr>
        <w:ind w:left="700" w:right="3319" w:hanging="690"/>
        <w:spacing w:after="0" w:line="235" w:lineRule="auto"/>
        <w:tabs>
          <w:tab w:leader="none" w:pos="7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 event will the aggregate offering price of all securities sold by ClearOne from time to time pursuant to this registration statement exceed $100,000,000.</w:t>
      </w:r>
    </w:p>
    <w:p>
      <w:pPr>
        <w:sectPr>
          <w:pgSz w:w="11900" w:h="16838" w:orient="portrait"/>
          <w:cols w:equalWidth="0" w:num="1">
            <w:col w:w="10239"/>
          </w:cols>
          <w:pgMar w:left="220" w:top="141" w:right="1440" w:bottom="1440" w:gutter="0" w:footer="0" w:header="0"/>
        </w:sectPr>
      </w:pPr>
    </w:p>
    <w:bookmarkStart w:id="2" w:name="page3"/>
    <w:bookmarkEnd w:id="2"/>
    <w:p>
      <w:pPr>
        <w:ind w:left="2100"/>
        <w:spacing w:after="0"/>
        <w:rPr>
          <w:sz w:val="20"/>
          <w:szCs w:val="20"/>
          <w:color w:val="auto"/>
        </w:rPr>
      </w:pPr>
      <w:r>
        <w:rPr>
          <w:rFonts w:ascii="Courier New" w:cs="Courier New" w:eastAsia="Courier New" w:hAnsi="Courier New"/>
          <w:sz w:val="15"/>
          <w:szCs w:val="15"/>
          <w:color w:val="auto"/>
        </w:rPr>
        <w:t>EXPLANATORY NOTE</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registration statement consists of two separate prospectuses:</w:t>
      </w:r>
    </w:p>
    <w:p>
      <w:pPr>
        <w:spacing w:after="0" w:line="173" w:lineRule="exact"/>
        <w:rPr>
          <w:sz w:val="20"/>
          <w:szCs w:val="20"/>
          <w:color w:val="auto"/>
        </w:rPr>
      </w:pPr>
    </w:p>
    <w:p>
      <w:pPr>
        <w:ind w:left="700" w:right="3319" w:hanging="691"/>
        <w:spacing w:after="0" w:line="235" w:lineRule="auto"/>
        <w:tabs>
          <w:tab w:leader="none" w:pos="7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first prospectus relates to the offer and sale from time to time by ClearOne of debt securities, warrants and common stock issuable under conversion of debt securities and exercise of warrants; and</w:t>
      </w:r>
    </w:p>
    <w:p>
      <w:pPr>
        <w:spacing w:after="0" w:line="175" w:lineRule="exact"/>
        <w:rPr>
          <w:rFonts w:ascii="Courier New" w:cs="Courier New" w:eastAsia="Courier New" w:hAnsi="Courier New"/>
          <w:sz w:val="15"/>
          <w:szCs w:val="15"/>
          <w:color w:val="auto"/>
        </w:rPr>
      </w:pPr>
    </w:p>
    <w:p>
      <w:pPr>
        <w:ind w:left="700" w:right="3239" w:hanging="691"/>
        <w:spacing w:after="0" w:line="235" w:lineRule="auto"/>
        <w:tabs>
          <w:tab w:leader="none" w:pos="7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second prospectus relates to the offer and sale from time to time by ClearOne of common stock and the offer and sale of common stock of ClearOne by certain selling stockholders.</w:t>
      </w:r>
    </w:p>
    <w:p>
      <w:pPr>
        <w:spacing w:after="0" w:line="174"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The maximum aggregate amount of securities to be offered by ClearOne under both prospectuses shall be $100 million. The maximum number of shares of our common stock to be offered by certain selling stockholders pursuant to the second prospectus shall be 1,000,000 shares.</w:t>
      </w:r>
    </w:p>
    <w:p>
      <w:pPr>
        <w:sectPr>
          <w:pgSz w:w="11900" w:h="16838" w:orient="portrait"/>
          <w:cols w:equalWidth="0" w:num="1">
            <w:col w:w="9539"/>
          </w:cols>
          <w:pgMar w:left="920" w:top="785" w:right="1440" w:bottom="1440" w:gutter="0" w:footer="0" w:header="0"/>
        </w:sectPr>
      </w:pPr>
    </w:p>
    <w:bookmarkStart w:id="3" w:name="page4"/>
    <w:bookmarkEnd w:id="3"/>
    <w:p>
      <w:pPr>
        <w:ind w:left="1680"/>
        <w:spacing w:after="0"/>
        <w:rPr>
          <w:sz w:val="20"/>
          <w:szCs w:val="20"/>
          <w:color w:val="auto"/>
        </w:rPr>
      </w:pPr>
      <w:r>
        <w:rPr>
          <w:rFonts w:ascii="Courier New" w:cs="Courier New" w:eastAsia="Courier New" w:hAnsi="Courier New"/>
          <w:sz w:val="15"/>
          <w:szCs w:val="15"/>
          <w:color w:val="auto"/>
        </w:rPr>
        <w:t>SUBJECT TO COMPLETION, DATED JULY 22, 2002</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PROSPECTUS</w:t>
      </w:r>
    </w:p>
    <w:p>
      <w:pPr>
        <w:spacing w:after="0" w:line="166"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CLEARONE COMMUNICATIONS, INC.</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[LOGO]</w:t>
      </w:r>
    </w:p>
    <w:p>
      <w:pPr>
        <w:spacing w:after="0" w:line="173" w:lineRule="exact"/>
        <w:rPr>
          <w:sz w:val="20"/>
          <w:szCs w:val="20"/>
          <w:color w:val="auto"/>
        </w:rPr>
      </w:pPr>
    </w:p>
    <w:p>
      <w:pPr>
        <w:ind w:right="3399" w:firstLine="700"/>
        <w:spacing w:after="0" w:line="234" w:lineRule="auto"/>
        <w:rPr>
          <w:sz w:val="20"/>
          <w:szCs w:val="20"/>
          <w:color w:val="auto"/>
        </w:rPr>
      </w:pPr>
      <w:r>
        <w:rPr>
          <w:rFonts w:ascii="Courier New" w:cs="Courier New" w:eastAsia="Courier New" w:hAnsi="Courier New"/>
          <w:sz w:val="15"/>
          <w:szCs w:val="15"/>
          <w:color w:val="auto"/>
        </w:rPr>
        <w:t>We may offer and sell, from time to time, in one or more offerings, up to $100,000,000 of any combination of the following securities:</w:t>
      </w:r>
    </w:p>
    <w:p>
      <w:pPr>
        <w:sectPr>
          <w:pgSz w:w="11900" w:h="16838" w:orient="portrait"/>
          <w:cols w:equalWidth="0" w:num="1">
            <w:col w:w="10239"/>
          </w:cols>
          <w:pgMar w:left="220" w:top="1122" w:right="1440" w:bottom="1440" w:gutter="0" w:footer="0" w:header="0"/>
        </w:sectPr>
      </w:pP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o</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debt securities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subordinated debt securities</w:t>
      </w:r>
    </w:p>
    <w:p>
      <w:pPr>
        <w:spacing w:after="0" w:line="170" w:lineRule="exact"/>
        <w:rPr>
          <w:sz w:val="20"/>
          <w:szCs w:val="20"/>
          <w:color w:val="auto"/>
        </w:rPr>
      </w:pPr>
    </w:p>
    <w:p>
      <w:pPr>
        <w:sectPr>
          <w:pgSz w:w="11900" w:h="16838" w:orient="portrait"/>
          <w:cols w:equalWidth="0" w:num="4">
            <w:col w:w="800" w:space="260"/>
            <w:col w:w="1920" w:space="520"/>
            <w:col w:w="100" w:space="260"/>
            <w:col w:w="6379"/>
          </w:cols>
          <w:pgMar w:left="220" w:top="1122" w:right="1440" w:bottom="1440" w:gutter="0" w:footer="0" w:header="0"/>
          <w:type w:val="continuous"/>
        </w:sectPr>
      </w:pPr>
    </w:p>
    <w:p>
      <w:pPr>
        <w:ind w:left="700"/>
        <w:spacing w:after="0"/>
        <w:rPr>
          <w:sz w:val="20"/>
          <w:szCs w:val="20"/>
          <w:color w:val="auto"/>
        </w:rPr>
      </w:pPr>
      <w:r>
        <w:rPr>
          <w:rFonts w:ascii="Courier New" w:cs="Courier New" w:eastAsia="Courier New" w:hAnsi="Courier New"/>
          <w:sz w:val="15"/>
          <w:szCs w:val="15"/>
          <w:color w:val="auto"/>
        </w:rPr>
        <w: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equity warrants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convertible debt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securities</w:t>
      </w:r>
    </w:p>
    <w:p>
      <w:pPr>
        <w:spacing w:after="0" w:line="170" w:lineRule="exact"/>
        <w:rPr>
          <w:sz w:val="20"/>
          <w:szCs w:val="20"/>
          <w:color w:val="auto"/>
        </w:rPr>
      </w:pPr>
    </w:p>
    <w:p>
      <w:pPr>
        <w:sectPr>
          <w:pgSz w:w="11900" w:h="16838" w:orient="portrait"/>
          <w:cols w:equalWidth="0" w:num="5">
            <w:col w:w="800" w:space="260"/>
            <w:col w:w="1720" w:space="720"/>
            <w:col w:w="100" w:space="260"/>
            <w:col w:w="1400" w:space="180"/>
            <w:col w:w="4799"/>
          </w:cols>
          <w:pgMar w:left="220" w:top="1122" w:right="1440" w:bottom="1440" w:gutter="0" w:footer="0" w:header="0"/>
          <w:type w:val="continuous"/>
        </w:sectPr>
      </w:pPr>
    </w:p>
    <w:p>
      <w:pPr>
        <w:ind w:left="1060" w:hanging="351"/>
        <w:spacing w:after="0"/>
        <w:tabs>
          <w:tab w:leader="none" w:pos="10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debt warrants</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We will provide the specific terms of these securities in supplements to this prospectus. This prospectus may not be used to sell securities unless accompanied by a prospectus supplement. We urge you to read carefully this prospectus and the accompanying prospectus supplement, which will describe the specific terms of the securities offered, before you make your investment decision.</w:t>
      </w:r>
    </w:p>
    <w:p>
      <w:pPr>
        <w:spacing w:after="0" w:line="17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Our common stock trades on the Nasdaq National Market under the symbol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"CLRO."</w:t>
      </w:r>
    </w:p>
    <w:p>
      <w:pPr>
        <w:spacing w:after="0" w:line="173" w:lineRule="exact"/>
        <w:rPr>
          <w:sz w:val="20"/>
          <w:szCs w:val="20"/>
          <w:color w:val="auto"/>
        </w:rPr>
      </w:pPr>
    </w:p>
    <w:p>
      <w:pPr>
        <w:ind w:right="3579" w:firstLine="700"/>
        <w:spacing w:after="0" w:line="235" w:lineRule="auto"/>
        <w:rPr>
          <w:sz w:val="20"/>
          <w:szCs w:val="20"/>
          <w:color w:val="auto"/>
        </w:rPr>
      </w:pPr>
      <w:r>
        <w:rPr>
          <w:rFonts w:ascii="Courier New" w:cs="Courier New" w:eastAsia="Courier New" w:hAnsi="Courier New"/>
          <w:sz w:val="15"/>
          <w:szCs w:val="15"/>
          <w:color w:val="auto"/>
        </w:rPr>
        <w:t>Investing in our securities involves risks. You should carefully consider the risk factors set forth in the applicable supplement to this prospectus before investing in any securities that may be offered. See "Risk Factors" beginning on page 3.</w:t>
      </w:r>
    </w:p>
    <w:p>
      <w:pPr>
        <w:spacing w:after="0" w:line="33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w:t>
      </w:r>
    </w:p>
    <w:p>
      <w:pPr>
        <w:spacing w:after="0" w:line="341" w:lineRule="exact"/>
        <w:rPr>
          <w:sz w:val="20"/>
          <w:szCs w:val="20"/>
          <w:color w:val="auto"/>
        </w:rPr>
      </w:pPr>
    </w:p>
    <w:p>
      <w:pPr>
        <w:jc w:val="both"/>
        <w:ind w:right="3239" w:firstLine="700"/>
        <w:spacing w:after="0" w:line="235" w:lineRule="auto"/>
        <w:rPr>
          <w:sz w:val="20"/>
          <w:szCs w:val="20"/>
          <w:color w:val="auto"/>
        </w:rPr>
      </w:pPr>
      <w:r>
        <w:rPr>
          <w:rFonts w:ascii="Courier New" w:cs="Courier New" w:eastAsia="Courier New" w:hAnsi="Courier New"/>
          <w:sz w:val="15"/>
          <w:szCs w:val="15"/>
          <w:color w:val="auto"/>
        </w:rPr>
        <w:t>Neither the Securities and Exchange Commission nor any other regulatory body has approved or disapproved of these securities or passed upon the adequacy or accuracy of this prospectus. Any representation to the contrary is a criminal offense.</w:t>
      </w:r>
    </w:p>
    <w:p>
      <w:pPr>
        <w:spacing w:after="0" w:line="169"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1760" w:type="dxa"/>
        <w:tblCellMar>
          <w:top w:w="0" w:type="dxa"/>
          <w:left w:w="0" w:type="dxa"/>
          <w:bottom w:w="0" w:type="dxa"/>
          <w:right w:w="0" w:type="dxa"/>
        </w:tblCellMar>
      </w:tblPr>
      <w:tr>
        <w:trPr>
          <w:trHeight w:val="170"/>
        </w:trPr>
        <w:tc>
          <w:tcPr>
            <w:tcW w:w="2800" w:type="dxa"/>
            <w:vAlign w:val="bottom"/>
          </w:tcPr>
          <w:p>
            <w:pPr>
              <w:spacing w:after="0"/>
              <w:rPr>
                <w:sz w:val="20"/>
                <w:szCs w:val="20"/>
                <w:color w:val="auto"/>
              </w:rPr>
            </w:pPr>
            <w:r>
              <w:rPr>
                <w:rFonts w:ascii="Courier New" w:cs="Courier New" w:eastAsia="Courier New" w:hAnsi="Courier New"/>
                <w:sz w:val="15"/>
                <w:szCs w:val="15"/>
                <w:color w:val="auto"/>
              </w:rPr>
              <w:t>The date of this prospectus is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 2002</w:t>
            </w:r>
          </w:p>
        </w:tc>
      </w:tr>
    </w:tbl>
    <w:p>
      <w:pPr>
        <w:sectPr>
          <w:pgSz w:w="11900" w:h="16838" w:orient="portrait"/>
          <w:cols w:equalWidth="0" w:num="1">
            <w:col w:w="10239"/>
          </w:cols>
          <w:pgMar w:left="220" w:top="1122" w:right="1440" w:bottom="1440" w:gutter="0" w:footer="0" w:header="0"/>
          <w:type w:val="continuous"/>
        </w:sectPr>
      </w:pPr>
    </w:p>
    <w:bookmarkStart w:id="4" w:name="page5"/>
    <w:bookmarkEnd w:id="4"/>
    <w:p>
      <w:pPr>
        <w:ind w:left="2800"/>
        <w:spacing w:after="0"/>
        <w:rPr>
          <w:sz w:val="20"/>
          <w:szCs w:val="20"/>
          <w:color w:val="auto"/>
        </w:rPr>
      </w:pPr>
      <w:r>
        <w:rPr>
          <w:rFonts w:ascii="Courier New" w:cs="Courier New" w:eastAsia="Courier New" w:hAnsi="Courier New"/>
          <w:sz w:val="15"/>
          <w:szCs w:val="15"/>
          <w:color w:val="auto"/>
        </w:rPr>
        <w:t>Table of Contents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Page</w:t>
            </w:r>
          </w:p>
        </w:tc>
      </w:tr>
      <w:tr>
        <w:trPr>
          <w:trHeight w:val="168"/>
        </w:trPr>
        <w:tc>
          <w:tcPr>
            <w:tcW w:w="666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505"/>
        </w:trPr>
        <w:tc>
          <w:tcPr>
            <w:tcW w:w="6660" w:type="dxa"/>
            <w:vAlign w:val="bottom"/>
          </w:tcPr>
          <w:p>
            <w:pPr>
              <w:spacing w:after="0"/>
              <w:rPr>
                <w:sz w:val="20"/>
                <w:szCs w:val="20"/>
                <w:color w:val="auto"/>
              </w:rPr>
            </w:pPr>
            <w:r>
              <w:rPr>
                <w:rFonts w:ascii="Courier New" w:cs="Courier New" w:eastAsia="Courier New" w:hAnsi="Courier New"/>
                <w:sz w:val="15"/>
                <w:szCs w:val="15"/>
                <w:color w:val="auto"/>
                <w:w w:val="94"/>
              </w:rPr>
              <w:t>About This Prospectus.........................................................</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w:t>
            </w:r>
          </w:p>
        </w:tc>
      </w:tr>
      <w:tr>
        <w:trPr>
          <w:trHeight w:val="336"/>
        </w:trPr>
        <w:tc>
          <w:tcPr>
            <w:tcW w:w="6660" w:type="dxa"/>
            <w:vAlign w:val="bottom"/>
          </w:tcPr>
          <w:p>
            <w:pPr>
              <w:spacing w:after="0"/>
              <w:rPr>
                <w:sz w:val="20"/>
                <w:szCs w:val="20"/>
                <w:color w:val="auto"/>
              </w:rPr>
            </w:pPr>
            <w:r>
              <w:rPr>
                <w:rFonts w:ascii="Courier New" w:cs="Courier New" w:eastAsia="Courier New" w:hAnsi="Courier New"/>
                <w:sz w:val="15"/>
                <w:szCs w:val="15"/>
                <w:color w:val="auto"/>
                <w:w w:val="94"/>
              </w:rPr>
              <w:t>Where You Can Find More Information...........................................</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w:t>
            </w:r>
          </w:p>
        </w:tc>
      </w:tr>
      <w:tr>
        <w:trPr>
          <w:trHeight w:val="336"/>
        </w:trPr>
        <w:tc>
          <w:tcPr>
            <w:tcW w:w="6660" w:type="dxa"/>
            <w:vAlign w:val="bottom"/>
          </w:tcPr>
          <w:p>
            <w:pPr>
              <w:spacing w:after="0"/>
              <w:rPr>
                <w:sz w:val="20"/>
                <w:szCs w:val="20"/>
                <w:color w:val="auto"/>
              </w:rPr>
            </w:pPr>
            <w:r>
              <w:rPr>
                <w:rFonts w:ascii="Courier New" w:cs="Courier New" w:eastAsia="Courier New" w:hAnsi="Courier New"/>
                <w:sz w:val="15"/>
                <w:szCs w:val="15"/>
                <w:color w:val="auto"/>
                <w:w w:val="94"/>
              </w:rPr>
              <w:t>Forward-Looking Statements....................................................</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w:t>
            </w:r>
          </w:p>
        </w:tc>
      </w:tr>
      <w:tr>
        <w:trPr>
          <w:trHeight w:val="336"/>
        </w:trPr>
        <w:tc>
          <w:tcPr>
            <w:tcW w:w="6660" w:type="dxa"/>
            <w:vAlign w:val="bottom"/>
          </w:tcPr>
          <w:p>
            <w:pPr>
              <w:spacing w:after="0"/>
              <w:rPr>
                <w:sz w:val="20"/>
                <w:szCs w:val="20"/>
                <w:color w:val="auto"/>
              </w:rPr>
            </w:pPr>
            <w:r>
              <w:rPr>
                <w:rFonts w:ascii="Courier New" w:cs="Courier New" w:eastAsia="Courier New" w:hAnsi="Courier New"/>
                <w:sz w:val="15"/>
                <w:szCs w:val="15"/>
                <w:color w:val="auto"/>
                <w:w w:val="94"/>
              </w:rPr>
              <w:t>ClearOne Communications, Inc..................................................</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w:t>
            </w:r>
          </w:p>
        </w:tc>
      </w:tr>
      <w:tr>
        <w:trPr>
          <w:trHeight w:val="336"/>
        </w:trPr>
        <w:tc>
          <w:tcPr>
            <w:tcW w:w="6660" w:type="dxa"/>
            <w:vAlign w:val="bottom"/>
          </w:tcPr>
          <w:p>
            <w:pPr>
              <w:spacing w:after="0"/>
              <w:rPr>
                <w:sz w:val="20"/>
                <w:szCs w:val="20"/>
                <w:color w:val="auto"/>
              </w:rPr>
            </w:pPr>
            <w:r>
              <w:rPr>
                <w:rFonts w:ascii="Courier New" w:cs="Courier New" w:eastAsia="Courier New" w:hAnsi="Courier New"/>
                <w:sz w:val="15"/>
                <w:szCs w:val="15"/>
                <w:color w:val="auto"/>
                <w:w w:val="94"/>
              </w:rPr>
              <w:t>Risk Factors..................................................................</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w:t>
            </w:r>
          </w:p>
        </w:tc>
      </w:tr>
      <w:tr>
        <w:trPr>
          <w:trHeight w:val="336"/>
        </w:trPr>
        <w:tc>
          <w:tcPr>
            <w:tcW w:w="6660" w:type="dxa"/>
            <w:vAlign w:val="bottom"/>
          </w:tcPr>
          <w:p>
            <w:pPr>
              <w:spacing w:after="0"/>
              <w:rPr>
                <w:sz w:val="20"/>
                <w:szCs w:val="20"/>
                <w:color w:val="auto"/>
              </w:rPr>
            </w:pPr>
            <w:r>
              <w:rPr>
                <w:rFonts w:ascii="Courier New" w:cs="Courier New" w:eastAsia="Courier New" w:hAnsi="Courier New"/>
                <w:sz w:val="15"/>
                <w:szCs w:val="15"/>
                <w:color w:val="auto"/>
                <w:w w:val="94"/>
              </w:rPr>
              <w:t>Ratio Of Earnings To Fixed Charges............................................</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w:t>
            </w:r>
          </w:p>
        </w:tc>
      </w:tr>
      <w:tr>
        <w:trPr>
          <w:trHeight w:val="336"/>
        </w:trPr>
        <w:tc>
          <w:tcPr>
            <w:tcW w:w="6660" w:type="dxa"/>
            <w:vAlign w:val="bottom"/>
          </w:tcPr>
          <w:p>
            <w:pPr>
              <w:spacing w:after="0"/>
              <w:rPr>
                <w:sz w:val="20"/>
                <w:szCs w:val="20"/>
                <w:color w:val="auto"/>
              </w:rPr>
            </w:pPr>
            <w:r>
              <w:rPr>
                <w:rFonts w:ascii="Courier New" w:cs="Courier New" w:eastAsia="Courier New" w:hAnsi="Courier New"/>
                <w:sz w:val="15"/>
                <w:szCs w:val="15"/>
                <w:color w:val="auto"/>
                <w:w w:val="94"/>
              </w:rPr>
              <w:t>Use Of Proceeds...............................................................</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w:t>
            </w:r>
          </w:p>
        </w:tc>
      </w:tr>
      <w:tr>
        <w:trPr>
          <w:trHeight w:val="336"/>
        </w:trPr>
        <w:tc>
          <w:tcPr>
            <w:tcW w:w="6660" w:type="dxa"/>
            <w:vAlign w:val="bottom"/>
          </w:tcPr>
          <w:p>
            <w:pPr>
              <w:spacing w:after="0"/>
              <w:rPr>
                <w:sz w:val="20"/>
                <w:szCs w:val="20"/>
                <w:color w:val="auto"/>
              </w:rPr>
            </w:pPr>
            <w:r>
              <w:rPr>
                <w:rFonts w:ascii="Courier New" w:cs="Courier New" w:eastAsia="Courier New" w:hAnsi="Courier New"/>
                <w:sz w:val="15"/>
                <w:szCs w:val="15"/>
                <w:color w:val="auto"/>
                <w:w w:val="94"/>
              </w:rPr>
              <w:t>Unaudited Pro Forma Condensed Combined Financial Information..................</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w:t>
            </w:r>
          </w:p>
        </w:tc>
      </w:tr>
      <w:tr>
        <w:trPr>
          <w:trHeight w:val="336"/>
        </w:trPr>
        <w:tc>
          <w:tcPr>
            <w:tcW w:w="6660" w:type="dxa"/>
            <w:vAlign w:val="bottom"/>
          </w:tcPr>
          <w:p>
            <w:pPr>
              <w:spacing w:after="0"/>
              <w:rPr>
                <w:sz w:val="20"/>
                <w:szCs w:val="20"/>
                <w:color w:val="auto"/>
              </w:rPr>
            </w:pPr>
            <w:r>
              <w:rPr>
                <w:rFonts w:ascii="Courier New" w:cs="Courier New" w:eastAsia="Courier New" w:hAnsi="Courier New"/>
                <w:sz w:val="15"/>
                <w:szCs w:val="15"/>
                <w:color w:val="auto"/>
                <w:w w:val="95"/>
              </w:rPr>
              <w:t>Securities We May Issue......................................................</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w:t>
            </w:r>
          </w:p>
        </w:tc>
      </w:tr>
      <w:tr>
        <w:trPr>
          <w:trHeight w:val="336"/>
        </w:trPr>
        <w:tc>
          <w:tcPr>
            <w:tcW w:w="6660" w:type="dxa"/>
            <w:vAlign w:val="bottom"/>
          </w:tcPr>
          <w:p>
            <w:pPr>
              <w:spacing w:after="0"/>
              <w:rPr>
                <w:sz w:val="20"/>
                <w:szCs w:val="20"/>
                <w:color w:val="auto"/>
              </w:rPr>
            </w:pPr>
            <w:r>
              <w:rPr>
                <w:rFonts w:ascii="Courier New" w:cs="Courier New" w:eastAsia="Courier New" w:hAnsi="Courier New"/>
                <w:sz w:val="15"/>
                <w:szCs w:val="15"/>
                <w:color w:val="auto"/>
                <w:w w:val="95"/>
              </w:rPr>
              <w:t>Description Of Debt Securities...............................................</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w:t>
            </w:r>
          </w:p>
        </w:tc>
      </w:tr>
      <w:tr>
        <w:trPr>
          <w:trHeight w:val="336"/>
        </w:trPr>
        <w:tc>
          <w:tcPr>
            <w:tcW w:w="6660" w:type="dxa"/>
            <w:vAlign w:val="bottom"/>
          </w:tcPr>
          <w:p>
            <w:pPr>
              <w:spacing w:after="0"/>
              <w:rPr>
                <w:sz w:val="20"/>
                <w:szCs w:val="20"/>
                <w:color w:val="auto"/>
              </w:rPr>
            </w:pPr>
            <w:r>
              <w:rPr>
                <w:rFonts w:ascii="Courier New" w:cs="Courier New" w:eastAsia="Courier New" w:hAnsi="Courier New"/>
                <w:sz w:val="15"/>
                <w:szCs w:val="15"/>
                <w:color w:val="auto"/>
                <w:w w:val="95"/>
              </w:rPr>
              <w:t>Description Of Warrants......................................................</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w:t>
            </w:r>
          </w:p>
        </w:tc>
      </w:tr>
      <w:tr>
        <w:trPr>
          <w:trHeight w:val="336"/>
        </w:trPr>
        <w:tc>
          <w:tcPr>
            <w:tcW w:w="6660" w:type="dxa"/>
            <w:vAlign w:val="bottom"/>
          </w:tcPr>
          <w:p>
            <w:pPr>
              <w:spacing w:after="0"/>
              <w:rPr>
                <w:sz w:val="20"/>
                <w:szCs w:val="20"/>
                <w:color w:val="auto"/>
              </w:rPr>
            </w:pPr>
            <w:r>
              <w:rPr>
                <w:rFonts w:ascii="Courier New" w:cs="Courier New" w:eastAsia="Courier New" w:hAnsi="Courier New"/>
                <w:sz w:val="15"/>
                <w:szCs w:val="15"/>
                <w:color w:val="auto"/>
                <w:w w:val="95"/>
              </w:rPr>
              <w:t>Description Of Common Stock..................................................</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w:t>
            </w:r>
          </w:p>
        </w:tc>
      </w:tr>
      <w:tr>
        <w:trPr>
          <w:trHeight w:val="336"/>
        </w:trPr>
        <w:tc>
          <w:tcPr>
            <w:tcW w:w="6660" w:type="dxa"/>
            <w:vAlign w:val="bottom"/>
          </w:tcPr>
          <w:p>
            <w:pPr>
              <w:spacing w:after="0"/>
              <w:rPr>
                <w:sz w:val="20"/>
                <w:szCs w:val="20"/>
                <w:color w:val="auto"/>
              </w:rPr>
            </w:pPr>
            <w:r>
              <w:rPr>
                <w:rFonts w:ascii="Courier New" w:cs="Courier New" w:eastAsia="Courier New" w:hAnsi="Courier New"/>
                <w:sz w:val="15"/>
                <w:szCs w:val="15"/>
                <w:color w:val="auto"/>
                <w:w w:val="95"/>
              </w:rPr>
              <w:t>Plan Of Distribution.........................................................</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w:t>
            </w:r>
          </w:p>
        </w:tc>
      </w:tr>
      <w:tr>
        <w:trPr>
          <w:trHeight w:val="336"/>
        </w:trPr>
        <w:tc>
          <w:tcPr>
            <w:tcW w:w="6660" w:type="dxa"/>
            <w:vAlign w:val="bottom"/>
          </w:tcPr>
          <w:p>
            <w:pPr>
              <w:spacing w:after="0"/>
              <w:rPr>
                <w:sz w:val="20"/>
                <w:szCs w:val="20"/>
                <w:color w:val="auto"/>
              </w:rPr>
            </w:pPr>
            <w:r>
              <w:rPr>
                <w:rFonts w:ascii="Courier New" w:cs="Courier New" w:eastAsia="Courier New" w:hAnsi="Courier New"/>
                <w:sz w:val="15"/>
                <w:szCs w:val="15"/>
                <w:color w:val="auto"/>
                <w:w w:val="95"/>
              </w:rPr>
              <w:t>Validty Of The Securities....................................................</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w:t>
            </w:r>
          </w:p>
        </w:tc>
      </w:tr>
      <w:tr>
        <w:trPr>
          <w:trHeight w:val="336"/>
        </w:trPr>
        <w:tc>
          <w:tcPr>
            <w:tcW w:w="6660" w:type="dxa"/>
            <w:vAlign w:val="bottom"/>
          </w:tcPr>
          <w:p>
            <w:pPr>
              <w:spacing w:after="0"/>
              <w:rPr>
                <w:sz w:val="20"/>
                <w:szCs w:val="20"/>
                <w:color w:val="auto"/>
              </w:rPr>
            </w:pPr>
            <w:r>
              <w:rPr>
                <w:rFonts w:ascii="Courier New" w:cs="Courier New" w:eastAsia="Courier New" w:hAnsi="Courier New"/>
                <w:sz w:val="15"/>
                <w:szCs w:val="15"/>
                <w:color w:val="auto"/>
                <w:w w:val="95"/>
              </w:rPr>
              <w:t>Experts......................................................................</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w:t>
            </w:r>
          </w:p>
        </w:tc>
      </w:tr>
      <w:tr>
        <w:trPr>
          <w:trHeight w:val="336"/>
        </w:trPr>
        <w:tc>
          <w:tcPr>
            <w:tcW w:w="6660" w:type="dxa"/>
            <w:vAlign w:val="bottom"/>
          </w:tcPr>
          <w:p>
            <w:pPr>
              <w:ind w:left="2720"/>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24"/>
                <w:szCs w:val="24"/>
                <w:color w:val="auto"/>
              </w:rPr>
            </w:pPr>
          </w:p>
        </w:tc>
      </w:tr>
    </w:tbl>
    <w:p>
      <w:pPr>
        <w:spacing w:after="0" w:line="173"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You should rely only on the information contained or incorporated by reference in this prospectus and any prospectus supplement. We have not authorized anyone else to provide you with different information. If anyone provides you with different or inconsistent information, you should not rely on it. We are offering to sell securities and soliciting offers to buy securities only in jurisdictions where offers and sales are permitted. You should assume that the information appearing in this prospectus and information incorporated by reference into this prospectus, is accurate only as of the date of the documents containing the information.</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39"/>
          </w:cols>
          <w:pgMar w:left="220" w:top="617" w:right="1440" w:bottom="1440" w:gutter="0" w:footer="0" w:header="0"/>
        </w:sectPr>
      </w:pPr>
    </w:p>
    <w:bookmarkStart w:id="5" w:name="page6"/>
    <w:bookmarkEnd w:id="5"/>
    <w:p>
      <w:pPr>
        <w:ind w:left="2640"/>
        <w:spacing w:after="0"/>
        <w:rPr>
          <w:sz w:val="20"/>
          <w:szCs w:val="20"/>
          <w:color w:val="auto"/>
        </w:rPr>
      </w:pPr>
      <w:r>
        <w:rPr>
          <w:rFonts w:ascii="Courier New" w:cs="Courier New" w:eastAsia="Courier New" w:hAnsi="Courier New"/>
          <w:sz w:val="15"/>
          <w:szCs w:val="15"/>
          <w:color w:val="auto"/>
        </w:rPr>
        <w:t>ABOUT THIS PROSPECTUS</w:t>
      </w:r>
    </w:p>
    <w:p>
      <w:pPr>
        <w:spacing w:after="0" w:line="341"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This prospectus is part of a registration statement that we filed with the Securities and Exchange Commission, or the SEC, using the SEC's shelf registration rules. Under the shelf registration rules, using this prospectus, together with a prospectus supplement, we may sell from time to time, in one or more offerings, up to $100,000,000 of any of the securities described in this prospectus.</w:t>
      </w:r>
    </w:p>
    <w:p>
      <w:pPr>
        <w:spacing w:after="0" w:line="175" w:lineRule="exact"/>
        <w:rPr>
          <w:sz w:val="20"/>
          <w:szCs w:val="20"/>
          <w:color w:val="auto"/>
        </w:rPr>
      </w:pPr>
    </w:p>
    <w:p>
      <w:pPr>
        <w:ind w:right="3239" w:firstLine="700"/>
        <w:spacing w:after="0" w:line="234" w:lineRule="auto"/>
        <w:rPr>
          <w:sz w:val="20"/>
          <w:szCs w:val="20"/>
          <w:color w:val="auto"/>
        </w:rPr>
      </w:pPr>
      <w:r>
        <w:rPr>
          <w:rFonts w:ascii="Courier New" w:cs="Courier New" w:eastAsia="Courier New" w:hAnsi="Courier New"/>
          <w:sz w:val="15"/>
          <w:szCs w:val="15"/>
          <w:color w:val="auto"/>
        </w:rPr>
        <w:t>In this prospectus we use the terms "ClearOne," "we," "us," and "our" to refer to ClearOne Communications, Inc., a Utah corporation.</w:t>
      </w:r>
    </w:p>
    <w:p>
      <w:pPr>
        <w:spacing w:after="0" w:line="173"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This prospectus provides you with a general description of the securities we may sell. Each time we sell securities under this prospectus, we will provide a prospectus supplement that will contain specific information about the terms of that offering. The prospectus supplement may also add, update or change information contained in this prospectus. If so, the prospectus supplement should be read as superseding this prospectus. You should read this prospectus, the applicable prospectus supplement and the additional information described below under "Where You Can Find More Information."</w:t>
      </w:r>
    </w:p>
    <w:p>
      <w:pPr>
        <w:spacing w:after="0" w:line="327"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341"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We file annual, quarterly and special reports, proxy statements and other information with the SEC. You may read and copy any reports, statements or other information we file with the SEC at its public reference room at 450 Fifth Street, N.W., Washington, D.C. 20549. Please call the SEC at 1-800-SEC-0330 for further information on the public reference room. Our filings are also available to the public on the Internet, through a database maintained by the SEC at http://www.sec.gov.</w:t>
      </w:r>
    </w:p>
    <w:p>
      <w:pPr>
        <w:spacing w:after="0" w:line="176" w:lineRule="exact"/>
        <w:rPr>
          <w:sz w:val="20"/>
          <w:szCs w:val="20"/>
          <w:color w:val="auto"/>
        </w:rPr>
      </w:pPr>
    </w:p>
    <w:p>
      <w:pPr>
        <w:ind w:right="3399" w:firstLine="700"/>
        <w:spacing w:after="0" w:line="236" w:lineRule="auto"/>
        <w:rPr>
          <w:sz w:val="20"/>
          <w:szCs w:val="20"/>
          <w:color w:val="auto"/>
        </w:rPr>
      </w:pPr>
      <w:r>
        <w:rPr>
          <w:rFonts w:ascii="Courier New" w:cs="Courier New" w:eastAsia="Courier New" w:hAnsi="Courier New"/>
          <w:sz w:val="15"/>
          <w:szCs w:val="15"/>
          <w:color w:val="auto"/>
        </w:rPr>
        <w:t>We filed a registration statement on Form S-3 to register with the SEC the securities described in this prospectus. This prospectus is part of that registration statement. As permitted by SEC rules, this prospectus does not contain all the information contained in the registration statement or the exhibits to the registration statement. You may refer to the registration statement and accompanying exhibits for more information about us and our securities.</w:t>
      </w:r>
    </w:p>
    <w:p>
      <w:pPr>
        <w:spacing w:after="0" w:line="176"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The SEC allows us to incorporate by reference into this document the information we or other persons have filed, or will file, with the SEC. This means that we can disclose important business, financial and other information to you by referring you to other documents separately filed with the SEC. All information incorporated by reference is part of this document, unless and until that information is updated and superseded by the information contained in this document or any information incorporated later.</w:t>
      </w:r>
    </w:p>
    <w:p>
      <w:pPr>
        <w:spacing w:after="0" w:line="16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We incorporate by reference the documents listed below:</w:t>
      </w:r>
    </w:p>
    <w:p>
      <w:pPr>
        <w:spacing w:after="0" w:line="173" w:lineRule="exact"/>
        <w:rPr>
          <w:sz w:val="20"/>
          <w:szCs w:val="20"/>
          <w:color w:val="auto"/>
        </w:rPr>
      </w:pPr>
    </w:p>
    <w:p>
      <w:pPr>
        <w:ind w:left="980" w:right="3239" w:hanging="271"/>
        <w:spacing w:after="0" w:line="235" w:lineRule="auto"/>
        <w:tabs>
          <w:tab w:leader="none" w:pos="9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current reports on Form 8-K filed on October 18, 2001, as amended on Form 8-K/A filed on November 23, 2001, Form 8-K filed on February 1, 2002, February 6, 2002, March 21, 2002, April 10, 2002, April 23, 2002, May 29, 2002 and June 5, 2002;</w:t>
      </w:r>
    </w:p>
    <w:p>
      <w:pPr>
        <w:spacing w:after="0" w:line="175" w:lineRule="exact"/>
        <w:rPr>
          <w:rFonts w:ascii="Courier New" w:cs="Courier New" w:eastAsia="Courier New" w:hAnsi="Courier New"/>
          <w:sz w:val="15"/>
          <w:szCs w:val="15"/>
          <w:color w:val="auto"/>
        </w:rPr>
      </w:pPr>
    </w:p>
    <w:p>
      <w:pPr>
        <w:ind w:left="980" w:right="3579" w:hanging="271"/>
        <w:spacing w:after="0" w:line="234" w:lineRule="auto"/>
        <w:tabs>
          <w:tab w:leader="none" w:pos="9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annual report on Form 10-K for the fiscal year ended June 30, 2001;</w:t>
      </w:r>
    </w:p>
    <w:p>
      <w:pPr>
        <w:spacing w:after="0" w:line="173" w:lineRule="exact"/>
        <w:rPr>
          <w:rFonts w:ascii="Courier New" w:cs="Courier New" w:eastAsia="Courier New" w:hAnsi="Courier New"/>
          <w:sz w:val="15"/>
          <w:szCs w:val="15"/>
          <w:color w:val="auto"/>
        </w:rPr>
      </w:pPr>
    </w:p>
    <w:p>
      <w:pPr>
        <w:ind w:left="980" w:right="3679" w:hanging="271"/>
        <w:spacing w:after="0" w:line="261" w:lineRule="auto"/>
        <w:tabs>
          <w:tab w:leader="none" w:pos="9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quarterly reports on Form 10-Q for the fiscal quarters ended September 30, 2001, December 31, 2001 and March 31, 2002;</w:t>
      </w:r>
    </w:p>
    <w:p>
      <w:pPr>
        <w:spacing w:after="0" w:line="159" w:lineRule="exact"/>
        <w:rPr>
          <w:rFonts w:ascii="Courier New" w:cs="Courier New" w:eastAsia="Courier New" w:hAnsi="Courier New"/>
          <w:sz w:val="14"/>
          <w:szCs w:val="14"/>
          <w:color w:val="auto"/>
        </w:rPr>
      </w:pPr>
    </w:p>
    <w:p>
      <w:pPr>
        <w:ind w:left="980" w:right="3399" w:hanging="271"/>
        <w:spacing w:after="0" w:line="235" w:lineRule="auto"/>
        <w:tabs>
          <w:tab w:leader="none" w:pos="9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description of our common stock contained in our registration statement on Form 10 filed pursuant to Section 12 of the Securities Exchange Act of 1934 on October 4, 1988 as amended on Form 8 on January 5, 1989 and February 15, 1989;</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617" w:right="1440" w:bottom="1440" w:gutter="0" w:footer="0" w:header="0"/>
        </w:sectPr>
      </w:pPr>
    </w:p>
    <w:bookmarkStart w:id="6" w:name="page7"/>
    <w:bookmarkEnd w:id="6"/>
    <w:p>
      <w:pPr>
        <w:ind w:left="980" w:right="3319" w:hanging="271"/>
        <w:spacing w:after="0" w:line="236" w:lineRule="auto"/>
        <w:tabs>
          <w:tab w:leader="none" w:pos="9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section entitled "Management's Discussion and Analysis of Financial Condition and Results of Operations" and the audited financial statements of E.mergent contained in E.mergent's annual report on E.mergent's Form 10-KSB for the fiscal year ended December 31, 2001; and</w:t>
      </w:r>
    </w:p>
    <w:p>
      <w:pPr>
        <w:spacing w:after="0" w:line="173" w:lineRule="exact"/>
        <w:rPr>
          <w:rFonts w:ascii="Courier New" w:cs="Courier New" w:eastAsia="Courier New" w:hAnsi="Courier New"/>
          <w:sz w:val="15"/>
          <w:szCs w:val="15"/>
          <w:color w:val="auto"/>
        </w:rPr>
      </w:pPr>
    </w:p>
    <w:p>
      <w:pPr>
        <w:ind w:left="980" w:right="3319" w:hanging="271"/>
        <w:spacing w:after="0" w:line="256" w:lineRule="auto"/>
        <w:tabs>
          <w:tab w:leader="none" w:pos="9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section entitled "Management's Discussion and Analysis of Financial Condition and Results of Operations" and the financial statements of E.mergent contained in E.mergent's quarterly report on E.mergent's Form 10-QSB for the fiscal quarter ended March 31, 2002.</w:t>
      </w:r>
    </w:p>
    <w:p>
      <w:pPr>
        <w:spacing w:after="0" w:line="164" w:lineRule="exact"/>
        <w:rPr>
          <w:sz w:val="20"/>
          <w:szCs w:val="20"/>
          <w:color w:val="auto"/>
        </w:rPr>
      </w:pPr>
    </w:p>
    <w:p>
      <w:pPr>
        <w:ind w:right="3759" w:firstLine="700"/>
        <w:spacing w:after="0" w:line="261" w:lineRule="auto"/>
        <w:rPr>
          <w:sz w:val="20"/>
          <w:szCs w:val="20"/>
          <w:color w:val="auto"/>
        </w:rPr>
      </w:pPr>
      <w:r>
        <w:rPr>
          <w:rFonts w:ascii="Courier New" w:cs="Courier New" w:eastAsia="Courier New" w:hAnsi="Courier New"/>
          <w:sz w:val="14"/>
          <w:szCs w:val="14"/>
          <w:color w:val="auto"/>
        </w:rPr>
        <w:t>You may request a copy of these filings, at no cost, by writing or telephoning our Investor Relations Department at the following address:</w:t>
      </w:r>
    </w:p>
    <w:p>
      <w:pPr>
        <w:spacing w:after="0" w:line="15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ClearOne Communications, Inc.</w:t>
      </w:r>
    </w:p>
    <w:p>
      <w:pPr>
        <w:ind w:left="700"/>
        <w:spacing w:after="0" w:line="237" w:lineRule="auto"/>
        <w:rPr>
          <w:sz w:val="20"/>
          <w:szCs w:val="20"/>
          <w:color w:val="auto"/>
        </w:rPr>
      </w:pPr>
      <w:r>
        <w:rPr>
          <w:rFonts w:ascii="Courier New" w:cs="Courier New" w:eastAsia="Courier New" w:hAnsi="Courier New"/>
          <w:sz w:val="15"/>
          <w:szCs w:val="15"/>
          <w:color w:val="auto"/>
        </w:rPr>
        <w:t>1825 Research Way</w:t>
      </w:r>
    </w:p>
    <w:p>
      <w:pPr>
        <w:ind w:left="700"/>
        <w:spacing w:after="0" w:line="238" w:lineRule="auto"/>
        <w:rPr>
          <w:sz w:val="20"/>
          <w:szCs w:val="20"/>
          <w:color w:val="auto"/>
        </w:rPr>
      </w:pPr>
      <w:r>
        <w:rPr>
          <w:rFonts w:ascii="Courier New" w:cs="Courier New" w:eastAsia="Courier New" w:hAnsi="Courier New"/>
          <w:sz w:val="15"/>
          <w:szCs w:val="15"/>
          <w:color w:val="auto"/>
        </w:rPr>
        <w:t>Salt Lake City, Utah 84119</w:t>
      </w:r>
    </w:p>
    <w:p>
      <w:pPr>
        <w:ind w:left="700"/>
        <w:spacing w:after="0" w:line="237" w:lineRule="auto"/>
        <w:rPr>
          <w:sz w:val="20"/>
          <w:szCs w:val="20"/>
          <w:color w:val="auto"/>
        </w:rPr>
      </w:pPr>
      <w:r>
        <w:rPr>
          <w:rFonts w:ascii="Courier New" w:cs="Courier New" w:eastAsia="Courier New" w:hAnsi="Courier New"/>
          <w:sz w:val="15"/>
          <w:szCs w:val="15"/>
          <w:color w:val="auto"/>
        </w:rPr>
        <w:t>Attention: Investor Relations</w:t>
      </w:r>
    </w:p>
    <w:p>
      <w:pPr>
        <w:ind w:left="700"/>
        <w:spacing w:after="0" w:line="238" w:lineRule="auto"/>
        <w:rPr>
          <w:sz w:val="20"/>
          <w:szCs w:val="20"/>
          <w:color w:val="auto"/>
        </w:rPr>
      </w:pPr>
      <w:r>
        <w:rPr>
          <w:rFonts w:ascii="Courier New" w:cs="Courier New" w:eastAsia="Courier New" w:hAnsi="Courier New"/>
          <w:sz w:val="15"/>
          <w:szCs w:val="15"/>
          <w:color w:val="auto"/>
        </w:rPr>
        <w:t>(801) 975-7200</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We also incorporate by reference all future filings we make with the SEC under Sections 13(a), 13(c), 14 or 15(d) of the Securities and Exchange Act of 1934 on or (1) after the date of the filing of the registration statement containing this prospectus and prior to the effectiveness of such registration statement and (2) after the date of this prospectus and prior to the termination of the offering made hereby.</w:t>
      </w:r>
    </w:p>
    <w:p>
      <w:pPr>
        <w:spacing w:after="0" w:line="175"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You should only rely on the information contained or incorporated by reference in this prospectus and any prospectus supplement. We have not authorized any other person to provide you with different information. If anyone provides you with different or inconsistent information you should not rely on it. We are not making an offer to sell these securities in any jurisdiction where the offer and sale is not permitted. You should assume that the information appearing in this prospectus and information incorporated by reference into this prospectus is accurate only as of the date of the documents containing the information. Our business, financial condition, results of operation and prospects may have changed since that date.</w:t>
      </w:r>
    </w:p>
    <w:p>
      <w:pPr>
        <w:spacing w:after="0" w:line="327"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FORWARD-LOOKING STATEMENTS</w:t>
      </w:r>
    </w:p>
    <w:p>
      <w:pPr>
        <w:spacing w:after="0" w:line="341"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Some statements and disclosures in this prospectus, including the documents incorporated by reference, are forward-looking statements. Forward-looking statements include all statements that do not relate solely to historical or current facts and can often be identified by the use of words such as "may," "believe," "will," "expect," "project," "estimate," "anticipate," "plan" or "continue." These forward-looking statements are based on our current plans and expectations and are subject to a number of risks and uncertainties that could significantly cause our plans and expectations, including actual results, to differ materially from the forward-looking statements. The Private Securities Litigation Reform Act of 1995 provides a "safe harbor" for forward-looking statements to encourage companies to provide prospective information about their companies without fear of litigation.</w:t>
      </w:r>
    </w:p>
    <w:p>
      <w:pPr>
        <w:spacing w:after="0" w:line="164"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We wish to take advantage of the "safe harbor" provisions of the Litigation Reform Act in connection with the forward-looking statements included in this prospectus, including the documents incorporated by reference. Investors are cautioned not to unduly rely on such forward-looking statements when evaluating the information presented in these documents. The factors that could cause our actual financial results to differ materially from those projected, forecasted or estimated by us in forward-looking statements are contained in the Forms 8-K, 10-K and 10-Q that we filed and Forms 10-KSB and 10-QSB that E.mergent filed. In addition, they will also be contained in the prospectus supplement.</w:t>
      </w:r>
    </w:p>
    <w:p>
      <w:pPr>
        <w:spacing w:after="0" w:line="200" w:lineRule="exact"/>
        <w:rPr>
          <w:sz w:val="20"/>
          <w:szCs w:val="20"/>
          <w:color w:val="auto"/>
        </w:rPr>
      </w:pP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4" w:right="1440" w:bottom="1440" w:gutter="0" w:footer="0" w:header="0"/>
        </w:sectPr>
      </w:pPr>
    </w:p>
    <w:bookmarkStart w:id="7" w:name="page8"/>
    <w:bookmarkEnd w:id="7"/>
    <w:p>
      <w:pPr>
        <w:ind w:left="2280"/>
        <w:spacing w:after="0"/>
        <w:rPr>
          <w:sz w:val="20"/>
          <w:szCs w:val="20"/>
          <w:color w:val="auto"/>
        </w:rPr>
      </w:pPr>
      <w:r>
        <w:rPr>
          <w:rFonts w:ascii="Courier New" w:cs="Courier New" w:eastAsia="Courier New" w:hAnsi="Courier New"/>
          <w:sz w:val="15"/>
          <w:szCs w:val="15"/>
          <w:color w:val="auto"/>
        </w:rPr>
        <w:t>CLEARONE COMMUNICATIONS, INC.</w:t>
      </w:r>
    </w:p>
    <w:p>
      <w:pPr>
        <w:spacing w:after="0" w:line="341"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We are a provider of multimedia conferencing products and service. Our product offerings include audio and video conferencing systems, peripherals and furniture and our services include a full suite of audio, video and data conferencing services, and business services such as training, field support, help desk and rent-a-tech.</w:t>
      </w:r>
    </w:p>
    <w:p>
      <w:pPr>
        <w:spacing w:after="0" w:line="174" w:lineRule="exact"/>
        <w:rPr>
          <w:sz w:val="20"/>
          <w:szCs w:val="20"/>
          <w:color w:val="auto"/>
        </w:rPr>
      </w:pPr>
    </w:p>
    <w:p>
      <w:pPr>
        <w:ind w:right="3399" w:firstLine="700"/>
        <w:spacing w:after="0" w:line="236" w:lineRule="auto"/>
        <w:rPr>
          <w:sz w:val="20"/>
          <w:szCs w:val="20"/>
          <w:color w:val="auto"/>
        </w:rPr>
      </w:pPr>
      <w:r>
        <w:rPr>
          <w:rFonts w:ascii="Courier New" w:cs="Courier New" w:eastAsia="Courier New" w:hAnsi="Courier New"/>
          <w:sz w:val="15"/>
          <w:szCs w:val="15"/>
          <w:color w:val="auto"/>
        </w:rPr>
        <w:t>Our audio and video conferencing products are installed in conference rooms, courtrooms and distance learning facilities. Our sound reinforcement products target larger venues such as hotels, theaters, convention centers and houses of worship. Our products, together with our full suite of services, provide a solution to our customers who want to bring geographically dispersed people together.</w:t>
      </w:r>
    </w:p>
    <w:p>
      <w:pPr>
        <w:spacing w:after="0" w:line="175" w:lineRule="exact"/>
        <w:rPr>
          <w:sz w:val="20"/>
          <w:szCs w:val="20"/>
          <w:color w:val="auto"/>
        </w:rPr>
      </w:pPr>
    </w:p>
    <w:p>
      <w:pPr>
        <w:ind w:right="3239" w:firstLine="700"/>
        <w:spacing w:after="0" w:line="235" w:lineRule="auto"/>
        <w:rPr>
          <w:sz w:val="20"/>
          <w:szCs w:val="20"/>
          <w:color w:val="auto"/>
        </w:rPr>
      </w:pPr>
      <w:r>
        <w:rPr>
          <w:rFonts w:ascii="Courier New" w:cs="Courier New" w:eastAsia="Courier New" w:hAnsi="Courier New"/>
          <w:sz w:val="15"/>
          <w:szCs w:val="15"/>
          <w:color w:val="auto"/>
        </w:rPr>
        <w:t>Our principal office is located at 1825 Research Way, Salt lake City, UT 84119, our telephone number is (801) 975-7200. We have subsidiaries in Minneapolis, Minnesota; Dublin, Ireland; and Nuremberg, Germany.</w:t>
      </w: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RISK FACTORS</w:t>
      </w:r>
    </w:p>
    <w:p>
      <w:pPr>
        <w:spacing w:after="0" w:line="341"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The securities to be offered may involve a high degree of risk. These risks will be set forth in a prospectus supplement relating to the securities to be offered by that prospectus supplement. You should carefully consider the important factors set forth under the heading "Risk Factors" in the applicable supplement to this prospectus before investing in any securities that may be offered.</w:t>
      </w:r>
    </w:p>
    <w:p>
      <w:pPr>
        <w:spacing w:after="0" w:line="337"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RATIO OF EARNINGS TO FIXED CHARGES</w:t>
      </w:r>
    </w:p>
    <w:p>
      <w:pPr>
        <w:spacing w:after="0" w:line="341" w:lineRule="exact"/>
        <w:rPr>
          <w:sz w:val="20"/>
          <w:szCs w:val="20"/>
          <w:color w:val="auto"/>
        </w:rPr>
      </w:pPr>
    </w:p>
    <w:p>
      <w:pPr>
        <w:jc w:val="both"/>
        <w:ind w:right="3239" w:firstLine="700"/>
        <w:spacing w:after="0" w:line="235" w:lineRule="auto"/>
        <w:rPr>
          <w:sz w:val="20"/>
          <w:szCs w:val="20"/>
          <w:color w:val="auto"/>
        </w:rPr>
      </w:pPr>
      <w:r>
        <w:rPr>
          <w:rFonts w:ascii="Courier New" w:cs="Courier New" w:eastAsia="Courier New" w:hAnsi="Courier New"/>
          <w:sz w:val="15"/>
          <w:szCs w:val="15"/>
          <w:color w:val="auto"/>
        </w:rPr>
        <w:t>Set forth below is information concerning our ratio of earnings to fixed charges. This ratio is provided to assist investors in evaluating our ability to meet the interest requirements of debt securities.</w:t>
      </w:r>
    </w:p>
    <w:p>
      <w:pPr>
        <w:spacing w:after="0" w:line="174" w:lineRule="exact"/>
        <w:rPr>
          <w:sz w:val="20"/>
          <w:szCs w:val="20"/>
          <w:color w:val="auto"/>
        </w:rPr>
      </w:pPr>
    </w:p>
    <w:p>
      <w:pPr>
        <w:ind w:right="3239" w:firstLine="700"/>
        <w:spacing w:after="0" w:line="235" w:lineRule="auto"/>
        <w:rPr>
          <w:sz w:val="20"/>
          <w:szCs w:val="20"/>
          <w:color w:val="auto"/>
        </w:rPr>
      </w:pPr>
      <w:r>
        <w:rPr>
          <w:rFonts w:ascii="Courier New" w:cs="Courier New" w:eastAsia="Courier New" w:hAnsi="Courier New"/>
          <w:sz w:val="15"/>
          <w:szCs w:val="15"/>
          <w:color w:val="auto"/>
        </w:rPr>
        <w:t>For this purpose, earnings consist of pre-tax income from continuing operations plus fixed charges. Fixed charges consist of interest expense and the portion of rental expense we deemed representative of an appropriate interest factor.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20" w:type="dxa"/>
            <w:vAlign w:val="bottom"/>
          </w:tcPr>
          <w:p>
            <w:pPr>
              <w:spacing w:after="0"/>
              <w:rPr>
                <w:sz w:val="14"/>
                <w:szCs w:val="14"/>
                <w:color w:val="auto"/>
              </w:rPr>
            </w:pPr>
          </w:p>
        </w:tc>
        <w:tc>
          <w:tcPr>
            <w:tcW w:w="1960" w:type="dxa"/>
            <w:vAlign w:val="bottom"/>
          </w:tcPr>
          <w:p>
            <w:pPr>
              <w:ind w:left="560"/>
              <w:spacing w:after="0"/>
              <w:rPr>
                <w:sz w:val="20"/>
                <w:szCs w:val="20"/>
                <w:color w:val="auto"/>
              </w:rPr>
            </w:pPr>
            <w:r>
              <w:rPr>
                <w:rFonts w:ascii="Courier New" w:cs="Courier New" w:eastAsia="Courier New" w:hAnsi="Courier New"/>
                <w:sz w:val="15"/>
                <w:szCs w:val="15"/>
                <w:color w:val="auto"/>
              </w:rPr>
              <w:t>Nine Months</w:t>
            </w:r>
          </w:p>
        </w:tc>
        <w:tc>
          <w:tcPr>
            <w:tcW w:w="620" w:type="dxa"/>
            <w:vAlign w:val="bottom"/>
          </w:tcPr>
          <w:p>
            <w:pPr>
              <w:spacing w:after="0"/>
              <w:rPr>
                <w:sz w:val="14"/>
                <w:szCs w:val="14"/>
                <w:color w:val="auto"/>
              </w:rPr>
            </w:pPr>
          </w:p>
        </w:tc>
        <w:tc>
          <w:tcPr>
            <w:tcW w:w="1880" w:type="dxa"/>
            <w:vAlign w:val="bottom"/>
            <w:gridSpan w:val="3"/>
          </w:tcPr>
          <w:p>
            <w:pPr>
              <w:jc w:val="right"/>
              <w:ind w:right="67"/>
              <w:spacing w:after="0"/>
              <w:rPr>
                <w:sz w:val="20"/>
                <w:szCs w:val="20"/>
                <w:color w:val="auto"/>
              </w:rPr>
            </w:pPr>
            <w:r>
              <w:rPr>
                <w:rFonts w:ascii="Courier New" w:cs="Courier New" w:eastAsia="Courier New" w:hAnsi="Courier New"/>
                <w:sz w:val="15"/>
                <w:szCs w:val="15"/>
                <w:color w:val="auto"/>
              </w:rPr>
              <w:t>Year Ended June 30,</w:t>
            </w:r>
          </w:p>
        </w:tc>
        <w:tc>
          <w:tcPr>
            <w:tcW w:w="480" w:type="dxa"/>
            <w:vAlign w:val="bottom"/>
          </w:tcPr>
          <w:p>
            <w:pPr>
              <w:spacing w:after="0"/>
              <w:rPr>
                <w:sz w:val="14"/>
                <w:szCs w:val="14"/>
                <w:color w:val="auto"/>
              </w:rPr>
            </w:pPr>
          </w:p>
        </w:tc>
      </w:tr>
      <w:tr>
        <w:trPr>
          <w:trHeight w:val="168"/>
        </w:trPr>
        <w:tc>
          <w:tcPr>
            <w:tcW w:w="3120" w:type="dxa"/>
            <w:vAlign w:val="bottom"/>
          </w:tcPr>
          <w:p>
            <w:pPr>
              <w:spacing w:after="0"/>
              <w:rPr>
                <w:sz w:val="14"/>
                <w:szCs w:val="14"/>
                <w:color w:val="auto"/>
              </w:rPr>
            </w:pPr>
          </w:p>
        </w:tc>
        <w:tc>
          <w:tcPr>
            <w:tcW w:w="19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Ended March 31, 2002</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2001</w:t>
            </w:r>
          </w:p>
        </w:tc>
        <w:tc>
          <w:tcPr>
            <w:tcW w:w="7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2000</w:t>
            </w:r>
          </w:p>
        </w:tc>
        <w:tc>
          <w:tcPr>
            <w:tcW w:w="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1999</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1998</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3120" w:type="dxa"/>
            <w:vAlign w:val="bottom"/>
          </w:tcPr>
          <w:p>
            <w:pPr>
              <w:spacing w:after="0"/>
              <w:rPr>
                <w:sz w:val="14"/>
                <w:szCs w:val="14"/>
                <w:color w:val="auto"/>
              </w:rPr>
            </w:pPr>
          </w:p>
        </w:tc>
        <w:tc>
          <w:tcPr>
            <w:tcW w:w="19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120" w:type="dxa"/>
            <w:vAlign w:val="bottom"/>
          </w:tcPr>
          <w:p>
            <w:pPr>
              <w:spacing w:after="0"/>
              <w:rPr>
                <w:sz w:val="20"/>
                <w:szCs w:val="20"/>
                <w:color w:val="auto"/>
              </w:rPr>
            </w:pPr>
            <w:r>
              <w:rPr>
                <w:rFonts w:ascii="Courier New" w:cs="Courier New" w:eastAsia="Courier New" w:hAnsi="Courier New"/>
                <w:sz w:val="15"/>
                <w:szCs w:val="15"/>
                <w:color w:val="auto"/>
              </w:rPr>
              <w:t>Ratio of earnings to fixed charges</w:t>
            </w:r>
          </w:p>
        </w:tc>
        <w:tc>
          <w:tcPr>
            <w:tcW w:w="1960" w:type="dxa"/>
            <w:vAlign w:val="bottom"/>
          </w:tcPr>
          <w:p>
            <w:pPr>
              <w:ind w:left="740"/>
              <w:spacing w:after="0"/>
              <w:rPr>
                <w:sz w:val="20"/>
                <w:szCs w:val="20"/>
                <w:color w:val="auto"/>
              </w:rPr>
            </w:pPr>
            <w:r>
              <w:rPr>
                <w:rFonts w:ascii="Courier New" w:cs="Courier New" w:eastAsia="Courier New" w:hAnsi="Courier New"/>
                <w:sz w:val="15"/>
                <w:szCs w:val="15"/>
                <w:color w:val="auto"/>
              </w:rPr>
              <w:t>31.4x</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25.7x</w:t>
            </w:r>
          </w:p>
        </w:tc>
        <w:tc>
          <w:tcPr>
            <w:tcW w:w="700" w:type="dxa"/>
            <w:vAlign w:val="bottom"/>
          </w:tcPr>
          <w:p>
            <w:pPr>
              <w:ind w:left="160"/>
              <w:spacing w:after="0"/>
              <w:rPr>
                <w:sz w:val="20"/>
                <w:szCs w:val="20"/>
                <w:color w:val="auto"/>
              </w:rPr>
            </w:pPr>
            <w:r>
              <w:rPr>
                <w:rFonts w:ascii="Courier New" w:cs="Courier New" w:eastAsia="Courier New" w:hAnsi="Courier New"/>
                <w:sz w:val="15"/>
                <w:szCs w:val="15"/>
                <w:color w:val="auto"/>
              </w:rPr>
              <w:t>26.4x</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11.7x</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4.1x</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700" w:right="3239" w:hanging="690"/>
        <w:spacing w:after="0" w:line="234" w:lineRule="auto"/>
        <w:tabs>
          <w:tab w:leader="none" w:pos="7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for the year ended June 30, 1997 were inadequate to cover fixed charges by $201,000.</w:t>
      </w:r>
    </w:p>
    <w:p>
      <w:pPr>
        <w:spacing w:after="0" w:line="200" w:lineRule="exact"/>
        <w:rPr>
          <w:sz w:val="20"/>
          <w:szCs w:val="20"/>
          <w:color w:val="auto"/>
        </w:rPr>
      </w:pPr>
    </w:p>
    <w:p>
      <w:pPr>
        <w:spacing w:after="0" w:line="303"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USE OF PROCEEDS</w:t>
      </w:r>
    </w:p>
    <w:p>
      <w:pPr>
        <w:spacing w:after="0" w:line="341" w:lineRule="exact"/>
        <w:rPr>
          <w:sz w:val="20"/>
          <w:szCs w:val="20"/>
          <w:color w:val="auto"/>
        </w:rPr>
      </w:pPr>
    </w:p>
    <w:p>
      <w:pPr>
        <w:ind w:right="3399" w:firstLine="700"/>
        <w:spacing w:after="0" w:line="236" w:lineRule="auto"/>
        <w:rPr>
          <w:sz w:val="20"/>
          <w:szCs w:val="20"/>
          <w:color w:val="auto"/>
        </w:rPr>
      </w:pPr>
      <w:r>
        <w:rPr>
          <w:rFonts w:ascii="Courier New" w:cs="Courier New" w:eastAsia="Courier New" w:hAnsi="Courier New"/>
          <w:sz w:val="15"/>
          <w:szCs w:val="15"/>
          <w:color w:val="auto"/>
        </w:rPr>
        <w:t>Unless indicated otherwise in the applicable prospectus supplement, we expect to use the net proceeds from the sale of our securities for general corporate purposes, including, but not limited to, acquisitions, repayment or refinancing of borrowings, working capital or capital expenditures. Additional information on the use of net proceeds from the sale of securities offered by this prospectus may be set forth in the prospectus supplement relating to such offering.</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17" w:right="1440" w:bottom="1440" w:gutter="0" w:footer="0" w:header="0"/>
        </w:sectPr>
      </w:pPr>
    </w:p>
    <w:bookmarkStart w:id="8" w:name="page9"/>
    <w:bookmarkEnd w:id="8"/>
    <w:p>
      <w:pPr>
        <w:jc w:val="center"/>
        <w:ind w:right="3239"/>
        <w:spacing w:after="0"/>
        <w:rPr>
          <w:sz w:val="20"/>
          <w:szCs w:val="20"/>
          <w:color w:val="auto"/>
        </w:rPr>
      </w:pPr>
      <w:r>
        <w:rPr>
          <w:rFonts w:ascii="Courier New" w:cs="Courier New" w:eastAsia="Courier New" w:hAnsi="Courier New"/>
          <w:sz w:val="15"/>
          <w:szCs w:val="15"/>
          <w:color w:val="auto"/>
        </w:rPr>
        <w:t>UNAUDITED PRO FORMA CONDENSED COMBINED FINANCIAL INFORMATION</w:t>
      </w:r>
    </w:p>
    <w:p>
      <w:pPr>
        <w:spacing w:after="0" w:line="173"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The following unaudited pro forma condensed combined financial information gives effect to the acquisitions of Ivron Systems, Ltd. and E.mergent by ClearOne and the December 2001 private placement of ClearOne common stock. Effective October 3, 2001, ClearOne, through a wholly owned subsidiary, acquired the shares of Ivron Systems for a combination of cash and stock. An amendment to the share purchase agreement dated October 3, 2001 was finalized April 8, 2002. Because the terms of the amendment had been negotiated as of March 31, 2002, the effects of such amendment were included in ClearOne's financial statements as of March 31, 2002. Effective December 11, 2001, ClearOne issued 1,500,000 shares of common stock under a private placement that was subsequently registered on Form S-3 with the SEC. The only impact of this stock offering on the pro forma statements of operations is the inclusion of 1,500,000 shares in the calculation of the weighted average shares outstanding. On January 21, 2002, ClearOne entered into a definitive agreement to acquire the stock of E.mergent for a combination of cash and stock. The E.mergent acquisition was completed on May 31, 2002. Both the Ivron Systems and E.mergent acquisitions have been accounted for under the purchase method of accounting. The unaudited pro forma condensed combined statements of operations for the year ended June 30, 2001 and the nine months ended March 31, 2002 have been prepared as if each transaction occurred on July 1, 2000. The pro forma condensed combined balance sheet as of March 31, 2002 has been prepared as if the E.mergent acquisition occurred on March 31, 2002. Because the financial results of Ivron Systems and the private placement are included in ClearOne's historical financial statements as of March 31, 2002, no adjustments have been made to the pro forma balance sheet related to these transactions. Please see the notes to these pro forma combined condensed statements regarding certain assumptions utilized in the preparation of these statements.</w:t>
      </w:r>
    </w:p>
    <w:p>
      <w:pPr>
        <w:spacing w:after="0" w:line="345"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ClearOne's fiscal year ends on June 30 while the fiscal years of Ivron Systems and E.mergent historically ended on December 31. Accordingly, ClearOne has combined its historical results from continuing operations for the year ended June 30, 2001 with the unaudited financial results of Ivron Systems and E.mergent for the twelve months ended June 30, 2001, comprising the last six months of operations of Ivron Systems and E.mergent for the year ended December 31, 2000 and the first six months of operations of Ivron Systems and E.mergent for the year ended December 31, 2001. The unaudited pro forma condensed combined statement of operations presented for the nine months ended March 31, 2002 includes the historical unaudited financial results from continuing operations of ClearOne and E.mergent for the nine months ended March 31, 2002. The historical unaudited financial results from continuing operations of Ivron Systems are included from July 1, 2000 to October 2, 2001, with the results from October 3, 2001 to March 31, 2002 already consolidated in ClearOne's operating results.</w:t>
      </w:r>
    </w:p>
    <w:p>
      <w:pPr>
        <w:spacing w:after="0" w:line="174" w:lineRule="exact"/>
        <w:rPr>
          <w:sz w:val="20"/>
          <w:szCs w:val="20"/>
          <w:color w:val="auto"/>
        </w:rPr>
      </w:pPr>
    </w:p>
    <w:p>
      <w:pPr>
        <w:ind w:right="3399" w:firstLine="787"/>
        <w:spacing w:after="0" w:line="237" w:lineRule="auto"/>
        <w:rPr>
          <w:sz w:val="20"/>
          <w:szCs w:val="20"/>
          <w:color w:val="auto"/>
        </w:rPr>
      </w:pPr>
      <w:r>
        <w:rPr>
          <w:rFonts w:ascii="Courier New" w:cs="Courier New" w:eastAsia="Courier New" w:hAnsi="Courier New"/>
          <w:sz w:val="15"/>
          <w:szCs w:val="15"/>
          <w:color w:val="auto"/>
        </w:rPr>
        <w:t>Unaudited pro forma condensed combined financial information is presented for illustrative purposes only and is not necessarily indicative of the financial position or results of operations that would have actually been reported had the transactions occurred on the dates indicated above, nor is it necessarily indicative of future financial position or results of operations. These unaudited pro forma condensed combined financial statements are based on the respective historical financial statements of ClearOne, Ivron Systems and E.mergent and do not incorporate, nor do they assume, any benefits from cost savings or synergies of operations of the combined company. The unaudited pro forma condensed combined financial information should be read together with ClearOne's historical financial statements and those of Ivron Systems and E.mergent, including the related notes, and "Management's Discussion and Analysis of Financial Condition and Results of Operations" of ClearOne and E.mergent, all of which are incorporated by reference into this registration statement.</w:t>
      </w:r>
    </w:p>
    <w:p>
      <w:pPr>
        <w:spacing w:after="0" w:line="17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Pro forma results of operations include adjustments, which are based upon management's preliminary estimates, to reflect the allocation of the purchase consideration to the acquired assets and liabilities of E.mergent. The final allocation of the purchase consideration will be determined upon completion of a comprehensive final analysis of the fair value of E.mergent's tangible assets, liabilities and identifiable intangible assets. Accordingly, while ClearOne does not anticipate that the final valuation and related intangible asset allocation will differ significantly from the preliminary valuation, the final determination of tangible and intangible assets may result in depreciation and amortization expense that is higher than the preliminary estimates of these amounts.</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17" w:right="1440" w:bottom="1440" w:gutter="0" w:footer="0" w:header="0"/>
        </w:sectPr>
      </w:pPr>
    </w:p>
    <w:bookmarkStart w:id="9" w:name="page10"/>
    <w:bookmarkEnd w:id="9"/>
    <w:p>
      <w:pPr>
        <w:jc w:val="center"/>
        <w:ind w:right="3139"/>
        <w:spacing w:after="0"/>
        <w:rPr>
          <w:sz w:val="20"/>
          <w:szCs w:val="20"/>
          <w:color w:val="auto"/>
        </w:rPr>
      </w:pPr>
      <w:r>
        <w:rPr>
          <w:rFonts w:ascii="Courier New" w:cs="Courier New" w:eastAsia="Courier New" w:hAnsi="Courier New"/>
          <w:sz w:val="15"/>
          <w:szCs w:val="15"/>
          <w:color w:val="auto"/>
        </w:rPr>
        <w:t>Unaudited Pro Forma Financial Information</w:t>
      </w:r>
    </w:p>
    <w:p>
      <w:pPr>
        <w:jc w:val="center"/>
        <w:ind w:right="3139"/>
        <w:spacing w:after="0" w:line="237" w:lineRule="auto"/>
        <w:rPr>
          <w:sz w:val="20"/>
          <w:szCs w:val="20"/>
          <w:color w:val="auto"/>
        </w:rPr>
      </w:pPr>
      <w:r>
        <w:rPr>
          <w:rFonts w:ascii="Courier New" w:cs="Courier New" w:eastAsia="Courier New" w:hAnsi="Courier New"/>
          <w:sz w:val="15"/>
          <w:szCs w:val="15"/>
          <w:color w:val="auto"/>
        </w:rPr>
        <w:t>Pro Forma Condensed Combined Balance Sheets</w:t>
      </w:r>
    </w:p>
    <w:p>
      <w:pPr>
        <w:jc w:val="center"/>
        <w:ind w:right="3219"/>
        <w:spacing w:after="0" w:line="238" w:lineRule="auto"/>
        <w:rPr>
          <w:sz w:val="20"/>
          <w:szCs w:val="20"/>
          <w:color w:val="auto"/>
        </w:rPr>
      </w:pPr>
      <w:r>
        <w:rPr>
          <w:rFonts w:ascii="Courier New" w:cs="Courier New" w:eastAsia="Courier New" w:hAnsi="Courier New"/>
          <w:sz w:val="15"/>
          <w:szCs w:val="15"/>
          <w:color w:val="auto"/>
        </w:rPr>
        <w:t>As of March 31, 2002</w:t>
      </w:r>
    </w:p>
    <w:p>
      <w:pPr>
        <w:jc w:val="center"/>
        <w:ind w:right="3219"/>
        <w:spacing w:after="0" w:line="237" w:lineRule="auto"/>
        <w:rPr>
          <w:sz w:val="20"/>
          <w:szCs w:val="20"/>
          <w:color w:val="auto"/>
        </w:rPr>
      </w:pPr>
      <w:r>
        <w:rPr>
          <w:rFonts w:ascii="Courier New" w:cs="Courier New" w:eastAsia="Courier New" w:hAnsi="Courier New"/>
          <w:sz w:val="15"/>
          <w:szCs w:val="15"/>
          <w:color w:val="auto"/>
        </w:rPr>
        <w:t>(in 000's)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center"/>
              <w:ind w:right="307"/>
              <w:spacing w:after="0"/>
              <w:rPr>
                <w:sz w:val="20"/>
                <w:szCs w:val="20"/>
                <w:color w:val="auto"/>
              </w:rPr>
            </w:pPr>
            <w:r>
              <w:rPr>
                <w:rFonts w:ascii="Courier New" w:cs="Courier New" w:eastAsia="Courier New" w:hAnsi="Courier New"/>
                <w:sz w:val="15"/>
                <w:szCs w:val="15"/>
                <w:color w:val="auto"/>
                <w:w w:val="98"/>
              </w:rPr>
              <w:t>Pro Forma</w:t>
            </w:r>
          </w:p>
        </w:tc>
        <w:tc>
          <w:tcPr>
            <w:tcW w:w="3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3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Adjustments</w:t>
            </w:r>
          </w:p>
        </w:tc>
        <w:tc>
          <w:tcPr>
            <w:tcW w:w="320" w:type="dxa"/>
            <w:vAlign w:val="bottom"/>
          </w:tcPr>
          <w:p>
            <w:pPr>
              <w:spacing w:after="0"/>
              <w:rPr>
                <w:sz w:val="14"/>
                <w:szCs w:val="14"/>
                <w:color w:val="auto"/>
              </w:rPr>
            </w:pPr>
          </w:p>
        </w:tc>
        <w:tc>
          <w:tcPr>
            <w:tcW w:w="156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Pro Forma</w:t>
            </w:r>
          </w:p>
        </w:tc>
      </w:tr>
      <w:tr>
        <w:trPr>
          <w:trHeight w:val="168"/>
        </w:trPr>
        <w:tc>
          <w:tcPr>
            <w:tcW w:w="3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6"/>
              </w:rPr>
              <w:t>for</w:t>
            </w:r>
          </w:p>
        </w:tc>
        <w:tc>
          <w:tcPr>
            <w:tcW w:w="320" w:type="dxa"/>
            <w:vAlign w:val="bottom"/>
          </w:tcPr>
          <w:p>
            <w:pPr>
              <w:spacing w:after="0"/>
              <w:rPr>
                <w:sz w:val="14"/>
                <w:szCs w:val="14"/>
                <w:color w:val="auto"/>
              </w:rPr>
            </w:pPr>
          </w:p>
        </w:tc>
        <w:tc>
          <w:tcPr>
            <w:tcW w:w="1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Combined for</w:t>
            </w:r>
          </w:p>
        </w:tc>
      </w:tr>
      <w:tr>
        <w:trPr>
          <w:trHeight w:val="168"/>
        </w:trPr>
        <w:tc>
          <w:tcPr>
            <w:tcW w:w="3940" w:type="dxa"/>
            <w:vAlign w:val="bottom"/>
          </w:tcPr>
          <w:p>
            <w:pPr>
              <w:spacing w:after="0"/>
              <w:rPr>
                <w:sz w:val="14"/>
                <w:szCs w:val="14"/>
                <w:color w:val="auto"/>
              </w:rPr>
            </w:pP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ClearOne</w:t>
            </w:r>
          </w:p>
        </w:tc>
        <w:tc>
          <w:tcPr>
            <w:tcW w:w="14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E.mergent</w:t>
            </w:r>
          </w:p>
        </w:tc>
        <w:tc>
          <w:tcPr>
            <w:tcW w:w="260" w:type="dxa"/>
            <w:vAlign w:val="bottom"/>
          </w:tcPr>
          <w:p>
            <w:pPr>
              <w:spacing w:after="0"/>
              <w:rPr>
                <w:sz w:val="14"/>
                <w:szCs w:val="14"/>
                <w:color w:val="auto"/>
              </w:rPr>
            </w:pPr>
          </w:p>
        </w:tc>
        <w:tc>
          <w:tcPr>
            <w:tcW w:w="1180" w:type="dxa"/>
            <w:vAlign w:val="bottom"/>
          </w:tcPr>
          <w:p>
            <w:pPr>
              <w:jc w:val="center"/>
              <w:ind w:right="307"/>
              <w:spacing w:after="0" w:line="168" w:lineRule="exact"/>
              <w:rPr>
                <w:sz w:val="20"/>
                <w:szCs w:val="20"/>
                <w:color w:val="auto"/>
              </w:rPr>
            </w:pPr>
            <w:r>
              <w:rPr>
                <w:rFonts w:ascii="Courier New" w:cs="Courier New" w:eastAsia="Courier New" w:hAnsi="Courier New"/>
                <w:sz w:val="15"/>
                <w:szCs w:val="15"/>
                <w:color w:val="auto"/>
                <w:w w:val="98"/>
              </w:rPr>
              <w:t>E.mergent</w:t>
            </w:r>
          </w:p>
        </w:tc>
        <w:tc>
          <w:tcPr>
            <w:tcW w:w="320" w:type="dxa"/>
            <w:vAlign w:val="bottom"/>
          </w:tcPr>
          <w:p>
            <w:pPr>
              <w:spacing w:after="0"/>
              <w:rPr>
                <w:sz w:val="14"/>
                <w:szCs w:val="14"/>
                <w:color w:val="auto"/>
              </w:rPr>
            </w:pPr>
          </w:p>
        </w:tc>
        <w:tc>
          <w:tcPr>
            <w:tcW w:w="156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E.mergent</w:t>
            </w:r>
          </w:p>
        </w:tc>
      </w:tr>
      <w:tr>
        <w:trPr>
          <w:trHeight w:val="168"/>
        </w:trPr>
        <w:tc>
          <w:tcPr>
            <w:tcW w:w="394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(Historical)</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(Historical)</w:t>
            </w:r>
          </w:p>
        </w:tc>
        <w:tc>
          <w:tcPr>
            <w:tcW w:w="14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Acquisition</w:t>
            </w:r>
          </w:p>
        </w:tc>
        <w:tc>
          <w:tcPr>
            <w:tcW w:w="320" w:type="dxa"/>
            <w:vAlign w:val="bottom"/>
          </w:tcPr>
          <w:p>
            <w:pPr>
              <w:spacing w:after="0"/>
              <w:rPr>
                <w:sz w:val="14"/>
                <w:szCs w:val="14"/>
                <w:color w:val="auto"/>
              </w:rPr>
            </w:pPr>
          </w:p>
        </w:tc>
        <w:tc>
          <w:tcPr>
            <w:tcW w:w="156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Acquisition</w:t>
            </w:r>
          </w:p>
        </w:tc>
      </w:tr>
      <w:tr>
        <w:trPr>
          <w:trHeight w:val="168"/>
        </w:trPr>
        <w:tc>
          <w:tcPr>
            <w:tcW w:w="3940" w:type="dxa"/>
            <w:vAlign w:val="bottom"/>
          </w:tcPr>
          <w:p>
            <w:pPr>
              <w:spacing w:after="0"/>
              <w:rPr>
                <w:sz w:val="14"/>
                <w:szCs w:val="14"/>
                <w:color w:val="auto"/>
              </w:rPr>
            </w:pPr>
          </w:p>
        </w:tc>
        <w:tc>
          <w:tcPr>
            <w:tcW w:w="13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w:t>
            </w:r>
          </w:p>
        </w:tc>
        <w:tc>
          <w:tcPr>
            <w:tcW w:w="4500" w:type="dxa"/>
            <w:vAlign w:val="bottom"/>
            <w:gridSpan w:val="6"/>
          </w:tcPr>
          <w:p>
            <w:pPr>
              <w:ind w:left="40"/>
              <w:spacing w:after="0" w:line="168" w:lineRule="exact"/>
              <w:rPr>
                <w:sz w:val="20"/>
                <w:szCs w:val="20"/>
                <w:color w:val="auto"/>
              </w:rPr>
            </w:pPr>
            <w:r>
              <w:rPr>
                <w:rFonts w:ascii="Courier New" w:cs="Courier New" w:eastAsia="Courier New" w:hAnsi="Courier New"/>
                <w:sz w:val="15"/>
                <w:szCs w:val="15"/>
                <w:color w:val="auto"/>
                <w:w w:val="96"/>
              </w:rPr>
              <w:t>------------- -------------- ---- -----------------</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$ 23,168</w:t>
            </w:r>
          </w:p>
        </w:tc>
        <w:tc>
          <w:tcPr>
            <w:tcW w:w="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1,505</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(9,382)</w:t>
            </w:r>
          </w:p>
        </w:tc>
        <w:tc>
          <w:tcPr>
            <w:tcW w:w="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$ 15,291</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receivable, net</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14,025</w:t>
            </w:r>
          </w:p>
        </w:tc>
        <w:tc>
          <w:tcPr>
            <w:tcW w:w="14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3,144</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17,169</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Note receivable - current portion</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167</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167</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Inventory</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5,792</w:t>
            </w:r>
          </w:p>
        </w:tc>
        <w:tc>
          <w:tcPr>
            <w:tcW w:w="14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3,605</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9,397</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taxes</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247</w:t>
            </w:r>
          </w:p>
        </w:tc>
        <w:tc>
          <w:tcPr>
            <w:tcW w:w="14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425</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672</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420</w:t>
            </w:r>
          </w:p>
        </w:tc>
        <w:tc>
          <w:tcPr>
            <w:tcW w:w="14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160</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580</w:t>
            </w:r>
          </w:p>
        </w:tc>
      </w:tr>
      <w:tr>
        <w:trPr>
          <w:trHeight w:val="168"/>
        </w:trPr>
        <w:tc>
          <w:tcPr>
            <w:tcW w:w="3940" w:type="dxa"/>
            <w:vAlign w:val="bottom"/>
          </w:tcPr>
          <w:p>
            <w:pPr>
              <w:spacing w:after="0"/>
              <w:rPr>
                <w:sz w:val="14"/>
                <w:szCs w:val="14"/>
                <w:color w:val="auto"/>
              </w:rPr>
            </w:pPr>
          </w:p>
        </w:tc>
        <w:tc>
          <w:tcPr>
            <w:tcW w:w="13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5"/>
              </w:rPr>
              <w:t>-------------</w:t>
            </w:r>
          </w:p>
        </w:tc>
        <w:tc>
          <w:tcPr>
            <w:tcW w:w="14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43,819</w:t>
            </w:r>
          </w:p>
        </w:tc>
        <w:tc>
          <w:tcPr>
            <w:tcW w:w="14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8,839</w:t>
            </w:r>
          </w:p>
        </w:tc>
        <w:tc>
          <w:tcPr>
            <w:tcW w:w="26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(9,382)</w:t>
            </w:r>
          </w:p>
        </w:tc>
        <w:tc>
          <w:tcPr>
            <w:tcW w:w="320" w:type="dxa"/>
            <w:vAlign w:val="bottom"/>
          </w:tcPr>
          <w:p>
            <w:pPr>
              <w:spacing w:after="0"/>
              <w:rPr>
                <w:sz w:val="14"/>
                <w:szCs w:val="14"/>
                <w:color w:val="auto"/>
              </w:rPr>
            </w:pP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43,276</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3,993</w:t>
            </w:r>
          </w:p>
        </w:tc>
        <w:tc>
          <w:tcPr>
            <w:tcW w:w="140" w:type="dxa"/>
            <w:vAlign w:val="bottom"/>
          </w:tcPr>
          <w:p>
            <w:pPr>
              <w:spacing w:after="0"/>
              <w:rPr>
                <w:sz w:val="24"/>
                <w:szCs w:val="24"/>
                <w:color w:val="auto"/>
              </w:rPr>
            </w:pP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443</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4,436</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 net</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2,898</w:t>
            </w:r>
          </w:p>
        </w:tc>
        <w:tc>
          <w:tcPr>
            <w:tcW w:w="14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999</w:t>
            </w:r>
          </w:p>
        </w:tc>
        <w:tc>
          <w:tcPr>
            <w:tcW w:w="26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(999)</w:t>
            </w:r>
          </w:p>
        </w:tc>
        <w:tc>
          <w:tcPr>
            <w:tcW w:w="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w:t>
            </w:r>
          </w:p>
        </w:tc>
        <w:tc>
          <w:tcPr>
            <w:tcW w:w="1560" w:type="dxa"/>
            <w:vAlign w:val="bottom"/>
          </w:tcPr>
          <w:p>
            <w:pPr>
              <w:spacing w:after="0"/>
              <w:rPr>
                <w:sz w:val="14"/>
                <w:szCs w:val="14"/>
                <w:color w:val="auto"/>
              </w:rPr>
            </w:pPr>
          </w:p>
        </w:tc>
      </w:tr>
      <w:tr>
        <w:trPr>
          <w:trHeight w:val="168"/>
        </w:trPr>
        <w:tc>
          <w:tcPr>
            <w:tcW w:w="3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18,024</w:t>
            </w:r>
          </w:p>
        </w:tc>
        <w:tc>
          <w:tcPr>
            <w:tcW w:w="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E</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20,922</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Note receivable, long-term portion</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1,549</w:t>
            </w:r>
          </w:p>
        </w:tc>
        <w:tc>
          <w:tcPr>
            <w:tcW w:w="14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33</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1,582</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intangible assets, net</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5,517</w:t>
            </w:r>
          </w:p>
        </w:tc>
        <w:tc>
          <w:tcPr>
            <w:tcW w:w="14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669</w:t>
            </w:r>
          </w:p>
        </w:tc>
        <w:tc>
          <w:tcPr>
            <w:tcW w:w="26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(669)</w:t>
            </w:r>
          </w:p>
        </w:tc>
        <w:tc>
          <w:tcPr>
            <w:tcW w:w="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5,517</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Deposits and other assets</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73</w:t>
            </w:r>
          </w:p>
        </w:tc>
        <w:tc>
          <w:tcPr>
            <w:tcW w:w="14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225</w:t>
            </w:r>
          </w:p>
        </w:tc>
        <w:tc>
          <w:tcPr>
            <w:tcW w:w="26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(150)</w:t>
            </w:r>
          </w:p>
        </w:tc>
        <w:tc>
          <w:tcPr>
            <w:tcW w:w="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F</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148</w:t>
            </w:r>
          </w:p>
        </w:tc>
      </w:tr>
      <w:tr>
        <w:trPr>
          <w:trHeight w:val="168"/>
        </w:trPr>
        <w:tc>
          <w:tcPr>
            <w:tcW w:w="3940" w:type="dxa"/>
            <w:vAlign w:val="bottom"/>
          </w:tcPr>
          <w:p>
            <w:pPr>
              <w:spacing w:after="0"/>
              <w:rPr>
                <w:sz w:val="14"/>
                <w:szCs w:val="14"/>
                <w:color w:val="auto"/>
              </w:rPr>
            </w:pPr>
          </w:p>
        </w:tc>
        <w:tc>
          <w:tcPr>
            <w:tcW w:w="13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5"/>
              </w:rPr>
              <w:t>-------------</w:t>
            </w:r>
          </w:p>
        </w:tc>
        <w:tc>
          <w:tcPr>
            <w:tcW w:w="14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$ 57,849</w:t>
            </w:r>
          </w:p>
        </w:tc>
        <w:tc>
          <w:tcPr>
            <w:tcW w:w="11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$ 11,208</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6,824</w:t>
            </w:r>
          </w:p>
        </w:tc>
        <w:tc>
          <w:tcPr>
            <w:tcW w:w="320" w:type="dxa"/>
            <w:vAlign w:val="bottom"/>
          </w:tcPr>
          <w:p>
            <w:pPr>
              <w:spacing w:after="0"/>
              <w:rPr>
                <w:sz w:val="14"/>
                <w:szCs w:val="14"/>
                <w:color w:val="auto"/>
              </w:rPr>
            </w:pP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$ 75,881</w:t>
            </w:r>
          </w:p>
        </w:tc>
      </w:tr>
      <w:tr>
        <w:trPr>
          <w:trHeight w:val="168"/>
        </w:trPr>
        <w:tc>
          <w:tcPr>
            <w:tcW w:w="3940" w:type="dxa"/>
            <w:vAlign w:val="bottom"/>
          </w:tcPr>
          <w:p>
            <w:pPr>
              <w:spacing w:after="0"/>
              <w:rPr>
                <w:sz w:val="14"/>
                <w:szCs w:val="14"/>
                <w:color w:val="auto"/>
              </w:rPr>
            </w:pPr>
          </w:p>
        </w:tc>
        <w:tc>
          <w:tcPr>
            <w:tcW w:w="13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w:t>
            </w:r>
          </w:p>
        </w:tc>
        <w:tc>
          <w:tcPr>
            <w:tcW w:w="262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 ==============</w:t>
            </w:r>
          </w:p>
        </w:tc>
        <w:tc>
          <w:tcPr>
            <w:tcW w:w="320" w:type="dxa"/>
            <w:vAlign w:val="bottom"/>
          </w:tcPr>
          <w:p>
            <w:pPr>
              <w:spacing w:after="0"/>
              <w:rPr>
                <w:sz w:val="14"/>
                <w:szCs w:val="14"/>
                <w:color w:val="auto"/>
              </w:rPr>
            </w:pPr>
          </w:p>
        </w:tc>
        <w:tc>
          <w:tcPr>
            <w:tcW w:w="1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payable</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1,579</w:t>
            </w:r>
          </w:p>
        </w:tc>
        <w:tc>
          <w:tcPr>
            <w:tcW w:w="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1,548</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3,127</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expenses</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1,791</w:t>
            </w:r>
          </w:p>
        </w:tc>
        <w:tc>
          <w:tcPr>
            <w:tcW w:w="14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473</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2,264</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portion of unearned maintenance</w:t>
            </w: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contracts</w:t>
            </w: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688</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688</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portion of capital lease and</w:t>
            </w: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long-term debt obligations</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61</w:t>
            </w:r>
          </w:p>
        </w:tc>
        <w:tc>
          <w:tcPr>
            <w:tcW w:w="14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238</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299</w:t>
            </w:r>
          </w:p>
        </w:tc>
      </w:tr>
      <w:tr>
        <w:trPr>
          <w:trHeight w:val="168"/>
        </w:trPr>
        <w:tc>
          <w:tcPr>
            <w:tcW w:w="3940" w:type="dxa"/>
            <w:vAlign w:val="bottom"/>
          </w:tcPr>
          <w:p>
            <w:pPr>
              <w:spacing w:after="0"/>
              <w:rPr>
                <w:sz w:val="14"/>
                <w:szCs w:val="14"/>
                <w:color w:val="auto"/>
              </w:rPr>
            </w:pPr>
          </w:p>
        </w:tc>
        <w:tc>
          <w:tcPr>
            <w:tcW w:w="13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5"/>
              </w:rPr>
              <w:t>-------------</w:t>
            </w:r>
          </w:p>
        </w:tc>
        <w:tc>
          <w:tcPr>
            <w:tcW w:w="14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3,431</w:t>
            </w:r>
          </w:p>
        </w:tc>
        <w:tc>
          <w:tcPr>
            <w:tcW w:w="14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2,947</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6,378</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Unearned maintenance contracts</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319</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319</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Long-term debt and capital lease obligations</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16</w:t>
            </w:r>
          </w:p>
        </w:tc>
        <w:tc>
          <w:tcPr>
            <w:tcW w:w="14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340</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356</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tax liability</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746</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746</w:t>
            </w:r>
          </w:p>
        </w:tc>
      </w:tr>
      <w:tr>
        <w:trPr>
          <w:trHeight w:val="168"/>
        </w:trPr>
        <w:tc>
          <w:tcPr>
            <w:tcW w:w="3940" w:type="dxa"/>
            <w:vAlign w:val="bottom"/>
          </w:tcPr>
          <w:p>
            <w:pPr>
              <w:spacing w:after="0"/>
              <w:rPr>
                <w:sz w:val="14"/>
                <w:szCs w:val="14"/>
                <w:color w:val="auto"/>
              </w:rPr>
            </w:pPr>
          </w:p>
        </w:tc>
        <w:tc>
          <w:tcPr>
            <w:tcW w:w="13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5"/>
              </w:rPr>
              <w:t>-------------</w:t>
            </w:r>
          </w:p>
        </w:tc>
        <w:tc>
          <w:tcPr>
            <w:tcW w:w="14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liabilities</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4,193</w:t>
            </w:r>
          </w:p>
        </w:tc>
        <w:tc>
          <w:tcPr>
            <w:tcW w:w="14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3,606</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7,799</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w:t>
            </w:r>
          </w:p>
        </w:tc>
        <w:tc>
          <w:tcPr>
            <w:tcW w:w="14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59</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(59)</w:t>
            </w:r>
          </w:p>
        </w:tc>
        <w:tc>
          <w:tcPr>
            <w:tcW w:w="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H</w:t>
            </w:r>
          </w:p>
        </w:tc>
        <w:tc>
          <w:tcPr>
            <w:tcW w:w="1560" w:type="dxa"/>
            <w:vAlign w:val="bottom"/>
          </w:tcPr>
          <w:p>
            <w:pPr>
              <w:spacing w:after="0"/>
              <w:rPr>
                <w:sz w:val="14"/>
                <w:szCs w:val="14"/>
                <w:color w:val="auto"/>
              </w:rPr>
            </w:pPr>
          </w:p>
        </w:tc>
      </w:tr>
      <w:tr>
        <w:trPr>
          <w:trHeight w:val="168"/>
        </w:trPr>
        <w:tc>
          <w:tcPr>
            <w:tcW w:w="3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9</w:t>
            </w:r>
          </w:p>
        </w:tc>
        <w:tc>
          <w:tcPr>
            <w:tcW w:w="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J</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Additional paid in capital</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33,141</w:t>
            </w:r>
          </w:p>
        </w:tc>
        <w:tc>
          <w:tcPr>
            <w:tcW w:w="14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7,867</w:t>
            </w:r>
          </w:p>
        </w:tc>
        <w:tc>
          <w:tcPr>
            <w:tcW w:w="26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(7,867)</w:t>
            </w:r>
          </w:p>
        </w:tc>
        <w:tc>
          <w:tcPr>
            <w:tcW w:w="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H</w:t>
            </w:r>
          </w:p>
        </w:tc>
        <w:tc>
          <w:tcPr>
            <w:tcW w:w="1560" w:type="dxa"/>
            <w:vAlign w:val="bottom"/>
          </w:tcPr>
          <w:p>
            <w:pPr>
              <w:spacing w:after="0"/>
              <w:rPr>
                <w:sz w:val="14"/>
                <w:szCs w:val="14"/>
                <w:color w:val="auto"/>
              </w:rPr>
            </w:pPr>
          </w:p>
        </w:tc>
      </w:tr>
      <w:tr>
        <w:trPr>
          <w:trHeight w:val="168"/>
        </w:trPr>
        <w:tc>
          <w:tcPr>
            <w:tcW w:w="3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14,370</w:t>
            </w:r>
          </w:p>
        </w:tc>
        <w:tc>
          <w:tcPr>
            <w:tcW w:w="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J</w:t>
            </w:r>
          </w:p>
        </w:tc>
        <w:tc>
          <w:tcPr>
            <w:tcW w:w="1560" w:type="dxa"/>
            <w:vAlign w:val="bottom"/>
          </w:tcPr>
          <w:p>
            <w:pPr>
              <w:spacing w:after="0"/>
              <w:rPr>
                <w:sz w:val="14"/>
                <w:szCs w:val="14"/>
                <w:color w:val="auto"/>
              </w:rPr>
            </w:pPr>
          </w:p>
        </w:tc>
      </w:tr>
      <w:tr>
        <w:trPr>
          <w:trHeight w:val="168"/>
        </w:trPr>
        <w:tc>
          <w:tcPr>
            <w:tcW w:w="3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47</w:t>
            </w:r>
          </w:p>
        </w:tc>
        <w:tc>
          <w:tcPr>
            <w:tcW w:w="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G</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47,558</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Treasury stock</w:t>
            </w: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(73)</w:t>
            </w:r>
          </w:p>
        </w:tc>
        <w:tc>
          <w:tcPr>
            <w:tcW w:w="26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73</w:t>
            </w:r>
          </w:p>
        </w:tc>
        <w:tc>
          <w:tcPr>
            <w:tcW w:w="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I</w:t>
            </w:r>
          </w:p>
        </w:tc>
        <w:tc>
          <w:tcPr>
            <w:tcW w:w="1560" w:type="dxa"/>
            <w:vAlign w:val="bottom"/>
          </w:tcPr>
          <w:p>
            <w:pPr>
              <w:spacing w:after="0"/>
              <w:rPr>
                <w:sz w:val="14"/>
                <w:szCs w:val="1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Note receivable from shareholder</w:t>
            </w: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(122)</w:t>
            </w:r>
          </w:p>
        </w:tc>
        <w:tc>
          <w:tcPr>
            <w:tcW w:w="26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122</w:t>
            </w:r>
          </w:p>
        </w:tc>
        <w:tc>
          <w:tcPr>
            <w:tcW w:w="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L</w:t>
            </w:r>
          </w:p>
        </w:tc>
        <w:tc>
          <w:tcPr>
            <w:tcW w:w="1560" w:type="dxa"/>
            <w:vAlign w:val="bottom"/>
          </w:tcPr>
          <w:p>
            <w:pPr>
              <w:spacing w:after="0"/>
              <w:rPr>
                <w:sz w:val="14"/>
                <w:szCs w:val="1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Retained earnings (accumulated deficit)</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20,505</w:t>
            </w:r>
          </w:p>
        </w:tc>
        <w:tc>
          <w:tcPr>
            <w:tcW w:w="14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(129)</w:t>
            </w:r>
          </w:p>
        </w:tc>
        <w:tc>
          <w:tcPr>
            <w:tcW w:w="26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129</w:t>
            </w:r>
          </w:p>
        </w:tc>
        <w:tc>
          <w:tcPr>
            <w:tcW w:w="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H</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20,505</w:t>
            </w:r>
          </w:p>
        </w:tc>
      </w:tr>
      <w:tr>
        <w:trPr>
          <w:trHeight w:val="168"/>
        </w:trPr>
        <w:tc>
          <w:tcPr>
            <w:tcW w:w="3940" w:type="dxa"/>
            <w:vAlign w:val="bottom"/>
          </w:tcPr>
          <w:p>
            <w:pPr>
              <w:spacing w:after="0"/>
              <w:rPr>
                <w:sz w:val="14"/>
                <w:szCs w:val="14"/>
                <w:color w:val="auto"/>
              </w:rPr>
            </w:pPr>
          </w:p>
        </w:tc>
        <w:tc>
          <w:tcPr>
            <w:tcW w:w="13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5"/>
              </w:rPr>
              <w:t>-------------</w:t>
            </w:r>
          </w:p>
        </w:tc>
        <w:tc>
          <w:tcPr>
            <w:tcW w:w="14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shareholders' equity</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53,656</w:t>
            </w:r>
          </w:p>
        </w:tc>
        <w:tc>
          <w:tcPr>
            <w:tcW w:w="14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7,602</w:t>
            </w:r>
          </w:p>
        </w:tc>
        <w:tc>
          <w:tcPr>
            <w:tcW w:w="26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6,824</w:t>
            </w:r>
          </w:p>
        </w:tc>
        <w:tc>
          <w:tcPr>
            <w:tcW w:w="320" w:type="dxa"/>
            <w:vAlign w:val="bottom"/>
          </w:tcPr>
          <w:p>
            <w:pPr>
              <w:spacing w:after="0"/>
              <w:rPr>
                <w:sz w:val="14"/>
                <w:szCs w:val="14"/>
                <w:color w:val="auto"/>
              </w:rPr>
            </w:pP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68,082</w:t>
            </w:r>
          </w:p>
        </w:tc>
      </w:tr>
      <w:tr>
        <w:trPr>
          <w:trHeight w:val="168"/>
        </w:trPr>
        <w:tc>
          <w:tcPr>
            <w:tcW w:w="3940" w:type="dxa"/>
            <w:vAlign w:val="bottom"/>
          </w:tcPr>
          <w:p>
            <w:pPr>
              <w:spacing w:after="0"/>
              <w:rPr>
                <w:sz w:val="14"/>
                <w:szCs w:val="14"/>
                <w:color w:val="auto"/>
              </w:rPr>
            </w:pPr>
          </w:p>
        </w:tc>
        <w:tc>
          <w:tcPr>
            <w:tcW w:w="13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5"/>
              </w:rPr>
              <w:t>-------------</w:t>
            </w:r>
          </w:p>
        </w:tc>
        <w:tc>
          <w:tcPr>
            <w:tcW w:w="14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liabilities and shareholders' equity</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$ 57,849</w:t>
            </w:r>
          </w:p>
        </w:tc>
        <w:tc>
          <w:tcPr>
            <w:tcW w:w="11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$ 11,208</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6,824</w:t>
            </w:r>
          </w:p>
        </w:tc>
        <w:tc>
          <w:tcPr>
            <w:tcW w:w="320" w:type="dxa"/>
            <w:vAlign w:val="bottom"/>
          </w:tcPr>
          <w:p>
            <w:pPr>
              <w:spacing w:after="0"/>
              <w:rPr>
                <w:sz w:val="14"/>
                <w:szCs w:val="14"/>
                <w:color w:val="auto"/>
              </w:rPr>
            </w:pP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$ 75,881</w:t>
            </w:r>
          </w:p>
        </w:tc>
      </w:tr>
      <w:tr>
        <w:trPr>
          <w:trHeight w:val="168"/>
        </w:trPr>
        <w:tc>
          <w:tcPr>
            <w:tcW w:w="3940" w:type="dxa"/>
            <w:vAlign w:val="bottom"/>
          </w:tcPr>
          <w:p>
            <w:pPr>
              <w:spacing w:after="0"/>
              <w:rPr>
                <w:sz w:val="14"/>
                <w:szCs w:val="14"/>
                <w:color w:val="auto"/>
              </w:rPr>
            </w:pPr>
          </w:p>
        </w:tc>
        <w:tc>
          <w:tcPr>
            <w:tcW w:w="3980" w:type="dxa"/>
            <w:vAlign w:val="bottom"/>
            <w:gridSpan w:val="5"/>
          </w:tcPr>
          <w:p>
            <w:pPr>
              <w:ind w:left="100"/>
              <w:spacing w:after="0" w:line="168" w:lineRule="exact"/>
              <w:rPr>
                <w:sz w:val="20"/>
                <w:szCs w:val="20"/>
                <w:color w:val="auto"/>
              </w:rPr>
            </w:pPr>
            <w:r>
              <w:rPr>
                <w:rFonts w:ascii="Courier New" w:cs="Courier New" w:eastAsia="Courier New" w:hAnsi="Courier New"/>
                <w:sz w:val="15"/>
                <w:szCs w:val="15"/>
                <w:color w:val="auto"/>
                <w:w w:val="99"/>
              </w:rPr>
              <w:t>============== ============= ==============</w:t>
            </w:r>
          </w:p>
        </w:tc>
        <w:tc>
          <w:tcPr>
            <w:tcW w:w="320" w:type="dxa"/>
            <w:vAlign w:val="bottom"/>
          </w:tcPr>
          <w:p>
            <w:pPr>
              <w:spacing w:after="0"/>
              <w:rPr>
                <w:sz w:val="14"/>
                <w:szCs w:val="14"/>
                <w:color w:val="auto"/>
              </w:rPr>
            </w:pPr>
          </w:p>
        </w:tc>
        <w:tc>
          <w:tcPr>
            <w:tcW w:w="1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See accompanying notes to unaudited pro forma condensed</w:t>
      </w:r>
    </w:p>
    <w:p>
      <w:pPr>
        <w:jc w:val="center"/>
        <w:ind w:right="3219"/>
        <w:spacing w:after="0" w:line="237" w:lineRule="auto"/>
        <w:rPr>
          <w:sz w:val="20"/>
          <w:szCs w:val="20"/>
          <w:color w:val="auto"/>
        </w:rPr>
      </w:pPr>
      <w:r>
        <w:rPr>
          <w:rFonts w:ascii="Courier New" w:cs="Courier New" w:eastAsia="Courier New" w:hAnsi="Courier New"/>
          <w:sz w:val="15"/>
          <w:szCs w:val="15"/>
          <w:color w:val="auto"/>
        </w:rPr>
        <w:t>combined financial statements.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785" w:right="1440" w:bottom="1440" w:gutter="0" w:footer="0" w:header="0"/>
        </w:sectPr>
      </w:pPr>
    </w:p>
    <w:bookmarkStart w:id="10" w:name="page11"/>
    <w:bookmarkEnd w:id="10"/>
    <w:p>
      <w:pPr>
        <w:jc w:val="center"/>
        <w:ind w:right="880"/>
        <w:spacing w:after="0"/>
        <w:rPr>
          <w:sz w:val="20"/>
          <w:szCs w:val="20"/>
          <w:color w:val="auto"/>
        </w:rPr>
      </w:pPr>
      <w:r>
        <w:rPr>
          <w:rFonts w:ascii="Courier New" w:cs="Courier New" w:eastAsia="Courier New" w:hAnsi="Courier New"/>
          <w:sz w:val="15"/>
          <w:szCs w:val="15"/>
          <w:color w:val="auto"/>
        </w:rPr>
        <w:t>Unaudited Pro Forma Condensed Combined Statements of Operations</w:t>
      </w:r>
    </w:p>
    <w:p>
      <w:pPr>
        <w:jc w:val="center"/>
        <w:ind w:right="960"/>
        <w:spacing w:after="0" w:line="237" w:lineRule="auto"/>
        <w:rPr>
          <w:sz w:val="20"/>
          <w:szCs w:val="20"/>
          <w:color w:val="auto"/>
        </w:rPr>
      </w:pPr>
      <w:r>
        <w:rPr>
          <w:rFonts w:ascii="Courier New" w:cs="Courier New" w:eastAsia="Courier New" w:hAnsi="Courier New"/>
          <w:sz w:val="15"/>
          <w:szCs w:val="15"/>
          <w:color w:val="auto"/>
        </w:rPr>
        <w:t>For the nine months ended March 31, 2002</w:t>
      </w:r>
    </w:p>
    <w:tbl>
      <w:tblPr>
        <w:tblLayout w:type="fixed"/>
        <w:tblInd w:w="0" w:type="dxa"/>
        <w:tblCellMar>
          <w:top w:w="0" w:type="dxa"/>
          <w:left w:w="0" w:type="dxa"/>
          <w:bottom w:w="0" w:type="dxa"/>
          <w:right w:w="0" w:type="dxa"/>
        </w:tblCellMar>
      </w:tblPr>
      <w:tr>
        <w:trPr>
          <w:trHeight w:val="169"/>
        </w:trPr>
        <w:tc>
          <w:tcPr>
            <w:tcW w:w="2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60" w:type="dxa"/>
            <w:vAlign w:val="bottom"/>
            <w:gridSpan w:val="2"/>
          </w:tcPr>
          <w:p>
            <w:pPr>
              <w:jc w:val="right"/>
              <w:ind w:right="407"/>
              <w:spacing w:after="0" w:line="169" w:lineRule="exact"/>
              <w:rPr>
                <w:sz w:val="20"/>
                <w:szCs w:val="20"/>
                <w:color w:val="auto"/>
              </w:rPr>
            </w:pPr>
            <w:r>
              <w:rPr>
                <w:rFonts w:ascii="Courier New" w:cs="Courier New" w:eastAsia="Courier New" w:hAnsi="Courier New"/>
                <w:sz w:val="15"/>
                <w:szCs w:val="15"/>
                <w:color w:val="auto"/>
                <w:w w:val="95"/>
              </w:rPr>
              <w:t>(in 000's)</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2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Pro Forma</w:t>
            </w:r>
          </w:p>
        </w:tc>
      </w:tr>
      <w:tr>
        <w:trPr>
          <w:trHeight w:val="168"/>
        </w:trPr>
        <w:tc>
          <w:tcPr>
            <w:tcW w:w="2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60" w:type="dxa"/>
            <w:vAlign w:val="bottom"/>
            <w:gridSpan w:val="2"/>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Pro Forma</w:t>
            </w:r>
          </w:p>
        </w:tc>
        <w:tc>
          <w:tcPr>
            <w:tcW w:w="220" w:type="dxa"/>
            <w:vAlign w:val="bottom"/>
          </w:tcPr>
          <w:p>
            <w:pPr>
              <w:spacing w:after="0"/>
              <w:rPr>
                <w:sz w:val="14"/>
                <w:szCs w:val="14"/>
                <w:color w:val="auto"/>
              </w:rPr>
            </w:pPr>
          </w:p>
        </w:tc>
        <w:tc>
          <w:tcPr>
            <w:tcW w:w="11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Pro Forma</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00" w:type="dxa"/>
            <w:vAlign w:val="bottom"/>
            <w:gridSpan w:val="2"/>
          </w:tcPr>
          <w:p>
            <w:pPr>
              <w:jc w:val="center"/>
              <w:ind w:right="107"/>
              <w:spacing w:after="0" w:line="168" w:lineRule="exact"/>
              <w:rPr>
                <w:sz w:val="20"/>
                <w:szCs w:val="20"/>
                <w:color w:val="auto"/>
              </w:rPr>
            </w:pPr>
            <w:r>
              <w:rPr>
                <w:rFonts w:ascii="Courier New" w:cs="Courier New" w:eastAsia="Courier New" w:hAnsi="Courier New"/>
                <w:sz w:val="15"/>
                <w:szCs w:val="15"/>
                <w:color w:val="auto"/>
                <w:w w:val="98"/>
              </w:rPr>
              <w:t>Pro Forma</w:t>
            </w:r>
          </w:p>
        </w:tc>
        <w:tc>
          <w:tcPr>
            <w:tcW w:w="15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Combined for</w:t>
            </w:r>
          </w:p>
        </w:tc>
      </w:tr>
      <w:tr>
        <w:trPr>
          <w:trHeight w:val="168"/>
        </w:trPr>
        <w:tc>
          <w:tcPr>
            <w:tcW w:w="2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60" w:type="dxa"/>
            <w:vAlign w:val="bottom"/>
            <w:gridSpan w:val="2"/>
          </w:tcPr>
          <w:p>
            <w:pPr>
              <w:jc w:val="center"/>
              <w:ind w:left="47"/>
              <w:spacing w:after="0" w:line="168" w:lineRule="exact"/>
              <w:rPr>
                <w:sz w:val="20"/>
                <w:szCs w:val="20"/>
                <w:color w:val="auto"/>
              </w:rPr>
            </w:pPr>
            <w:r>
              <w:rPr>
                <w:rFonts w:ascii="Courier New" w:cs="Courier New" w:eastAsia="Courier New" w:hAnsi="Courier New"/>
                <w:sz w:val="15"/>
                <w:szCs w:val="15"/>
                <w:color w:val="auto"/>
                <w:w w:val="96"/>
              </w:rPr>
              <w:t>Adjustments</w:t>
            </w:r>
          </w:p>
        </w:tc>
        <w:tc>
          <w:tcPr>
            <w:tcW w:w="220" w:type="dxa"/>
            <w:vAlign w:val="bottom"/>
          </w:tcPr>
          <w:p>
            <w:pPr>
              <w:spacing w:after="0"/>
              <w:rPr>
                <w:sz w:val="14"/>
                <w:szCs w:val="14"/>
                <w:color w:val="auto"/>
              </w:rPr>
            </w:pPr>
          </w:p>
        </w:tc>
        <w:tc>
          <w:tcPr>
            <w:tcW w:w="1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Combined</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00" w:type="dxa"/>
            <w:vAlign w:val="bottom"/>
            <w:gridSpan w:val="2"/>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Adjustments</w:t>
            </w:r>
          </w:p>
        </w:tc>
        <w:tc>
          <w:tcPr>
            <w:tcW w:w="62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Ivron</w:t>
            </w:r>
          </w:p>
        </w:tc>
      </w:tr>
      <w:tr>
        <w:trPr>
          <w:trHeight w:val="168"/>
        </w:trPr>
        <w:tc>
          <w:tcPr>
            <w:tcW w:w="2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3"/>
              </w:rPr>
              <w:t>Ivron</w:t>
            </w:r>
          </w:p>
        </w:tc>
        <w:tc>
          <w:tcPr>
            <w:tcW w:w="1360" w:type="dxa"/>
            <w:vAlign w:val="bottom"/>
            <w:gridSpan w:val="2"/>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for Ivron</w:t>
            </w:r>
          </w:p>
        </w:tc>
        <w:tc>
          <w:tcPr>
            <w:tcW w:w="220" w:type="dxa"/>
            <w:vAlign w:val="bottom"/>
          </w:tcPr>
          <w:p>
            <w:pPr>
              <w:spacing w:after="0"/>
              <w:rPr>
                <w:sz w:val="14"/>
                <w:szCs w:val="14"/>
                <w:color w:val="auto"/>
              </w:rPr>
            </w:pPr>
          </w:p>
        </w:tc>
        <w:tc>
          <w:tcPr>
            <w:tcW w:w="11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for Ivron</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center"/>
              <w:ind w:right="467"/>
              <w:spacing w:after="0" w:line="168" w:lineRule="exact"/>
              <w:rPr>
                <w:sz w:val="20"/>
                <w:szCs w:val="20"/>
                <w:color w:val="auto"/>
              </w:rPr>
            </w:pPr>
            <w:r>
              <w:rPr>
                <w:rFonts w:ascii="Courier New" w:cs="Courier New" w:eastAsia="Courier New" w:hAnsi="Courier New"/>
                <w:sz w:val="15"/>
                <w:szCs w:val="15"/>
                <w:color w:val="auto"/>
                <w:w w:val="96"/>
              </w:rPr>
              <w:t>for</w:t>
            </w:r>
          </w:p>
        </w:tc>
        <w:tc>
          <w:tcPr>
            <w:tcW w:w="15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Systems and</w:t>
            </w:r>
          </w:p>
        </w:tc>
      </w:tr>
      <w:tr>
        <w:trPr>
          <w:trHeight w:val="168"/>
        </w:trPr>
        <w:tc>
          <w:tcPr>
            <w:tcW w:w="2380" w:type="dxa"/>
            <w:vAlign w:val="bottom"/>
          </w:tcPr>
          <w:p>
            <w:pPr>
              <w:spacing w:after="0"/>
              <w:rPr>
                <w:sz w:val="14"/>
                <w:szCs w:val="14"/>
                <w:color w:val="auto"/>
              </w:rPr>
            </w:pP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ClearOne</w:t>
            </w:r>
          </w:p>
        </w:tc>
        <w:tc>
          <w:tcPr>
            <w:tcW w:w="10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Systems</w:t>
            </w:r>
          </w:p>
        </w:tc>
        <w:tc>
          <w:tcPr>
            <w:tcW w:w="440" w:type="dxa"/>
            <w:vAlign w:val="bottom"/>
          </w:tcPr>
          <w:p>
            <w:pPr>
              <w:spacing w:after="0"/>
              <w:rPr>
                <w:sz w:val="14"/>
                <w:szCs w:val="14"/>
                <w:color w:val="auto"/>
              </w:rPr>
            </w:pPr>
          </w:p>
        </w:tc>
        <w:tc>
          <w:tcPr>
            <w:tcW w:w="92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8"/>
              </w:rPr>
              <w:t>Systems</w:t>
            </w:r>
          </w:p>
        </w:tc>
        <w:tc>
          <w:tcPr>
            <w:tcW w:w="220" w:type="dxa"/>
            <w:vAlign w:val="bottom"/>
          </w:tcPr>
          <w:p>
            <w:pPr>
              <w:spacing w:after="0"/>
              <w:rPr>
                <w:sz w:val="14"/>
                <w:szCs w:val="14"/>
                <w:color w:val="auto"/>
              </w:rPr>
            </w:pPr>
          </w:p>
        </w:tc>
        <w:tc>
          <w:tcPr>
            <w:tcW w:w="1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Systems</w:t>
            </w:r>
          </w:p>
        </w:tc>
        <w:tc>
          <w:tcPr>
            <w:tcW w:w="118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E.mergent</w:t>
            </w:r>
          </w:p>
        </w:tc>
        <w:tc>
          <w:tcPr>
            <w:tcW w:w="13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E.mergent</w:t>
            </w:r>
          </w:p>
        </w:tc>
        <w:tc>
          <w:tcPr>
            <w:tcW w:w="15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E.mergent</w:t>
            </w:r>
          </w:p>
        </w:tc>
      </w:tr>
      <w:tr>
        <w:trPr>
          <w:trHeight w:val="168"/>
        </w:trPr>
        <w:tc>
          <w:tcPr>
            <w:tcW w:w="2380" w:type="dxa"/>
            <w:vAlign w:val="bottom"/>
          </w:tcPr>
          <w:p>
            <w:pPr>
              <w:spacing w:after="0"/>
              <w:rPr>
                <w:sz w:val="14"/>
                <w:szCs w:val="14"/>
                <w:color w:val="auto"/>
              </w:rPr>
            </w:pPr>
          </w:p>
        </w:tc>
        <w:tc>
          <w:tcPr>
            <w:tcW w:w="22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9"/>
              </w:rPr>
              <w:t>(Historical) (Historical)</w:t>
            </w:r>
          </w:p>
        </w:tc>
        <w:tc>
          <w:tcPr>
            <w:tcW w:w="1360" w:type="dxa"/>
            <w:vAlign w:val="bottom"/>
            <w:gridSpan w:val="2"/>
          </w:tcPr>
          <w:p>
            <w:pPr>
              <w:jc w:val="center"/>
              <w:ind w:left="47"/>
              <w:spacing w:after="0" w:line="168" w:lineRule="exact"/>
              <w:rPr>
                <w:sz w:val="20"/>
                <w:szCs w:val="20"/>
                <w:color w:val="auto"/>
              </w:rPr>
            </w:pPr>
            <w:r>
              <w:rPr>
                <w:rFonts w:ascii="Courier New" w:cs="Courier New" w:eastAsia="Courier New" w:hAnsi="Courier New"/>
                <w:sz w:val="15"/>
                <w:szCs w:val="15"/>
                <w:color w:val="auto"/>
                <w:w w:val="96"/>
              </w:rPr>
              <w:t>Acquisition</w:t>
            </w:r>
          </w:p>
        </w:tc>
        <w:tc>
          <w:tcPr>
            <w:tcW w:w="220" w:type="dxa"/>
            <w:vAlign w:val="bottom"/>
          </w:tcPr>
          <w:p>
            <w:pPr>
              <w:spacing w:after="0"/>
              <w:rPr>
                <w:sz w:val="14"/>
                <w:szCs w:val="14"/>
                <w:color w:val="auto"/>
              </w:rPr>
            </w:pPr>
          </w:p>
        </w:tc>
        <w:tc>
          <w:tcPr>
            <w:tcW w:w="228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Acquisition (Historical)</w:t>
            </w:r>
          </w:p>
        </w:tc>
        <w:tc>
          <w:tcPr>
            <w:tcW w:w="1300" w:type="dxa"/>
            <w:vAlign w:val="bottom"/>
            <w:gridSpan w:val="2"/>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Acquisition</w:t>
            </w:r>
          </w:p>
        </w:tc>
        <w:tc>
          <w:tcPr>
            <w:tcW w:w="15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Acquisitions</w:t>
            </w:r>
          </w:p>
        </w:tc>
      </w:tr>
      <w:tr>
        <w:trPr>
          <w:trHeight w:val="168"/>
        </w:trPr>
        <w:tc>
          <w:tcPr>
            <w:tcW w:w="2380" w:type="dxa"/>
            <w:vAlign w:val="bottom"/>
          </w:tcPr>
          <w:p>
            <w:pPr>
              <w:spacing w:after="0"/>
              <w:rPr>
                <w:sz w:val="14"/>
                <w:szCs w:val="14"/>
                <w:color w:val="auto"/>
              </w:rPr>
            </w:pPr>
          </w:p>
        </w:tc>
        <w:tc>
          <w:tcPr>
            <w:tcW w:w="8920" w:type="dxa"/>
            <w:vAlign w:val="bottom"/>
            <w:gridSpan w:val="14"/>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505"/>
        </w:trPr>
        <w:tc>
          <w:tcPr>
            <w:tcW w:w="23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$37,974</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47</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$ 38,021</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17,055</w:t>
            </w: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55,076</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goods sold</w:t>
            </w:r>
          </w:p>
        </w:tc>
        <w:tc>
          <w:tcPr>
            <w:tcW w:w="42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15,226</w:t>
            </w:r>
          </w:p>
        </w:tc>
        <w:tc>
          <w:tcPr>
            <w:tcW w:w="30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343</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15,569</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10,963</w:t>
            </w: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26,532</w:t>
            </w:r>
          </w:p>
        </w:tc>
      </w:tr>
      <w:tr>
        <w:trPr>
          <w:trHeight w:val="168"/>
        </w:trPr>
        <w:tc>
          <w:tcPr>
            <w:tcW w:w="23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Courier New" w:cs="Courier New" w:eastAsia="Courier New" w:hAnsi="Courier New"/>
                <w:sz w:val="6"/>
                <w:szCs w:val="6"/>
                <w:color w:val="auto"/>
                <w:w w:val="74"/>
              </w:rPr>
              <w:t>----------------------------------------</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580" w:type="dxa"/>
            <w:vAlign w:val="bottom"/>
            <w:gridSpan w:val="5"/>
          </w:tcPr>
          <w:p>
            <w:pPr>
              <w:ind w:left="80"/>
              <w:spacing w:after="0" w:line="168" w:lineRule="exact"/>
              <w:rPr>
                <w:sz w:val="20"/>
                <w:szCs w:val="20"/>
                <w:color w:val="auto"/>
              </w:rPr>
            </w:pPr>
            <w:r>
              <w:rPr>
                <w:rFonts w:ascii="Courier New" w:cs="Courier New" w:eastAsia="Courier New" w:hAnsi="Courier New"/>
                <w:sz w:val="15"/>
                <w:szCs w:val="15"/>
                <w:color w:val="auto"/>
                <w:w w:val="99"/>
              </w:rPr>
              <w:t>---------------------------------------</w:t>
            </w:r>
          </w:p>
        </w:tc>
        <w:tc>
          <w:tcPr>
            <w:tcW w:w="15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 (loss)</w:t>
            </w:r>
          </w:p>
        </w:tc>
        <w:tc>
          <w:tcPr>
            <w:tcW w:w="42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22,748</w:t>
            </w:r>
          </w:p>
        </w:tc>
        <w:tc>
          <w:tcPr>
            <w:tcW w:w="30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(296)</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22,452</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6,092</w:t>
            </w: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28,544</w:t>
            </w:r>
          </w:p>
        </w:tc>
      </w:tr>
      <w:tr>
        <w:trPr>
          <w:trHeight w:val="336"/>
        </w:trPr>
        <w:tc>
          <w:tcPr>
            <w:tcW w:w="23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Marketing and selling</w:t>
            </w:r>
          </w:p>
        </w:tc>
        <w:tc>
          <w:tcPr>
            <w:tcW w:w="42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7,996</w:t>
            </w:r>
          </w:p>
        </w:tc>
        <w:tc>
          <w:tcPr>
            <w:tcW w:w="30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304</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8,300</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2,376</w:t>
            </w: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10,676</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42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4,102</w:t>
            </w:r>
          </w:p>
        </w:tc>
        <w:tc>
          <w:tcPr>
            <w:tcW w:w="30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695</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4,751</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2,490</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(112)</w:t>
            </w:r>
          </w:p>
        </w:tc>
        <w:tc>
          <w:tcPr>
            <w:tcW w:w="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A</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7,129</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Research and product</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development</w:t>
            </w:r>
          </w:p>
        </w:tc>
        <w:tc>
          <w:tcPr>
            <w:tcW w:w="42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3,044</w:t>
            </w:r>
          </w:p>
        </w:tc>
        <w:tc>
          <w:tcPr>
            <w:tcW w:w="30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116</w:t>
            </w:r>
          </w:p>
        </w:tc>
        <w:tc>
          <w:tcPr>
            <w:tcW w:w="4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139</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3,299</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504</w:t>
            </w: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3,803</w:t>
            </w:r>
          </w:p>
        </w:tc>
      </w:tr>
      <w:tr>
        <w:trPr>
          <w:trHeight w:val="168"/>
        </w:trPr>
        <w:tc>
          <w:tcPr>
            <w:tcW w:w="23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Courier New" w:cs="Courier New" w:eastAsia="Courier New" w:hAnsi="Courier New"/>
                <w:sz w:val="6"/>
                <w:szCs w:val="6"/>
                <w:color w:val="auto"/>
                <w:w w:val="74"/>
              </w:rPr>
              <w:t>----------------------------------------</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580" w:type="dxa"/>
            <w:vAlign w:val="bottom"/>
            <w:gridSpan w:val="5"/>
          </w:tcPr>
          <w:p>
            <w:pPr>
              <w:ind w:left="80"/>
              <w:spacing w:after="0" w:line="168" w:lineRule="exact"/>
              <w:rPr>
                <w:sz w:val="20"/>
                <w:szCs w:val="20"/>
                <w:color w:val="auto"/>
              </w:rPr>
            </w:pPr>
            <w:r>
              <w:rPr>
                <w:rFonts w:ascii="Courier New" w:cs="Courier New" w:eastAsia="Courier New" w:hAnsi="Courier New"/>
                <w:sz w:val="15"/>
                <w:szCs w:val="15"/>
                <w:color w:val="auto"/>
                <w:w w:val="99"/>
              </w:rPr>
              <w:t>---------------------------------------</w:t>
            </w:r>
          </w:p>
        </w:tc>
        <w:tc>
          <w:tcPr>
            <w:tcW w:w="15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operating expenses</w:t>
            </w:r>
          </w:p>
        </w:tc>
        <w:tc>
          <w:tcPr>
            <w:tcW w:w="42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15,142</w:t>
            </w:r>
          </w:p>
        </w:tc>
        <w:tc>
          <w:tcPr>
            <w:tcW w:w="30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1,115</w:t>
            </w:r>
          </w:p>
        </w:tc>
        <w:tc>
          <w:tcPr>
            <w:tcW w:w="4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93</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16,350</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5,370</w:t>
            </w:r>
          </w:p>
        </w:tc>
        <w:tc>
          <w:tcPr>
            <w:tcW w:w="3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(112)</w:t>
            </w:r>
          </w:p>
        </w:tc>
        <w:tc>
          <w:tcPr>
            <w:tcW w:w="6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21,608</w:t>
            </w:r>
          </w:p>
        </w:tc>
      </w:tr>
      <w:tr>
        <w:trPr>
          <w:trHeight w:val="168"/>
        </w:trPr>
        <w:tc>
          <w:tcPr>
            <w:tcW w:w="23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Courier New" w:cs="Courier New" w:eastAsia="Courier New" w:hAnsi="Courier New"/>
                <w:sz w:val="6"/>
                <w:szCs w:val="6"/>
                <w:color w:val="auto"/>
                <w:w w:val="74"/>
              </w:rPr>
              <w:t>----------------------------------------</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580" w:type="dxa"/>
            <w:vAlign w:val="bottom"/>
            <w:gridSpan w:val="5"/>
          </w:tcPr>
          <w:p>
            <w:pPr>
              <w:ind w:left="80"/>
              <w:spacing w:after="0" w:line="168" w:lineRule="exact"/>
              <w:rPr>
                <w:sz w:val="20"/>
                <w:szCs w:val="20"/>
                <w:color w:val="auto"/>
              </w:rPr>
            </w:pPr>
            <w:r>
              <w:rPr>
                <w:rFonts w:ascii="Courier New" w:cs="Courier New" w:eastAsia="Courier New" w:hAnsi="Courier New"/>
                <w:sz w:val="15"/>
                <w:szCs w:val="15"/>
                <w:color w:val="auto"/>
                <w:w w:val="99"/>
              </w:rPr>
              <w:t>---------------------------------------</w:t>
            </w:r>
          </w:p>
        </w:tc>
        <w:tc>
          <w:tcPr>
            <w:tcW w:w="15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 (loss)</w:t>
            </w:r>
          </w:p>
        </w:tc>
        <w:tc>
          <w:tcPr>
            <w:tcW w:w="42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7,606</w:t>
            </w:r>
          </w:p>
        </w:tc>
        <w:tc>
          <w:tcPr>
            <w:tcW w:w="30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(1,411)</w:t>
            </w:r>
          </w:p>
        </w:tc>
        <w:tc>
          <w:tcPr>
            <w:tcW w:w="4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(93)</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6,102</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722</w:t>
            </w:r>
          </w:p>
        </w:tc>
        <w:tc>
          <w:tcPr>
            <w:tcW w:w="380" w:type="dxa"/>
            <w:vAlign w:val="bottom"/>
          </w:tcPr>
          <w:p>
            <w:pPr>
              <w:spacing w:after="0"/>
              <w:rPr>
                <w:sz w:val="14"/>
                <w:szCs w:val="14"/>
                <w:color w:val="auto"/>
              </w:rPr>
            </w:pP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112</w:t>
            </w:r>
          </w:p>
        </w:tc>
        <w:tc>
          <w:tcPr>
            <w:tcW w:w="6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6,936</w:t>
            </w:r>
          </w:p>
        </w:tc>
      </w:tr>
      <w:tr>
        <w:trPr>
          <w:trHeight w:val="336"/>
        </w:trPr>
        <w:tc>
          <w:tcPr>
            <w:tcW w:w="238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420" w:type="dxa"/>
            <w:vAlign w:val="bottom"/>
          </w:tcPr>
          <w:p>
            <w:pPr>
              <w:spacing w:after="0"/>
              <w:rPr>
                <w:sz w:val="24"/>
                <w:szCs w:val="2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139</w:t>
            </w:r>
          </w:p>
        </w:tc>
        <w:tc>
          <w:tcPr>
            <w:tcW w:w="300" w:type="dxa"/>
            <w:vAlign w:val="bottom"/>
          </w:tcPr>
          <w:p>
            <w:pPr>
              <w:spacing w:after="0"/>
              <w:rPr>
                <w:sz w:val="24"/>
                <w:szCs w:val="2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(126)</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w:t>
            </w:r>
          </w:p>
        </w:tc>
        <w:tc>
          <w:tcPr>
            <w:tcW w:w="30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w:t>
            </w: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w:t>
            </w:r>
          </w:p>
        </w:tc>
      </w:tr>
      <w:tr>
        <w:trPr>
          <w:trHeight w:val="168"/>
        </w:trPr>
        <w:tc>
          <w:tcPr>
            <w:tcW w:w="23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Courier New" w:cs="Courier New" w:eastAsia="Courier New" w:hAnsi="Courier New"/>
                <w:sz w:val="6"/>
                <w:szCs w:val="6"/>
                <w:color w:val="auto"/>
                <w:w w:val="74"/>
              </w:rPr>
              <w:t>----------------------------------------</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580" w:type="dxa"/>
            <w:vAlign w:val="bottom"/>
            <w:gridSpan w:val="5"/>
          </w:tcPr>
          <w:p>
            <w:pPr>
              <w:ind w:left="80"/>
              <w:spacing w:after="0" w:line="168" w:lineRule="exact"/>
              <w:rPr>
                <w:sz w:val="20"/>
                <w:szCs w:val="20"/>
                <w:color w:val="auto"/>
              </w:rPr>
            </w:pPr>
            <w:r>
              <w:rPr>
                <w:rFonts w:ascii="Courier New" w:cs="Courier New" w:eastAsia="Courier New" w:hAnsi="Courier New"/>
                <w:sz w:val="15"/>
                <w:szCs w:val="15"/>
                <w:color w:val="auto"/>
                <w:w w:val="99"/>
              </w:rPr>
              <w:t>---------------------------------------</w:t>
            </w:r>
          </w:p>
        </w:tc>
        <w:tc>
          <w:tcPr>
            <w:tcW w:w="15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from</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before income taxes</w:t>
            </w:r>
          </w:p>
        </w:tc>
        <w:tc>
          <w:tcPr>
            <w:tcW w:w="42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7,745</w:t>
            </w:r>
          </w:p>
        </w:tc>
        <w:tc>
          <w:tcPr>
            <w:tcW w:w="30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(1,537)</w:t>
            </w:r>
          </w:p>
        </w:tc>
        <w:tc>
          <w:tcPr>
            <w:tcW w:w="4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(93)</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6,115</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701</w:t>
            </w:r>
          </w:p>
        </w:tc>
        <w:tc>
          <w:tcPr>
            <w:tcW w:w="380" w:type="dxa"/>
            <w:vAlign w:val="bottom"/>
          </w:tcPr>
          <w:p>
            <w:pPr>
              <w:spacing w:after="0"/>
              <w:rPr>
                <w:sz w:val="14"/>
                <w:szCs w:val="14"/>
                <w:color w:val="auto"/>
              </w:rPr>
            </w:pP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112</w:t>
            </w:r>
          </w:p>
        </w:tc>
        <w:tc>
          <w:tcPr>
            <w:tcW w:w="6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6,928</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(benefit) for</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taxes</w:t>
            </w:r>
          </w:p>
        </w:tc>
        <w:tc>
          <w:tcPr>
            <w:tcW w:w="42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2,771</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2,736</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269</w:t>
            </w:r>
          </w:p>
        </w:tc>
        <w:tc>
          <w:tcPr>
            <w:tcW w:w="380" w:type="dxa"/>
            <w:vAlign w:val="bottom"/>
          </w:tcPr>
          <w:p>
            <w:pPr>
              <w:spacing w:after="0"/>
              <w:rPr>
                <w:sz w:val="14"/>
                <w:szCs w:val="14"/>
                <w:color w:val="auto"/>
              </w:rPr>
            </w:pP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42</w:t>
            </w:r>
          </w:p>
        </w:tc>
        <w:tc>
          <w:tcPr>
            <w:tcW w:w="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C</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3,047</w:t>
            </w:r>
          </w:p>
        </w:tc>
      </w:tr>
      <w:tr>
        <w:trPr>
          <w:trHeight w:val="168"/>
        </w:trPr>
        <w:tc>
          <w:tcPr>
            <w:tcW w:w="23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Courier New" w:cs="Courier New" w:eastAsia="Courier New" w:hAnsi="Courier New"/>
                <w:sz w:val="6"/>
                <w:szCs w:val="6"/>
                <w:color w:val="auto"/>
                <w:w w:val="74"/>
              </w:rPr>
              <w:t>----------------------------------------</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580" w:type="dxa"/>
            <w:vAlign w:val="bottom"/>
            <w:gridSpan w:val="5"/>
          </w:tcPr>
          <w:p>
            <w:pPr>
              <w:ind w:left="80"/>
              <w:spacing w:after="0" w:line="168" w:lineRule="exact"/>
              <w:rPr>
                <w:sz w:val="20"/>
                <w:szCs w:val="20"/>
                <w:color w:val="auto"/>
              </w:rPr>
            </w:pPr>
            <w:r>
              <w:rPr>
                <w:rFonts w:ascii="Courier New" w:cs="Courier New" w:eastAsia="Courier New" w:hAnsi="Courier New"/>
                <w:sz w:val="15"/>
                <w:szCs w:val="15"/>
                <w:color w:val="auto"/>
                <w:w w:val="99"/>
              </w:rPr>
              <w:t>---------------------------------------</w:t>
            </w:r>
          </w:p>
        </w:tc>
        <w:tc>
          <w:tcPr>
            <w:tcW w:w="15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from</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$ 4,974</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(1,537)</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3,379</w:t>
            </w:r>
          </w:p>
        </w:tc>
        <w:tc>
          <w:tcPr>
            <w:tcW w:w="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432</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70</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3,881</w:t>
            </w:r>
          </w:p>
        </w:tc>
      </w:tr>
      <w:tr>
        <w:trPr>
          <w:trHeight w:val="168"/>
        </w:trPr>
        <w:tc>
          <w:tcPr>
            <w:tcW w:w="2380" w:type="dxa"/>
            <w:vAlign w:val="bottom"/>
          </w:tcPr>
          <w:p>
            <w:pPr>
              <w:spacing w:after="0"/>
              <w:rPr>
                <w:sz w:val="14"/>
                <w:szCs w:val="14"/>
                <w:color w:val="auto"/>
              </w:rPr>
            </w:pPr>
          </w:p>
        </w:tc>
        <w:tc>
          <w:tcPr>
            <w:tcW w:w="3620" w:type="dxa"/>
            <w:vAlign w:val="bottom"/>
            <w:gridSpan w:val="6"/>
          </w:tcPr>
          <w:p>
            <w:pPr>
              <w:ind w:left="80"/>
              <w:spacing w:after="0" w:line="168" w:lineRule="exact"/>
              <w:rPr>
                <w:sz w:val="20"/>
                <w:szCs w:val="20"/>
                <w:color w:val="auto"/>
              </w:rPr>
            </w:pPr>
            <w:r>
              <w:rPr>
                <w:rFonts w:ascii="Courier New" w:cs="Courier New" w:eastAsia="Courier New" w:hAnsi="Courier New"/>
                <w:sz w:val="15"/>
                <w:szCs w:val="15"/>
                <w:color w:val="auto"/>
                <w:w w:val="97"/>
              </w:rPr>
              <w:t>========================================</w:t>
            </w:r>
          </w:p>
        </w:tc>
        <w:tc>
          <w:tcPr>
            <w:tcW w:w="220" w:type="dxa"/>
            <w:vAlign w:val="bottom"/>
          </w:tcPr>
          <w:p>
            <w:pPr>
              <w:spacing w:after="0"/>
              <w:rPr>
                <w:sz w:val="14"/>
                <w:szCs w:val="14"/>
                <w:color w:val="auto"/>
              </w:rPr>
            </w:pPr>
          </w:p>
        </w:tc>
        <w:tc>
          <w:tcPr>
            <w:tcW w:w="3580" w:type="dxa"/>
            <w:vAlign w:val="bottom"/>
            <w:gridSpan w:val="5"/>
          </w:tcPr>
          <w:p>
            <w:pPr>
              <w:ind w:left="80"/>
              <w:spacing w:after="0" w:line="168" w:lineRule="exact"/>
              <w:rPr>
                <w:sz w:val="20"/>
                <w:szCs w:val="20"/>
                <w:color w:val="auto"/>
              </w:rPr>
            </w:pPr>
            <w:r>
              <w:rPr>
                <w:rFonts w:ascii="Courier New" w:cs="Courier New" w:eastAsia="Courier New" w:hAnsi="Courier New"/>
                <w:sz w:val="15"/>
                <w:szCs w:val="15"/>
                <w:color w:val="auto"/>
                <w:w w:val="99"/>
              </w:rPr>
              <w:t>=======================================</w:t>
            </w:r>
          </w:p>
        </w:tc>
        <w:tc>
          <w:tcPr>
            <w:tcW w:w="15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380" w:type="dxa"/>
            <w:vAlign w:val="bottom"/>
          </w:tcPr>
          <w:p>
            <w:pPr>
              <w:spacing w:after="0"/>
              <w:rPr>
                <w:sz w:val="20"/>
                <w:szCs w:val="20"/>
                <w:color w:val="auto"/>
              </w:rPr>
            </w:pPr>
            <w:r>
              <w:rPr>
                <w:rFonts w:ascii="Courier New" w:cs="Courier New" w:eastAsia="Courier New" w:hAnsi="Courier New"/>
                <w:sz w:val="15"/>
                <w:szCs w:val="15"/>
                <w:color w:val="auto"/>
              </w:rPr>
              <w:t>Basic earnings per common</w:t>
            </w: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0.54</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0.35</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per</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share</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0.51</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0.34</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shares</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outstanding:</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Basic</w:t>
            </w:r>
          </w:p>
        </w:tc>
        <w:tc>
          <w:tcPr>
            <w:tcW w:w="42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9,247</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11,005</w:t>
            </w:r>
          </w:p>
        </w:tc>
      </w:tr>
      <w:tr>
        <w:trPr>
          <w:trHeight w:val="168"/>
        </w:trPr>
        <w:tc>
          <w:tcPr>
            <w:tcW w:w="2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Diluted</w:t>
            </w:r>
          </w:p>
        </w:tc>
        <w:tc>
          <w:tcPr>
            <w:tcW w:w="42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9,756</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11,462</w:t>
            </w:r>
          </w:p>
        </w:tc>
      </w:tr>
    </w:tbl>
    <w:p>
      <w:pPr>
        <w:spacing w:after="0" w:line="335" w:lineRule="exact"/>
        <w:rPr>
          <w:sz w:val="20"/>
          <w:szCs w:val="20"/>
          <w:color w:val="auto"/>
        </w:rPr>
      </w:pPr>
    </w:p>
    <w:p>
      <w:pPr>
        <w:jc w:val="center"/>
        <w:ind w:right="4200"/>
        <w:spacing w:after="0"/>
        <w:rPr>
          <w:sz w:val="20"/>
          <w:szCs w:val="20"/>
          <w:color w:val="auto"/>
        </w:rPr>
      </w:pPr>
      <w:r>
        <w:rPr>
          <w:rFonts w:ascii="Courier New" w:cs="Courier New" w:eastAsia="Courier New" w:hAnsi="Courier New"/>
          <w:sz w:val="15"/>
          <w:szCs w:val="15"/>
          <w:color w:val="auto"/>
        </w:rPr>
        <w:t>See accompanying notes to unaudited pro forma condensed</w:t>
      </w:r>
    </w:p>
    <w:p>
      <w:pPr>
        <w:jc w:val="center"/>
        <w:ind w:right="4280"/>
        <w:spacing w:after="0" w:line="237" w:lineRule="auto"/>
        <w:rPr>
          <w:sz w:val="20"/>
          <w:szCs w:val="20"/>
          <w:color w:val="auto"/>
        </w:rPr>
      </w:pPr>
      <w:r>
        <w:rPr>
          <w:rFonts w:ascii="Courier New" w:cs="Courier New" w:eastAsia="Courier New" w:hAnsi="Courier New"/>
          <w:sz w:val="15"/>
          <w:szCs w:val="15"/>
          <w:color w:val="auto"/>
        </w:rPr>
        <w:t>combined financial statements.</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1300"/>
          </w:cols>
          <w:pgMar w:left="220" w:top="785" w:right="379" w:bottom="1440" w:gutter="0" w:footer="0" w:header="0"/>
        </w:sectPr>
      </w:pPr>
    </w:p>
    <w:bookmarkStart w:id="11" w:name="page12"/>
    <w:bookmarkEnd w:id="11"/>
    <w:p>
      <w:pPr>
        <w:jc w:val="center"/>
        <w:ind w:right="880"/>
        <w:spacing w:after="0"/>
        <w:rPr>
          <w:sz w:val="20"/>
          <w:szCs w:val="20"/>
          <w:color w:val="auto"/>
        </w:rPr>
      </w:pPr>
      <w:r>
        <w:rPr>
          <w:rFonts w:ascii="Courier New" w:cs="Courier New" w:eastAsia="Courier New" w:hAnsi="Courier New"/>
          <w:sz w:val="15"/>
          <w:szCs w:val="15"/>
          <w:color w:val="auto"/>
        </w:rPr>
        <w:t>Unaudited Pro Forma Condensed Combined Statements of Operations</w:t>
      </w:r>
    </w:p>
    <w:p>
      <w:pPr>
        <w:jc w:val="center"/>
        <w:ind w:right="880"/>
        <w:spacing w:after="0" w:line="237" w:lineRule="auto"/>
        <w:rPr>
          <w:sz w:val="20"/>
          <w:szCs w:val="20"/>
          <w:color w:val="auto"/>
        </w:rPr>
      </w:pPr>
      <w:r>
        <w:rPr>
          <w:rFonts w:ascii="Courier New" w:cs="Courier New" w:eastAsia="Courier New" w:hAnsi="Courier New"/>
          <w:sz w:val="15"/>
          <w:szCs w:val="15"/>
          <w:color w:val="auto"/>
        </w:rPr>
        <w:t>For the fiscal year ended June 30, 2001</w:t>
      </w:r>
    </w:p>
    <w:tbl>
      <w:tblPr>
        <w:tblLayout w:type="fixed"/>
        <w:tblInd w:w="0" w:type="dxa"/>
        <w:tblCellMar>
          <w:top w:w="0" w:type="dxa"/>
          <w:left w:w="0" w:type="dxa"/>
          <w:bottom w:w="0" w:type="dxa"/>
          <w:right w:w="0" w:type="dxa"/>
        </w:tblCellMar>
      </w:tblPr>
      <w:tr>
        <w:trPr>
          <w:trHeight w:val="169"/>
        </w:trPr>
        <w:tc>
          <w:tcPr>
            <w:tcW w:w="2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60" w:type="dxa"/>
            <w:vAlign w:val="bottom"/>
            <w:gridSpan w:val="2"/>
          </w:tcPr>
          <w:p>
            <w:pPr>
              <w:jc w:val="right"/>
              <w:ind w:right="407"/>
              <w:spacing w:after="0" w:line="169" w:lineRule="exact"/>
              <w:rPr>
                <w:sz w:val="20"/>
                <w:szCs w:val="20"/>
                <w:color w:val="auto"/>
              </w:rPr>
            </w:pPr>
            <w:r>
              <w:rPr>
                <w:rFonts w:ascii="Courier New" w:cs="Courier New" w:eastAsia="Courier New" w:hAnsi="Courier New"/>
                <w:sz w:val="15"/>
                <w:szCs w:val="15"/>
                <w:color w:val="auto"/>
                <w:w w:val="95"/>
              </w:rPr>
              <w:t>(in `000s)</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505"/>
        </w:trPr>
        <w:tc>
          <w:tcPr>
            <w:tcW w:w="2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Pro Forma</w:t>
            </w:r>
          </w:p>
        </w:tc>
      </w:tr>
      <w:tr>
        <w:trPr>
          <w:trHeight w:val="168"/>
        </w:trPr>
        <w:tc>
          <w:tcPr>
            <w:tcW w:w="2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8"/>
              </w:rPr>
              <w:t>Pro Forma</w:t>
            </w:r>
          </w:p>
        </w:tc>
        <w:tc>
          <w:tcPr>
            <w:tcW w:w="260" w:type="dxa"/>
            <w:vAlign w:val="bottom"/>
          </w:tcPr>
          <w:p>
            <w:pPr>
              <w:spacing w:after="0"/>
              <w:rPr>
                <w:sz w:val="14"/>
                <w:szCs w:val="14"/>
                <w:color w:val="auto"/>
              </w:rPr>
            </w:pP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Pro Forma</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60" w:type="dxa"/>
            <w:vAlign w:val="bottom"/>
            <w:gridSpan w:val="2"/>
          </w:tcPr>
          <w:p>
            <w:pPr>
              <w:jc w:val="center"/>
              <w:ind w:right="47"/>
              <w:spacing w:after="0" w:line="168" w:lineRule="exact"/>
              <w:rPr>
                <w:sz w:val="20"/>
                <w:szCs w:val="20"/>
                <w:color w:val="auto"/>
              </w:rPr>
            </w:pPr>
            <w:r>
              <w:rPr>
                <w:rFonts w:ascii="Courier New" w:cs="Courier New" w:eastAsia="Courier New" w:hAnsi="Courier New"/>
                <w:sz w:val="15"/>
                <w:szCs w:val="15"/>
                <w:color w:val="auto"/>
                <w:w w:val="96"/>
              </w:rPr>
              <w:t>Pro Forma</w:t>
            </w:r>
          </w:p>
        </w:tc>
        <w:tc>
          <w:tcPr>
            <w:tcW w:w="220" w:type="dxa"/>
            <w:vAlign w:val="bottom"/>
          </w:tcPr>
          <w:p>
            <w:pPr>
              <w:spacing w:after="0"/>
              <w:rPr>
                <w:sz w:val="14"/>
                <w:szCs w:val="14"/>
                <w:color w:val="auto"/>
              </w:rPr>
            </w:pPr>
          </w:p>
        </w:tc>
        <w:tc>
          <w:tcPr>
            <w:tcW w:w="12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Combined</w:t>
            </w:r>
          </w:p>
        </w:tc>
      </w:tr>
      <w:tr>
        <w:trPr>
          <w:trHeight w:val="168"/>
        </w:trPr>
        <w:tc>
          <w:tcPr>
            <w:tcW w:w="2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Adjustments</w:t>
            </w:r>
          </w:p>
        </w:tc>
        <w:tc>
          <w:tcPr>
            <w:tcW w:w="260" w:type="dxa"/>
            <w:vAlign w:val="bottom"/>
          </w:tcPr>
          <w:p>
            <w:pPr>
              <w:spacing w:after="0"/>
              <w:rPr>
                <w:sz w:val="14"/>
                <w:szCs w:val="14"/>
                <w:color w:val="auto"/>
              </w:rPr>
            </w:pP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Combined</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60" w:type="dxa"/>
            <w:vAlign w:val="bottom"/>
            <w:gridSpan w:val="2"/>
          </w:tcPr>
          <w:p>
            <w:pPr>
              <w:jc w:val="center"/>
              <w:ind w:right="47"/>
              <w:spacing w:after="0" w:line="168" w:lineRule="exact"/>
              <w:rPr>
                <w:sz w:val="20"/>
                <w:szCs w:val="20"/>
                <w:color w:val="auto"/>
              </w:rPr>
            </w:pPr>
            <w:r>
              <w:rPr>
                <w:rFonts w:ascii="Courier New" w:cs="Courier New" w:eastAsia="Courier New" w:hAnsi="Courier New"/>
                <w:sz w:val="15"/>
                <w:szCs w:val="15"/>
                <w:color w:val="auto"/>
                <w:w w:val="98"/>
              </w:rPr>
              <w:t>Adjustments</w:t>
            </w:r>
          </w:p>
        </w:tc>
        <w:tc>
          <w:tcPr>
            <w:tcW w:w="220" w:type="dxa"/>
            <w:vAlign w:val="bottom"/>
          </w:tcPr>
          <w:p>
            <w:pPr>
              <w:spacing w:after="0"/>
              <w:rPr>
                <w:sz w:val="14"/>
                <w:szCs w:val="14"/>
                <w:color w:val="auto"/>
              </w:rPr>
            </w:pPr>
          </w:p>
        </w:tc>
        <w:tc>
          <w:tcPr>
            <w:tcW w:w="12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for Ivron</w:t>
            </w:r>
          </w:p>
        </w:tc>
      </w:tr>
      <w:tr>
        <w:trPr>
          <w:trHeight w:val="168"/>
        </w:trPr>
        <w:tc>
          <w:tcPr>
            <w:tcW w:w="2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8"/>
              </w:rPr>
              <w:t>for Ivron</w:t>
            </w:r>
          </w:p>
        </w:tc>
        <w:tc>
          <w:tcPr>
            <w:tcW w:w="260" w:type="dxa"/>
            <w:vAlign w:val="bottom"/>
          </w:tcPr>
          <w:p>
            <w:pPr>
              <w:spacing w:after="0"/>
              <w:rPr>
                <w:sz w:val="14"/>
                <w:szCs w:val="14"/>
                <w:color w:val="auto"/>
              </w:rPr>
            </w:pP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for Ivron</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jc w:val="center"/>
              <w:ind w:right="487"/>
              <w:spacing w:after="0" w:line="168" w:lineRule="exact"/>
              <w:rPr>
                <w:sz w:val="20"/>
                <w:szCs w:val="20"/>
                <w:color w:val="auto"/>
              </w:rPr>
            </w:pPr>
            <w:r>
              <w:rPr>
                <w:rFonts w:ascii="Courier New" w:cs="Courier New" w:eastAsia="Courier New" w:hAnsi="Courier New"/>
                <w:sz w:val="15"/>
                <w:szCs w:val="15"/>
                <w:color w:val="auto"/>
                <w:w w:val="96"/>
              </w:rPr>
              <w:t>for</w:t>
            </w:r>
          </w:p>
        </w:tc>
        <w:tc>
          <w:tcPr>
            <w:tcW w:w="220" w:type="dxa"/>
            <w:vAlign w:val="bottom"/>
          </w:tcPr>
          <w:p>
            <w:pPr>
              <w:spacing w:after="0"/>
              <w:rPr>
                <w:sz w:val="14"/>
                <w:szCs w:val="14"/>
                <w:color w:val="auto"/>
              </w:rPr>
            </w:pPr>
          </w:p>
        </w:tc>
        <w:tc>
          <w:tcPr>
            <w:tcW w:w="12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Systems and</w:t>
            </w:r>
          </w:p>
        </w:tc>
      </w:tr>
      <w:tr>
        <w:trPr>
          <w:trHeight w:val="168"/>
        </w:trPr>
        <w:tc>
          <w:tcPr>
            <w:tcW w:w="2380" w:type="dxa"/>
            <w:vAlign w:val="bottom"/>
          </w:tcPr>
          <w:p>
            <w:pPr>
              <w:spacing w:after="0"/>
              <w:rPr>
                <w:sz w:val="14"/>
                <w:szCs w:val="14"/>
                <w:color w:val="auto"/>
              </w:rPr>
            </w:pPr>
          </w:p>
        </w:tc>
        <w:tc>
          <w:tcPr>
            <w:tcW w:w="11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ClearOne</w:t>
            </w:r>
          </w:p>
        </w:tc>
        <w:tc>
          <w:tcPr>
            <w:tcW w:w="28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Ivron</w:t>
            </w:r>
          </w:p>
        </w:tc>
        <w:tc>
          <w:tcPr>
            <w:tcW w:w="260" w:type="dxa"/>
            <w:vAlign w:val="bottom"/>
          </w:tcPr>
          <w:p>
            <w:pPr>
              <w:spacing w:after="0"/>
              <w:rPr>
                <w:sz w:val="14"/>
                <w:szCs w:val="14"/>
                <w:color w:val="auto"/>
              </w:rPr>
            </w:pPr>
          </w:p>
        </w:tc>
        <w:tc>
          <w:tcPr>
            <w:tcW w:w="110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5"/>
              </w:rPr>
              <w:t>Systems</w:t>
            </w:r>
          </w:p>
        </w:tc>
        <w:tc>
          <w:tcPr>
            <w:tcW w:w="26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Systems</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E.mergent</w:t>
            </w:r>
          </w:p>
        </w:tc>
        <w:tc>
          <w:tcPr>
            <w:tcW w:w="1260" w:type="dxa"/>
            <w:vAlign w:val="bottom"/>
            <w:gridSpan w:val="2"/>
          </w:tcPr>
          <w:p>
            <w:pPr>
              <w:jc w:val="center"/>
              <w:ind w:right="47"/>
              <w:spacing w:after="0" w:line="168" w:lineRule="exact"/>
              <w:rPr>
                <w:sz w:val="20"/>
                <w:szCs w:val="20"/>
                <w:color w:val="auto"/>
              </w:rPr>
            </w:pPr>
            <w:r>
              <w:rPr>
                <w:rFonts w:ascii="Courier New" w:cs="Courier New" w:eastAsia="Courier New" w:hAnsi="Courier New"/>
                <w:sz w:val="15"/>
                <w:szCs w:val="15"/>
                <w:color w:val="auto"/>
                <w:w w:val="96"/>
              </w:rPr>
              <w:t>E.mergent</w:t>
            </w:r>
          </w:p>
        </w:tc>
        <w:tc>
          <w:tcPr>
            <w:tcW w:w="220" w:type="dxa"/>
            <w:vAlign w:val="bottom"/>
          </w:tcPr>
          <w:p>
            <w:pPr>
              <w:spacing w:after="0"/>
              <w:rPr>
                <w:sz w:val="14"/>
                <w:szCs w:val="14"/>
                <w:color w:val="auto"/>
              </w:rPr>
            </w:pPr>
          </w:p>
        </w:tc>
        <w:tc>
          <w:tcPr>
            <w:tcW w:w="12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E.mergent</w:t>
            </w:r>
          </w:p>
        </w:tc>
      </w:tr>
      <w:tr>
        <w:trPr>
          <w:trHeight w:val="168"/>
        </w:trPr>
        <w:tc>
          <w:tcPr>
            <w:tcW w:w="2380" w:type="dxa"/>
            <w:vAlign w:val="bottom"/>
          </w:tcPr>
          <w:p>
            <w:pPr>
              <w:spacing w:after="0"/>
              <w:rPr>
                <w:sz w:val="14"/>
                <w:szCs w:val="14"/>
                <w:color w:val="auto"/>
              </w:rPr>
            </w:pPr>
          </w:p>
        </w:tc>
        <w:tc>
          <w:tcPr>
            <w:tcW w:w="22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9"/>
              </w:rPr>
              <w:t>(Historical) (Historical)</w:t>
            </w:r>
          </w:p>
        </w:tc>
        <w:tc>
          <w:tcPr>
            <w:tcW w:w="13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Acquisition</w:t>
            </w:r>
          </w:p>
        </w:tc>
        <w:tc>
          <w:tcPr>
            <w:tcW w:w="260" w:type="dxa"/>
            <w:vAlign w:val="bottom"/>
          </w:tcPr>
          <w:p>
            <w:pPr>
              <w:spacing w:after="0"/>
              <w:rPr>
                <w:sz w:val="14"/>
                <w:szCs w:val="14"/>
                <w:color w:val="auto"/>
              </w:rPr>
            </w:pPr>
          </w:p>
        </w:tc>
        <w:tc>
          <w:tcPr>
            <w:tcW w:w="11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Acquisition</w:t>
            </w:r>
          </w:p>
        </w:tc>
        <w:tc>
          <w:tcPr>
            <w:tcW w:w="2400" w:type="dxa"/>
            <w:vAlign w:val="bottom"/>
            <w:gridSpan w:val="4"/>
          </w:tcPr>
          <w:p>
            <w:pPr>
              <w:jc w:val="right"/>
              <w:ind w:right="127"/>
              <w:spacing w:after="0" w:line="168" w:lineRule="exact"/>
              <w:rPr>
                <w:sz w:val="20"/>
                <w:szCs w:val="20"/>
                <w:color w:val="auto"/>
              </w:rPr>
            </w:pPr>
            <w:r>
              <w:rPr>
                <w:rFonts w:ascii="Courier New" w:cs="Courier New" w:eastAsia="Courier New" w:hAnsi="Courier New"/>
                <w:sz w:val="15"/>
                <w:szCs w:val="15"/>
                <w:color w:val="auto"/>
              </w:rPr>
              <w:t>(Historical) Acquisition</w:t>
            </w:r>
          </w:p>
        </w:tc>
        <w:tc>
          <w:tcPr>
            <w:tcW w:w="220" w:type="dxa"/>
            <w:vAlign w:val="bottom"/>
          </w:tcPr>
          <w:p>
            <w:pPr>
              <w:spacing w:after="0"/>
              <w:rPr>
                <w:sz w:val="14"/>
                <w:szCs w:val="14"/>
                <w:color w:val="auto"/>
              </w:rPr>
            </w:pPr>
          </w:p>
        </w:tc>
        <w:tc>
          <w:tcPr>
            <w:tcW w:w="12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Acquisitions</w:t>
            </w:r>
          </w:p>
        </w:tc>
      </w:tr>
      <w:tr>
        <w:trPr>
          <w:trHeight w:val="168"/>
        </w:trPr>
        <w:tc>
          <w:tcPr>
            <w:tcW w:w="2380" w:type="dxa"/>
            <w:vAlign w:val="bottom"/>
          </w:tcPr>
          <w:p>
            <w:pPr>
              <w:spacing w:after="0"/>
              <w:rPr>
                <w:sz w:val="14"/>
                <w:szCs w:val="14"/>
                <w:color w:val="auto"/>
              </w:rPr>
            </w:pPr>
          </w:p>
        </w:tc>
        <w:tc>
          <w:tcPr>
            <w:tcW w:w="8920" w:type="dxa"/>
            <w:vAlign w:val="bottom"/>
            <w:gridSpan w:val="15"/>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505"/>
        </w:trPr>
        <w:tc>
          <w:tcPr>
            <w:tcW w:w="23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1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$ 39,878</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608</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$ 40,486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22,503</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(188)</w:t>
            </w:r>
          </w:p>
        </w:tc>
        <w:tc>
          <w:tcPr>
            <w:tcW w:w="220" w:type="dxa"/>
            <w:vAlign w:val="bottom"/>
          </w:tcPr>
          <w:p>
            <w:pPr>
              <w:ind w:left="60"/>
              <w:spacing w:after="0"/>
              <w:rPr>
                <w:sz w:val="20"/>
                <w:szCs w:val="20"/>
                <w:color w:val="auto"/>
              </w:rPr>
            </w:pPr>
            <w:r>
              <w:rPr>
                <w:rFonts w:ascii="Courier New" w:cs="Courier New" w:eastAsia="Courier New" w:hAnsi="Courier New"/>
                <w:sz w:val="15"/>
                <w:szCs w:val="15"/>
                <w:color w:val="auto"/>
              </w:rPr>
              <w:t>K</w:t>
            </w:r>
          </w:p>
        </w:tc>
        <w:tc>
          <w:tcPr>
            <w:tcW w:w="4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62,801</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goods sold</w:t>
            </w:r>
          </w:p>
        </w:tc>
        <w:tc>
          <w:tcPr>
            <w:tcW w:w="42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16,503</w:t>
            </w:r>
          </w:p>
        </w:tc>
        <w:tc>
          <w:tcPr>
            <w:tcW w:w="28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798</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17,301</w:t>
            </w:r>
          </w:p>
        </w:tc>
        <w:tc>
          <w:tcPr>
            <w:tcW w:w="40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14,270</w:t>
            </w:r>
          </w:p>
        </w:tc>
        <w:tc>
          <w:tcPr>
            <w:tcW w:w="44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(188)</w:t>
            </w:r>
          </w:p>
        </w:tc>
        <w:tc>
          <w:tcPr>
            <w:tcW w:w="2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K</w:t>
            </w:r>
          </w:p>
        </w:tc>
        <w:tc>
          <w:tcPr>
            <w:tcW w:w="40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31,383</w:t>
            </w:r>
          </w:p>
        </w:tc>
      </w:tr>
      <w:tr>
        <w:trPr>
          <w:trHeight w:val="168"/>
        </w:trPr>
        <w:tc>
          <w:tcPr>
            <w:tcW w:w="238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6"/>
                <w:szCs w:val="6"/>
                <w:color w:val="auto"/>
                <w:w w:val="70"/>
              </w:rPr>
              <w:t>----------------------------------------</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580" w:type="dxa"/>
            <w:vAlign w:val="bottom"/>
            <w:gridSpan w:val="5"/>
          </w:tcPr>
          <w:p>
            <w:pPr>
              <w:ind w:left="140"/>
              <w:spacing w:after="0" w:line="168" w:lineRule="exact"/>
              <w:rPr>
                <w:sz w:val="20"/>
                <w:szCs w:val="20"/>
                <w:color w:val="auto"/>
              </w:rPr>
            </w:pPr>
            <w:r>
              <w:rPr>
                <w:rFonts w:ascii="Courier New" w:cs="Courier New" w:eastAsia="Courier New" w:hAnsi="Courier New"/>
                <w:sz w:val="15"/>
                <w:szCs w:val="15"/>
                <w:color w:val="auto"/>
                <w:w w:val="97"/>
              </w:rPr>
              <w:t>---------------------------------------</w:t>
            </w:r>
          </w:p>
        </w:tc>
        <w:tc>
          <w:tcPr>
            <w:tcW w:w="220" w:type="dxa"/>
            <w:vAlign w:val="bottom"/>
          </w:tcPr>
          <w:p>
            <w:pPr>
              <w:spacing w:after="0"/>
              <w:rPr>
                <w:sz w:val="14"/>
                <w:szCs w:val="14"/>
                <w:color w:val="auto"/>
              </w:rPr>
            </w:pPr>
          </w:p>
        </w:tc>
        <w:tc>
          <w:tcPr>
            <w:tcW w:w="12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 (loss)</w:t>
            </w:r>
          </w:p>
        </w:tc>
        <w:tc>
          <w:tcPr>
            <w:tcW w:w="42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23,375</w:t>
            </w:r>
          </w:p>
        </w:tc>
        <w:tc>
          <w:tcPr>
            <w:tcW w:w="28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(190)</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23,185</w:t>
            </w:r>
          </w:p>
        </w:tc>
        <w:tc>
          <w:tcPr>
            <w:tcW w:w="40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8,233</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31,418</w:t>
            </w:r>
          </w:p>
        </w:tc>
      </w:tr>
      <w:tr>
        <w:trPr>
          <w:trHeight w:val="336"/>
        </w:trPr>
        <w:tc>
          <w:tcPr>
            <w:tcW w:w="23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Marketing and selling</w:t>
            </w:r>
          </w:p>
        </w:tc>
        <w:tc>
          <w:tcPr>
            <w:tcW w:w="42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7,753</w:t>
            </w:r>
          </w:p>
        </w:tc>
        <w:tc>
          <w:tcPr>
            <w:tcW w:w="28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1,588</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9,341</w:t>
            </w:r>
          </w:p>
        </w:tc>
        <w:tc>
          <w:tcPr>
            <w:tcW w:w="40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3,449</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12,790</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42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4,649</w:t>
            </w:r>
          </w:p>
        </w:tc>
        <w:tc>
          <w:tcPr>
            <w:tcW w:w="28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555</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(182)</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5,022</w:t>
            </w:r>
          </w:p>
        </w:tc>
        <w:tc>
          <w:tcPr>
            <w:tcW w:w="40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3,276</w:t>
            </w:r>
          </w:p>
        </w:tc>
        <w:tc>
          <w:tcPr>
            <w:tcW w:w="44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(224)</w:t>
            </w:r>
          </w:p>
        </w:tc>
        <w:tc>
          <w:tcPr>
            <w:tcW w:w="2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A</w:t>
            </w:r>
          </w:p>
        </w:tc>
        <w:tc>
          <w:tcPr>
            <w:tcW w:w="40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8,074</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Research and product</w:t>
            </w: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development</w:t>
            </w:r>
          </w:p>
        </w:tc>
        <w:tc>
          <w:tcPr>
            <w:tcW w:w="42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2,502</w:t>
            </w:r>
          </w:p>
        </w:tc>
        <w:tc>
          <w:tcPr>
            <w:tcW w:w="28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732</w:t>
            </w:r>
          </w:p>
        </w:tc>
        <w:tc>
          <w:tcPr>
            <w:tcW w:w="26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555</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3,789</w:t>
            </w:r>
          </w:p>
        </w:tc>
        <w:tc>
          <w:tcPr>
            <w:tcW w:w="40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689</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4,478</w:t>
            </w:r>
          </w:p>
        </w:tc>
      </w:tr>
      <w:tr>
        <w:trPr>
          <w:trHeight w:val="168"/>
        </w:trPr>
        <w:tc>
          <w:tcPr>
            <w:tcW w:w="238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6"/>
                <w:szCs w:val="6"/>
                <w:color w:val="auto"/>
                <w:w w:val="70"/>
              </w:rPr>
              <w:t>----------------------------------------</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580" w:type="dxa"/>
            <w:vAlign w:val="bottom"/>
            <w:gridSpan w:val="5"/>
          </w:tcPr>
          <w:p>
            <w:pPr>
              <w:ind w:left="140"/>
              <w:spacing w:after="0" w:line="168" w:lineRule="exact"/>
              <w:rPr>
                <w:sz w:val="20"/>
                <w:szCs w:val="20"/>
                <w:color w:val="auto"/>
              </w:rPr>
            </w:pPr>
            <w:r>
              <w:rPr>
                <w:rFonts w:ascii="Courier New" w:cs="Courier New" w:eastAsia="Courier New" w:hAnsi="Courier New"/>
                <w:sz w:val="15"/>
                <w:szCs w:val="15"/>
                <w:color w:val="auto"/>
                <w:w w:val="97"/>
              </w:rPr>
              <w:t>---------------------------------------</w:t>
            </w:r>
          </w:p>
        </w:tc>
        <w:tc>
          <w:tcPr>
            <w:tcW w:w="220" w:type="dxa"/>
            <w:vAlign w:val="bottom"/>
          </w:tcPr>
          <w:p>
            <w:pPr>
              <w:spacing w:after="0"/>
              <w:rPr>
                <w:sz w:val="14"/>
                <w:szCs w:val="14"/>
                <w:color w:val="auto"/>
              </w:rPr>
            </w:pPr>
          </w:p>
        </w:tc>
        <w:tc>
          <w:tcPr>
            <w:tcW w:w="12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operating expenses</w:t>
            </w:r>
          </w:p>
        </w:tc>
        <w:tc>
          <w:tcPr>
            <w:tcW w:w="42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14,904</w:t>
            </w:r>
          </w:p>
        </w:tc>
        <w:tc>
          <w:tcPr>
            <w:tcW w:w="28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2,875</w:t>
            </w:r>
          </w:p>
        </w:tc>
        <w:tc>
          <w:tcPr>
            <w:tcW w:w="26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373</w:t>
            </w:r>
          </w:p>
        </w:tc>
        <w:tc>
          <w:tcPr>
            <w:tcW w:w="26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18,152</w:t>
            </w:r>
          </w:p>
        </w:tc>
        <w:tc>
          <w:tcPr>
            <w:tcW w:w="40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7,414</w:t>
            </w:r>
          </w:p>
        </w:tc>
        <w:tc>
          <w:tcPr>
            <w:tcW w:w="44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(224)</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25,342</w:t>
            </w:r>
          </w:p>
        </w:tc>
      </w:tr>
      <w:tr>
        <w:trPr>
          <w:trHeight w:val="168"/>
        </w:trPr>
        <w:tc>
          <w:tcPr>
            <w:tcW w:w="238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6"/>
                <w:szCs w:val="6"/>
                <w:color w:val="auto"/>
                <w:w w:val="70"/>
              </w:rPr>
              <w:t>----------------------------------------</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580" w:type="dxa"/>
            <w:vAlign w:val="bottom"/>
            <w:gridSpan w:val="5"/>
          </w:tcPr>
          <w:p>
            <w:pPr>
              <w:ind w:left="140"/>
              <w:spacing w:after="0" w:line="168" w:lineRule="exact"/>
              <w:rPr>
                <w:sz w:val="20"/>
                <w:szCs w:val="20"/>
                <w:color w:val="auto"/>
              </w:rPr>
            </w:pPr>
            <w:r>
              <w:rPr>
                <w:rFonts w:ascii="Courier New" w:cs="Courier New" w:eastAsia="Courier New" w:hAnsi="Courier New"/>
                <w:sz w:val="15"/>
                <w:szCs w:val="15"/>
                <w:color w:val="auto"/>
                <w:w w:val="97"/>
              </w:rPr>
              <w:t>---------------------------------------</w:t>
            </w:r>
          </w:p>
        </w:tc>
        <w:tc>
          <w:tcPr>
            <w:tcW w:w="220" w:type="dxa"/>
            <w:vAlign w:val="bottom"/>
          </w:tcPr>
          <w:p>
            <w:pPr>
              <w:spacing w:after="0"/>
              <w:rPr>
                <w:sz w:val="14"/>
                <w:szCs w:val="14"/>
                <w:color w:val="auto"/>
              </w:rPr>
            </w:pPr>
          </w:p>
        </w:tc>
        <w:tc>
          <w:tcPr>
            <w:tcW w:w="12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 (loss)</w:t>
            </w:r>
          </w:p>
        </w:tc>
        <w:tc>
          <w:tcPr>
            <w:tcW w:w="42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8,471</w:t>
            </w:r>
          </w:p>
        </w:tc>
        <w:tc>
          <w:tcPr>
            <w:tcW w:w="28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(3,065)</w:t>
            </w:r>
          </w:p>
        </w:tc>
        <w:tc>
          <w:tcPr>
            <w:tcW w:w="26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(373)</w:t>
            </w:r>
          </w:p>
        </w:tc>
        <w:tc>
          <w:tcPr>
            <w:tcW w:w="26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5,033</w:t>
            </w:r>
          </w:p>
        </w:tc>
        <w:tc>
          <w:tcPr>
            <w:tcW w:w="40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819</w:t>
            </w:r>
          </w:p>
        </w:tc>
        <w:tc>
          <w:tcPr>
            <w:tcW w:w="4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224</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6,076</w:t>
            </w:r>
          </w:p>
        </w:tc>
      </w:tr>
      <w:tr>
        <w:trPr>
          <w:trHeight w:val="336"/>
        </w:trPr>
        <w:tc>
          <w:tcPr>
            <w:tcW w:w="238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420" w:type="dxa"/>
            <w:vAlign w:val="bottom"/>
          </w:tcPr>
          <w:p>
            <w:pPr>
              <w:spacing w:after="0"/>
              <w:rPr>
                <w:sz w:val="24"/>
                <w:szCs w:val="2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373</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373</w:t>
            </w:r>
          </w:p>
        </w:tc>
        <w:tc>
          <w:tcPr>
            <w:tcW w:w="40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(151)</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222</w:t>
            </w:r>
          </w:p>
        </w:tc>
      </w:tr>
      <w:tr>
        <w:trPr>
          <w:trHeight w:val="168"/>
        </w:trPr>
        <w:tc>
          <w:tcPr>
            <w:tcW w:w="238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6"/>
                <w:szCs w:val="6"/>
                <w:color w:val="auto"/>
                <w:w w:val="70"/>
              </w:rPr>
              <w:t>----------------------------------------</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580" w:type="dxa"/>
            <w:vAlign w:val="bottom"/>
            <w:gridSpan w:val="5"/>
          </w:tcPr>
          <w:p>
            <w:pPr>
              <w:ind w:left="140"/>
              <w:spacing w:after="0" w:line="168" w:lineRule="exact"/>
              <w:rPr>
                <w:sz w:val="20"/>
                <w:szCs w:val="20"/>
                <w:color w:val="auto"/>
              </w:rPr>
            </w:pPr>
            <w:r>
              <w:rPr>
                <w:rFonts w:ascii="Courier New" w:cs="Courier New" w:eastAsia="Courier New" w:hAnsi="Courier New"/>
                <w:sz w:val="15"/>
                <w:szCs w:val="15"/>
                <w:color w:val="auto"/>
                <w:w w:val="97"/>
              </w:rPr>
              <w:t>---------------------------------------</w:t>
            </w:r>
          </w:p>
        </w:tc>
        <w:tc>
          <w:tcPr>
            <w:tcW w:w="220" w:type="dxa"/>
            <w:vAlign w:val="bottom"/>
          </w:tcPr>
          <w:p>
            <w:pPr>
              <w:spacing w:after="0"/>
              <w:rPr>
                <w:sz w:val="14"/>
                <w:szCs w:val="14"/>
                <w:color w:val="auto"/>
              </w:rPr>
            </w:pPr>
          </w:p>
        </w:tc>
        <w:tc>
          <w:tcPr>
            <w:tcW w:w="12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from</w:t>
            </w: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before income taxes</w:t>
            </w:r>
          </w:p>
        </w:tc>
        <w:tc>
          <w:tcPr>
            <w:tcW w:w="42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8,844</w:t>
            </w:r>
          </w:p>
        </w:tc>
        <w:tc>
          <w:tcPr>
            <w:tcW w:w="28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(3,065)</w:t>
            </w:r>
          </w:p>
        </w:tc>
        <w:tc>
          <w:tcPr>
            <w:tcW w:w="26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(373)</w:t>
            </w:r>
          </w:p>
        </w:tc>
        <w:tc>
          <w:tcPr>
            <w:tcW w:w="26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5,406</w:t>
            </w:r>
          </w:p>
        </w:tc>
        <w:tc>
          <w:tcPr>
            <w:tcW w:w="40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668</w:t>
            </w:r>
          </w:p>
        </w:tc>
        <w:tc>
          <w:tcPr>
            <w:tcW w:w="4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224</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6,298</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(benefit) for</w:t>
            </w: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taxes</w:t>
            </w:r>
          </w:p>
        </w:tc>
        <w:tc>
          <w:tcPr>
            <w:tcW w:w="42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3,319</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(139)</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3,180</w:t>
            </w:r>
          </w:p>
        </w:tc>
        <w:tc>
          <w:tcPr>
            <w:tcW w:w="4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w:t>
            </w:r>
          </w:p>
        </w:tc>
        <w:tc>
          <w:tcPr>
            <w:tcW w:w="4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83</w:t>
            </w:r>
          </w:p>
        </w:tc>
        <w:tc>
          <w:tcPr>
            <w:tcW w:w="2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C</w:t>
            </w:r>
          </w:p>
        </w:tc>
        <w:tc>
          <w:tcPr>
            <w:tcW w:w="40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3,193</w:t>
            </w:r>
          </w:p>
        </w:tc>
      </w:tr>
      <w:tr>
        <w:trPr>
          <w:trHeight w:val="168"/>
        </w:trPr>
        <w:tc>
          <w:tcPr>
            <w:tcW w:w="238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6"/>
                <w:szCs w:val="6"/>
                <w:color w:val="auto"/>
                <w:w w:val="70"/>
              </w:rPr>
              <w:t>----------------------------------------</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580" w:type="dxa"/>
            <w:vAlign w:val="bottom"/>
            <w:gridSpan w:val="5"/>
          </w:tcPr>
          <w:p>
            <w:pPr>
              <w:ind w:left="140"/>
              <w:spacing w:after="0" w:line="168" w:lineRule="exact"/>
              <w:rPr>
                <w:sz w:val="20"/>
                <w:szCs w:val="20"/>
                <w:color w:val="auto"/>
              </w:rPr>
            </w:pPr>
            <w:r>
              <w:rPr>
                <w:rFonts w:ascii="Courier New" w:cs="Courier New" w:eastAsia="Courier New" w:hAnsi="Courier New"/>
                <w:sz w:val="15"/>
                <w:szCs w:val="15"/>
                <w:color w:val="auto"/>
                <w:w w:val="97"/>
              </w:rPr>
              <w:t>---------------------------------------</w:t>
            </w:r>
          </w:p>
        </w:tc>
        <w:tc>
          <w:tcPr>
            <w:tcW w:w="220" w:type="dxa"/>
            <w:vAlign w:val="bottom"/>
          </w:tcPr>
          <w:p>
            <w:pPr>
              <w:spacing w:after="0"/>
              <w:rPr>
                <w:sz w:val="14"/>
                <w:szCs w:val="14"/>
                <w:color w:val="auto"/>
              </w:rPr>
            </w:pPr>
          </w:p>
        </w:tc>
        <w:tc>
          <w:tcPr>
            <w:tcW w:w="12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from</w:t>
            </w: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4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5,525</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(3,065)</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(234)</w:t>
            </w:r>
          </w:p>
        </w:tc>
        <w:tc>
          <w:tcPr>
            <w:tcW w:w="26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2,226</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738</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141</w:t>
            </w:r>
          </w:p>
        </w:tc>
        <w:tc>
          <w:tcPr>
            <w:tcW w:w="220" w:type="dxa"/>
            <w:vAlign w:val="bottom"/>
          </w:tcPr>
          <w:p>
            <w:pPr>
              <w:spacing w:after="0"/>
              <w:rPr>
                <w:sz w:val="14"/>
                <w:szCs w:val="14"/>
                <w:color w:val="auto"/>
              </w:rPr>
            </w:pP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3,105</w:t>
            </w:r>
          </w:p>
        </w:tc>
      </w:tr>
      <w:tr>
        <w:trPr>
          <w:trHeight w:val="168"/>
        </w:trPr>
        <w:tc>
          <w:tcPr>
            <w:tcW w:w="2380" w:type="dxa"/>
            <w:vAlign w:val="bottom"/>
          </w:tcPr>
          <w:p>
            <w:pPr>
              <w:spacing w:after="0"/>
              <w:rPr>
                <w:sz w:val="14"/>
                <w:szCs w:val="14"/>
                <w:color w:val="auto"/>
              </w:rPr>
            </w:pPr>
          </w:p>
        </w:tc>
        <w:tc>
          <w:tcPr>
            <w:tcW w:w="3620" w:type="dxa"/>
            <w:vAlign w:val="bottom"/>
            <w:gridSpan w:val="6"/>
          </w:tcPr>
          <w:p>
            <w:pPr>
              <w:ind w:left="80"/>
              <w:spacing w:after="0" w:line="168" w:lineRule="exact"/>
              <w:rPr>
                <w:sz w:val="20"/>
                <w:szCs w:val="20"/>
                <w:color w:val="auto"/>
              </w:rPr>
            </w:pPr>
            <w:r>
              <w:rPr>
                <w:rFonts w:ascii="Courier New" w:cs="Courier New" w:eastAsia="Courier New" w:hAnsi="Courier New"/>
                <w:sz w:val="15"/>
                <w:szCs w:val="15"/>
                <w:color w:val="auto"/>
                <w:w w:val="97"/>
              </w:rPr>
              <w:t>========================================</w:t>
            </w:r>
          </w:p>
        </w:tc>
        <w:tc>
          <w:tcPr>
            <w:tcW w:w="260" w:type="dxa"/>
            <w:vAlign w:val="bottom"/>
          </w:tcPr>
          <w:p>
            <w:pPr>
              <w:spacing w:after="0"/>
              <w:rPr>
                <w:sz w:val="14"/>
                <w:szCs w:val="14"/>
                <w:color w:val="auto"/>
              </w:rPr>
            </w:pPr>
          </w:p>
        </w:tc>
        <w:tc>
          <w:tcPr>
            <w:tcW w:w="3580" w:type="dxa"/>
            <w:vAlign w:val="bottom"/>
            <w:gridSpan w:val="5"/>
          </w:tcPr>
          <w:p>
            <w:pPr>
              <w:ind w:left="140"/>
              <w:spacing w:after="0" w:line="168" w:lineRule="exact"/>
              <w:rPr>
                <w:sz w:val="20"/>
                <w:szCs w:val="20"/>
                <w:color w:val="auto"/>
              </w:rPr>
            </w:pPr>
            <w:r>
              <w:rPr>
                <w:rFonts w:ascii="Courier New" w:cs="Courier New" w:eastAsia="Courier New" w:hAnsi="Courier New"/>
                <w:sz w:val="15"/>
                <w:szCs w:val="15"/>
                <w:color w:val="auto"/>
                <w:w w:val="97"/>
              </w:rPr>
              <w:t>=======================================</w:t>
            </w:r>
          </w:p>
        </w:tc>
        <w:tc>
          <w:tcPr>
            <w:tcW w:w="220" w:type="dxa"/>
            <w:vAlign w:val="bottom"/>
          </w:tcPr>
          <w:p>
            <w:pPr>
              <w:spacing w:after="0"/>
              <w:rPr>
                <w:sz w:val="14"/>
                <w:szCs w:val="14"/>
                <w:color w:val="auto"/>
              </w:rPr>
            </w:pPr>
          </w:p>
        </w:tc>
        <w:tc>
          <w:tcPr>
            <w:tcW w:w="12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380" w:type="dxa"/>
            <w:vAlign w:val="bottom"/>
          </w:tcPr>
          <w:p>
            <w:pPr>
              <w:spacing w:after="0"/>
              <w:rPr>
                <w:sz w:val="20"/>
                <w:szCs w:val="20"/>
                <w:color w:val="auto"/>
              </w:rPr>
            </w:pPr>
            <w:r>
              <w:rPr>
                <w:rFonts w:ascii="Courier New" w:cs="Courier New" w:eastAsia="Courier New" w:hAnsi="Courier New"/>
                <w:sz w:val="15"/>
                <w:szCs w:val="15"/>
                <w:color w:val="auto"/>
              </w:rPr>
              <w:t>Basic earnings per common</w:t>
            </w: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w:t>
            </w:r>
          </w:p>
        </w:tc>
        <w:tc>
          <w:tcPr>
            <w:tcW w:w="4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0.64</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0.28</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per</w:t>
            </w: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share</w:t>
            </w:r>
          </w:p>
        </w:tc>
        <w:tc>
          <w:tcPr>
            <w:tcW w:w="4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0.61</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0.27</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shares</w:t>
            </w: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outstanding:</w:t>
            </w: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2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Basic</w:t>
            </w:r>
          </w:p>
        </w:tc>
        <w:tc>
          <w:tcPr>
            <w:tcW w:w="42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8,594</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10,960</w:t>
            </w:r>
          </w:p>
        </w:tc>
      </w:tr>
      <w:tr>
        <w:trPr>
          <w:trHeight w:val="168"/>
        </w:trPr>
        <w:tc>
          <w:tcPr>
            <w:tcW w:w="2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Diluted</w:t>
            </w:r>
          </w:p>
        </w:tc>
        <w:tc>
          <w:tcPr>
            <w:tcW w:w="42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9,016</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11,383</w:t>
            </w:r>
          </w:p>
        </w:tc>
      </w:tr>
    </w:tbl>
    <w:p>
      <w:pPr>
        <w:spacing w:after="0" w:line="335" w:lineRule="exact"/>
        <w:rPr>
          <w:sz w:val="20"/>
          <w:szCs w:val="20"/>
          <w:color w:val="auto"/>
        </w:rPr>
      </w:pPr>
    </w:p>
    <w:p>
      <w:pPr>
        <w:jc w:val="center"/>
        <w:ind w:right="4200"/>
        <w:spacing w:after="0"/>
        <w:rPr>
          <w:sz w:val="20"/>
          <w:szCs w:val="20"/>
          <w:color w:val="auto"/>
        </w:rPr>
      </w:pPr>
      <w:r>
        <w:rPr>
          <w:rFonts w:ascii="Courier New" w:cs="Courier New" w:eastAsia="Courier New" w:hAnsi="Courier New"/>
          <w:sz w:val="15"/>
          <w:szCs w:val="15"/>
          <w:color w:val="auto"/>
        </w:rPr>
        <w:t>See accompanying notes to unaudited pro forma condensed</w:t>
      </w:r>
    </w:p>
    <w:p>
      <w:pPr>
        <w:jc w:val="center"/>
        <w:ind w:right="4280"/>
        <w:spacing w:after="0" w:line="237" w:lineRule="auto"/>
        <w:rPr>
          <w:sz w:val="20"/>
          <w:szCs w:val="20"/>
          <w:color w:val="auto"/>
        </w:rPr>
      </w:pPr>
      <w:r>
        <w:rPr>
          <w:rFonts w:ascii="Courier New" w:cs="Courier New" w:eastAsia="Courier New" w:hAnsi="Courier New"/>
          <w:sz w:val="15"/>
          <w:szCs w:val="15"/>
          <w:color w:val="auto"/>
        </w:rPr>
        <w:t>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1300"/>
          </w:cols>
          <w:pgMar w:left="220" w:top="953" w:right="379" w:bottom="1440" w:gutter="0" w:footer="0" w:header="0"/>
        </w:sectPr>
      </w:pPr>
    </w:p>
    <w:bookmarkStart w:id="12" w:name="page13"/>
    <w:bookmarkEnd w:id="12"/>
    <w:p>
      <w:pPr>
        <w:ind w:left="880"/>
        <w:spacing w:after="0"/>
        <w:rPr>
          <w:sz w:val="20"/>
          <w:szCs w:val="20"/>
          <w:color w:val="auto"/>
        </w:rPr>
      </w:pPr>
      <w:r>
        <w:rPr>
          <w:rFonts w:ascii="Courier New" w:cs="Courier New" w:eastAsia="Courier New" w:hAnsi="Courier New"/>
          <w:sz w:val="15"/>
          <w:szCs w:val="15"/>
          <w:color w:val="auto"/>
        </w:rPr>
        <w:t>Unaudited Pro Forma Condensed Combined Financial Information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October 3, 2001, ClearOne executed a share purchase agreement, for which an amendment was finalized on April 8, 2002, with the shareholders of Ivron Systems. ClearOne paid cash of $6,000,000 for all of the issued and outstanding shares of Ivron Systems, cash of $650,000 for all outstanding options to purchase common shares of Ivron Systems, and incurred acquisition costs of $274,000 in the transaction. Additional consideration may be issued to Ivron Systems' shareholders if certain contingencies related to future earnings targets as defined in the share purchase agreement are met. The following is a summary of the purchase price allocation using the October 3, 2001 balance sheet of Ivron Systems (in 000's):</w:t>
      </w:r>
    </w:p>
    <w:p>
      <w:pPr>
        <w:spacing w:after="0" w:line="173"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3760" w:type="dxa"/>
            <w:vAlign w:val="bottom"/>
          </w:tcPr>
          <w:p>
            <w:pPr>
              <w:spacing w:after="0"/>
              <w:rPr>
                <w:sz w:val="20"/>
                <w:szCs w:val="20"/>
                <w:color w:val="auto"/>
              </w:rPr>
            </w:pPr>
            <w:r>
              <w:rPr>
                <w:rFonts w:ascii="Courier New" w:cs="Courier New" w:eastAsia="Courier New" w:hAnsi="Courier New"/>
                <w:sz w:val="15"/>
                <w:szCs w:val="15"/>
                <w:color w:val="auto"/>
              </w:rPr>
              <w:t>Cash</w:t>
            </w:r>
          </w:p>
        </w:tc>
        <w:tc>
          <w:tcPr>
            <w:tcW w:w="17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460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1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132</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Inventory</w:t>
            </w:r>
          </w:p>
        </w:tc>
        <w:tc>
          <w:tcPr>
            <w:tcW w:w="1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608</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Fixed assets</w:t>
            </w:r>
          </w:p>
        </w:tc>
        <w:tc>
          <w:tcPr>
            <w:tcW w:w="1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 and other intangible assets</w:t>
            </w:r>
          </w:p>
        </w:tc>
        <w:tc>
          <w:tcPr>
            <w:tcW w:w="1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6,144</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payable</w:t>
            </w:r>
          </w:p>
        </w:tc>
        <w:tc>
          <w:tcPr>
            <w:tcW w:w="1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(175)</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expenses</w:t>
            </w:r>
          </w:p>
        </w:tc>
        <w:tc>
          <w:tcPr>
            <w:tcW w:w="1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(266)</w:t>
            </w:r>
          </w:p>
        </w:tc>
      </w:tr>
      <w:tr>
        <w:trPr>
          <w:trHeight w:val="168"/>
        </w:trPr>
        <w:tc>
          <w:tcPr>
            <w:tcW w:w="3760" w:type="dxa"/>
            <w:vAlign w:val="bottom"/>
          </w:tcPr>
          <w:p>
            <w:pPr>
              <w:spacing w:after="0"/>
              <w:rPr>
                <w:sz w:val="14"/>
                <w:szCs w:val="14"/>
                <w:color w:val="auto"/>
              </w:rPr>
            </w:pPr>
          </w:p>
        </w:tc>
        <w:tc>
          <w:tcPr>
            <w:tcW w:w="1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6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Total</w:t>
            </w:r>
          </w:p>
        </w:tc>
        <w:tc>
          <w:tcPr>
            <w:tcW w:w="1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$6,924</w:t>
            </w:r>
          </w:p>
        </w:tc>
      </w:tr>
      <w:tr>
        <w:trPr>
          <w:trHeight w:val="168"/>
        </w:trPr>
        <w:tc>
          <w:tcPr>
            <w:tcW w:w="3760" w:type="dxa"/>
            <w:vAlign w:val="bottom"/>
          </w:tcPr>
          <w:p>
            <w:pPr>
              <w:spacing w:after="0"/>
              <w:rPr>
                <w:sz w:val="14"/>
                <w:szCs w:val="14"/>
                <w:color w:val="auto"/>
              </w:rPr>
            </w:pPr>
          </w:p>
        </w:tc>
        <w:tc>
          <w:tcPr>
            <w:tcW w:w="1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On January 21, 2002, ClearOne entered into a definitive agreement to acquire E.mergent. This acquisition was completed on May 31, 2002. Under the terms of the agreement, ClearOne acquired all of the issued and outstanding stock of E.mergent; thereby acquiring title to all assets and assuming all liabilities of E.mergent. As consideration in the transaction, ClearOne paid cash of $7,300,000 and issued 873,000 shares of its common stock, less the aggregate number of shares of common stock allocated to E.mergent's outstanding stock options assumed by ClearOne in the merger because, in accordance with the agreement and plan of merger, the 873,000 shares of ClearOne common stock were allocated first to E.mergent stock options being assumed by ClearOne. Outstanding E.mergent stock options were converted to options to purchase 4,158 shares of ClearOne's common stock at the ratio specified in the agreement and plan of merger. The value of the stock consideration paid to E.mergent shareholders used in determining the purchase price for accounting purposes was based on ClearOne's average closing price two days prior to and two days subsequent to January 21, 2002 (the announcement date for the acquisition and merger) of $16.55. Additionally, ClearOne estimates that its acquisition costs will total approximately $1,156,000 in the transaction. This includes approximately $464,000 for severance payments to terminating E.mergent executives and anticipated severance payments to other terminating E.mergent employees of approximately $90,000, as well as approximately $602,000 related to professional advisory, legal and accounting fees. E.mergent estimates that its transaction related costs will total approximately $926,000. These costs have been reflected as a reduction of E.mergent's cash balance as of March 31, 2002. The following is a summary of the preliminary purchase price allocation using the March 31, 2002 balance sheet of E.mergent (in 000's):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tcPr>
          <w:p>
            <w:pPr>
              <w:ind w:left="800"/>
              <w:spacing w:after="0"/>
              <w:rPr>
                <w:sz w:val="20"/>
                <w:szCs w:val="20"/>
                <w:color w:val="auto"/>
              </w:rPr>
            </w:pPr>
            <w:r>
              <w:rPr>
                <w:rFonts w:ascii="Courier New" w:cs="Courier New" w:eastAsia="Courier New" w:hAnsi="Courier New"/>
                <w:sz w:val="15"/>
                <w:szCs w:val="15"/>
                <w:color w:val="auto"/>
              </w:rPr>
              <w:t>Cash</w:t>
            </w:r>
          </w:p>
        </w:tc>
        <w:tc>
          <w:tcPr>
            <w:tcW w:w="4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579</w:t>
            </w:r>
          </w:p>
        </w:tc>
      </w:tr>
      <w:tr>
        <w:trPr>
          <w:trHeight w:val="168"/>
        </w:trPr>
        <w:tc>
          <w:tcPr>
            <w:tcW w:w="49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4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3,144</w:t>
            </w:r>
          </w:p>
        </w:tc>
      </w:tr>
      <w:tr>
        <w:trPr>
          <w:trHeight w:val="168"/>
        </w:trPr>
        <w:tc>
          <w:tcPr>
            <w:tcW w:w="49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Inventory</w:t>
            </w:r>
          </w:p>
        </w:tc>
        <w:tc>
          <w:tcPr>
            <w:tcW w:w="4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3,605</w:t>
            </w:r>
          </w:p>
        </w:tc>
      </w:tr>
      <w:tr>
        <w:trPr>
          <w:trHeight w:val="168"/>
        </w:trPr>
        <w:tc>
          <w:tcPr>
            <w:tcW w:w="49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Fixed assets</w:t>
            </w:r>
          </w:p>
        </w:tc>
        <w:tc>
          <w:tcPr>
            <w:tcW w:w="4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443</w:t>
            </w:r>
          </w:p>
        </w:tc>
      </w:tr>
      <w:tr>
        <w:trPr>
          <w:trHeight w:val="168"/>
        </w:trPr>
        <w:tc>
          <w:tcPr>
            <w:tcW w:w="49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Other assets</w:t>
            </w:r>
          </w:p>
        </w:tc>
        <w:tc>
          <w:tcPr>
            <w:tcW w:w="4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693</w:t>
            </w:r>
          </w:p>
        </w:tc>
      </w:tr>
      <w:tr>
        <w:trPr>
          <w:trHeight w:val="168"/>
        </w:trPr>
        <w:tc>
          <w:tcPr>
            <w:tcW w:w="49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Goodwill and other intangible assets</w:t>
            </w:r>
          </w:p>
        </w:tc>
        <w:tc>
          <w:tcPr>
            <w:tcW w:w="4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18,024</w:t>
            </w:r>
          </w:p>
        </w:tc>
      </w:tr>
      <w:tr>
        <w:trPr>
          <w:trHeight w:val="168"/>
        </w:trPr>
        <w:tc>
          <w:tcPr>
            <w:tcW w:w="49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Accounts payable</w:t>
            </w:r>
          </w:p>
        </w:tc>
        <w:tc>
          <w:tcPr>
            <w:tcW w:w="4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(1,548)</w:t>
            </w:r>
          </w:p>
        </w:tc>
      </w:tr>
      <w:tr>
        <w:trPr>
          <w:trHeight w:val="168"/>
        </w:trPr>
        <w:tc>
          <w:tcPr>
            <w:tcW w:w="49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Accrued expenses and customer deposits</w:t>
            </w:r>
          </w:p>
        </w:tc>
        <w:tc>
          <w:tcPr>
            <w:tcW w:w="4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(473)</w:t>
            </w:r>
          </w:p>
        </w:tc>
      </w:tr>
      <w:tr>
        <w:trPr>
          <w:trHeight w:val="168"/>
        </w:trPr>
        <w:tc>
          <w:tcPr>
            <w:tcW w:w="49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Unearned maintenance contracts</w:t>
            </w:r>
          </w:p>
        </w:tc>
        <w:tc>
          <w:tcPr>
            <w:tcW w:w="4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(1,007)</w:t>
            </w:r>
          </w:p>
        </w:tc>
      </w:tr>
      <w:tr>
        <w:trPr>
          <w:trHeight w:val="168"/>
        </w:trPr>
        <w:tc>
          <w:tcPr>
            <w:tcW w:w="49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Capital leases and long-term debt</w:t>
            </w:r>
          </w:p>
        </w:tc>
        <w:tc>
          <w:tcPr>
            <w:tcW w:w="4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(578)</w:t>
            </w:r>
          </w:p>
        </w:tc>
      </w:tr>
      <w:tr>
        <w:trPr>
          <w:trHeight w:val="168"/>
        </w:trPr>
        <w:tc>
          <w:tcPr>
            <w:tcW w:w="4900" w:type="dxa"/>
            <w:vAlign w:val="bottom"/>
          </w:tcPr>
          <w:p>
            <w:pPr>
              <w:spacing w:after="0"/>
              <w:rPr>
                <w:sz w:val="14"/>
                <w:szCs w:val="14"/>
                <w:color w:val="auto"/>
              </w:rPr>
            </w:pPr>
          </w:p>
        </w:tc>
        <w:tc>
          <w:tcPr>
            <w:tcW w:w="140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490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Total</w:t>
            </w:r>
          </w:p>
        </w:tc>
        <w:tc>
          <w:tcPr>
            <w:tcW w:w="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22,882</w:t>
            </w:r>
          </w:p>
        </w:tc>
      </w:tr>
      <w:tr>
        <w:trPr>
          <w:trHeight w:val="168"/>
        </w:trPr>
        <w:tc>
          <w:tcPr>
            <w:tcW w:w="4900" w:type="dxa"/>
            <w:vAlign w:val="bottom"/>
          </w:tcPr>
          <w:p>
            <w:pPr>
              <w:spacing w:after="0"/>
              <w:rPr>
                <w:sz w:val="14"/>
                <w:szCs w:val="14"/>
                <w:color w:val="auto"/>
              </w:rPr>
            </w:pPr>
          </w:p>
        </w:tc>
        <w:tc>
          <w:tcPr>
            <w:tcW w:w="140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4900" w:type="dxa"/>
            <w:vAlign w:val="bottom"/>
          </w:tcPr>
          <w:p>
            <w:pPr>
              <w:spacing w:after="0"/>
              <w:rPr>
                <w:sz w:val="20"/>
                <w:szCs w:val="20"/>
                <w:color w:val="auto"/>
              </w:rPr>
            </w:pPr>
            <w:r>
              <w:rPr>
                <w:rFonts w:ascii="Courier New" w:cs="Courier New" w:eastAsia="Courier New" w:hAnsi="Courier New"/>
                <w:sz w:val="15"/>
                <w:szCs w:val="15"/>
                <w:color w:val="auto"/>
              </w:rPr>
              <w:t>The purchase price was determined as follows:</w:t>
            </w: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6"/>
        </w:trPr>
        <w:tc>
          <w:tcPr>
            <w:tcW w:w="4900" w:type="dxa"/>
            <w:vAlign w:val="bottom"/>
          </w:tcPr>
          <w:p>
            <w:pPr>
              <w:ind w:left="800"/>
              <w:spacing w:after="0"/>
              <w:rPr>
                <w:sz w:val="20"/>
                <w:szCs w:val="20"/>
                <w:color w:val="auto"/>
              </w:rPr>
            </w:pPr>
            <w:r>
              <w:rPr>
                <w:rFonts w:ascii="Courier New" w:cs="Courier New" w:eastAsia="Courier New" w:hAnsi="Courier New"/>
                <w:sz w:val="15"/>
                <w:szCs w:val="15"/>
                <w:color w:val="auto"/>
              </w:rPr>
              <w:t>Cash paid to E.mergent shareholders</w:t>
            </w:r>
          </w:p>
        </w:tc>
        <w:tc>
          <w:tcPr>
            <w:tcW w:w="4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7,300</w:t>
            </w:r>
          </w:p>
        </w:tc>
      </w:tr>
      <w:tr>
        <w:trPr>
          <w:trHeight w:val="168"/>
        </w:trPr>
        <w:tc>
          <w:tcPr>
            <w:tcW w:w="49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Value of ClearOne common stock issued to</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90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E.mergent shareholders (868,842 shares</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90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x $16.55)</w:t>
            </w:r>
          </w:p>
        </w:tc>
        <w:tc>
          <w:tcPr>
            <w:tcW w:w="4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14,379</w:t>
            </w:r>
          </w:p>
        </w:tc>
      </w:tr>
      <w:tr>
        <w:trPr>
          <w:trHeight w:val="168"/>
        </w:trPr>
        <w:tc>
          <w:tcPr>
            <w:tcW w:w="49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Fair value of ClearOne options issued to</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90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E.mergent option holders, determined using</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90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the Black-Scholes model</w:t>
            </w:r>
          </w:p>
        </w:tc>
        <w:tc>
          <w:tcPr>
            <w:tcW w:w="4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w:t>
            </w:r>
          </w:p>
        </w:tc>
      </w:tr>
      <w:tr>
        <w:trPr>
          <w:trHeight w:val="168"/>
        </w:trPr>
        <w:tc>
          <w:tcPr>
            <w:tcW w:w="49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Acquisition costs to be paid by ClearOne</w:t>
            </w:r>
          </w:p>
        </w:tc>
        <w:tc>
          <w:tcPr>
            <w:tcW w:w="4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1,156</w:t>
            </w:r>
          </w:p>
        </w:tc>
      </w:tr>
      <w:tr>
        <w:trPr>
          <w:trHeight w:val="168"/>
        </w:trPr>
        <w:tc>
          <w:tcPr>
            <w:tcW w:w="4900" w:type="dxa"/>
            <w:vAlign w:val="bottom"/>
          </w:tcPr>
          <w:p>
            <w:pPr>
              <w:spacing w:after="0"/>
              <w:rPr>
                <w:sz w:val="14"/>
                <w:szCs w:val="14"/>
                <w:color w:val="auto"/>
              </w:rPr>
            </w:pPr>
          </w:p>
        </w:tc>
        <w:tc>
          <w:tcPr>
            <w:tcW w:w="140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490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Total purchase price</w:t>
            </w:r>
          </w:p>
        </w:tc>
        <w:tc>
          <w:tcPr>
            <w:tcW w:w="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22,882</w:t>
            </w:r>
          </w:p>
        </w:tc>
      </w:tr>
      <w:tr>
        <w:trPr>
          <w:trHeight w:val="168"/>
        </w:trPr>
        <w:tc>
          <w:tcPr>
            <w:tcW w:w="4900" w:type="dxa"/>
            <w:vAlign w:val="bottom"/>
          </w:tcPr>
          <w:p>
            <w:pPr>
              <w:spacing w:after="0"/>
              <w:rPr>
                <w:sz w:val="14"/>
                <w:szCs w:val="14"/>
                <w:color w:val="auto"/>
              </w:rPr>
            </w:pPr>
          </w:p>
        </w:tc>
        <w:tc>
          <w:tcPr>
            <w:tcW w:w="140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505"/>
        </w:trPr>
        <w:tc>
          <w:tcPr>
            <w:tcW w:w="4900" w:type="dxa"/>
            <w:vAlign w:val="bottom"/>
          </w:tcPr>
          <w:p>
            <w:pPr>
              <w:ind w:left="3420"/>
              <w:spacing w:after="0"/>
              <w:rPr>
                <w:sz w:val="20"/>
                <w:szCs w:val="20"/>
                <w:color w:val="auto"/>
              </w:rPr>
            </w:pPr>
            <w:r>
              <w:rPr>
                <w:rFonts w:ascii="Courier New" w:cs="Courier New" w:eastAsia="Courier New" w:hAnsi="Courier New"/>
                <w:sz w:val="15"/>
                <w:szCs w:val="15"/>
                <w:color w:val="auto"/>
              </w:rPr>
              <w:t>8</w:t>
            </w: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NOTE 2.</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The unaudited pro forma condensed combined balance sheet includes the adjustments necessary to give effect to the E.mergent acquisition as if it had occurred on March 31, 2002 as noted above. The unaudited pro forma condensed combined statements of operations include the adjustments necessary to give effect to the Ivron Systems and E.mergent acquisitions and the private placement as if they had occurred on July 1, 2000. Adjustments included in the pro forma condensed combined financial statements are summarized as follows:</w:t>
      </w:r>
    </w:p>
    <w:p>
      <w:pPr>
        <w:spacing w:after="0" w:line="166" w:lineRule="exact"/>
        <w:rPr>
          <w:sz w:val="20"/>
          <w:szCs w:val="20"/>
          <w:color w:val="auto"/>
        </w:rPr>
      </w:pPr>
    </w:p>
    <w:p>
      <w:pPr>
        <w:jc w:val="both"/>
        <w:ind w:left="1400" w:right="3239" w:hanging="691"/>
        <w:spacing w:after="0" w:line="235" w:lineRule="auto"/>
        <w:tabs>
          <w:tab w:leader="none" w:pos="14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Elimination of E.mergent and Ivron historical goodwill and other intangibles (and the related amortization) that were revalued as part of the purchase price allocation.</w:t>
      </w:r>
    </w:p>
    <w:p>
      <w:pPr>
        <w:spacing w:after="0" w:line="173" w:lineRule="exact"/>
        <w:rPr>
          <w:rFonts w:ascii="Courier New" w:cs="Courier New" w:eastAsia="Courier New" w:hAnsi="Courier New"/>
          <w:sz w:val="15"/>
          <w:szCs w:val="15"/>
          <w:color w:val="auto"/>
        </w:rPr>
      </w:pPr>
    </w:p>
    <w:p>
      <w:pPr>
        <w:ind w:left="1400" w:right="3239" w:hanging="691"/>
        <w:spacing w:after="0" w:line="236" w:lineRule="auto"/>
        <w:tabs>
          <w:tab w:leader="none" w:pos="14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Values were assigned to intangible assets related to the Ivron Systems acquisition as follows: developed technology - $5,780,000; goodwill - $364,000. These allocations are based upon a final report from LECG, LLC, an independent financial consulting firm. The developed technology was determined to have useful lives as follows, with the resulting impact on amortization expense:</w:t>
      </w:r>
    </w:p>
    <w:p>
      <w:pPr>
        <w:spacing w:after="0" w:line="200" w:lineRule="exact"/>
        <w:rPr>
          <w:sz w:val="20"/>
          <w:szCs w:val="20"/>
          <w:color w:val="auto"/>
        </w:rPr>
      </w:pPr>
    </w:p>
    <w:p>
      <w:pPr>
        <w:spacing w:after="0" w:line="306" w:lineRule="exact"/>
        <w:rPr>
          <w:sz w:val="20"/>
          <w:szCs w:val="20"/>
          <w:color w:val="auto"/>
        </w:rPr>
      </w:pPr>
    </w:p>
    <w:p>
      <w:pPr>
        <w:ind w:left="5960"/>
        <w:spacing w:after="0"/>
        <w:rPr>
          <w:sz w:val="20"/>
          <w:szCs w:val="20"/>
          <w:color w:val="auto"/>
        </w:rPr>
      </w:pPr>
      <w:r>
        <w:rPr>
          <w:rFonts w:ascii="Courier New" w:cs="Courier New" w:eastAsia="Courier New" w:hAnsi="Courier New"/>
          <w:sz w:val="15"/>
          <w:szCs w:val="15"/>
          <w:color w:val="auto"/>
        </w:rPr>
        <w:t>Amortization for the</w:t>
      </w:r>
    </w:p>
    <w:p>
      <w:pPr>
        <w:ind w:left="5080"/>
        <w:spacing w:after="0"/>
        <w:tabs>
          <w:tab w:leader="none" w:pos="7160" w:val="left"/>
        </w:tabs>
        <w:rPr>
          <w:sz w:val="20"/>
          <w:szCs w:val="20"/>
          <w:color w:val="auto"/>
        </w:rPr>
      </w:pPr>
      <w:r>
        <w:rPr>
          <w:rFonts w:ascii="Courier New" w:cs="Courier New" w:eastAsia="Courier New" w:hAnsi="Courier New"/>
          <w:sz w:val="15"/>
          <w:szCs w:val="15"/>
          <w:color w:val="auto"/>
        </w:rPr>
        <w:t>Nine months ended</w:t>
      </w:r>
      <w:r>
        <w:rPr>
          <w:sz w:val="20"/>
          <w:szCs w:val="20"/>
          <w:color w:val="auto"/>
        </w:rPr>
        <w:tab/>
      </w:r>
      <w:r>
        <w:rPr>
          <w:rFonts w:ascii="Courier New" w:cs="Courier New" w:eastAsia="Courier New" w:hAnsi="Courier New"/>
          <w:sz w:val="14"/>
          <w:szCs w:val="14"/>
          <w:color w:val="auto"/>
        </w:rPr>
        <w:t>Fiscal Year ended</w:t>
      </w:r>
    </w:p>
    <w:p>
      <w:pPr>
        <w:ind w:left="1500"/>
        <w:spacing w:after="0"/>
        <w:tabs>
          <w:tab w:leader="none" w:pos="3580" w:val="left"/>
          <w:tab w:leader="none" w:pos="5160" w:val="left"/>
          <w:tab w:leader="none" w:pos="5760" w:val="left"/>
          <w:tab w:leader="none" w:pos="7340" w:val="left"/>
        </w:tabs>
        <w:rPr>
          <w:sz w:val="20"/>
          <w:szCs w:val="20"/>
          <w:color w:val="auto"/>
        </w:rPr>
      </w:pPr>
      <w:r>
        <w:rPr>
          <w:rFonts w:ascii="Courier New" w:cs="Courier New" w:eastAsia="Courier New" w:hAnsi="Courier New"/>
          <w:sz w:val="15"/>
          <w:szCs w:val="15"/>
          <w:color w:val="auto"/>
        </w:rPr>
        <w:t>Value of Technology</w:t>
      </w:r>
      <w:r>
        <w:rPr>
          <w:sz w:val="20"/>
          <w:szCs w:val="20"/>
          <w:color w:val="auto"/>
        </w:rPr>
        <w:tab/>
      </w:r>
      <w:r>
        <w:rPr>
          <w:rFonts w:ascii="Courier New" w:cs="Courier New" w:eastAsia="Courier New" w:hAnsi="Courier New"/>
          <w:sz w:val="15"/>
          <w:szCs w:val="15"/>
          <w:color w:val="auto"/>
        </w:rPr>
        <w:t>Useful Life</w:t>
      </w:r>
      <w:r>
        <w:rPr>
          <w:sz w:val="20"/>
          <w:szCs w:val="20"/>
          <w:color w:val="auto"/>
        </w:rPr>
        <w:tab/>
      </w:r>
      <w:r>
        <w:rPr>
          <w:rFonts w:ascii="Courier New" w:cs="Courier New" w:eastAsia="Courier New" w:hAnsi="Courier New"/>
          <w:sz w:val="15"/>
          <w:szCs w:val="15"/>
          <w:color w:val="auto"/>
        </w:rPr>
        <w:t>March</w:t>
        <w:tab/>
        <w:t>31, 2002</w:t>
      </w:r>
      <w:r>
        <w:rPr>
          <w:sz w:val="20"/>
          <w:szCs w:val="20"/>
          <w:color w:val="auto"/>
        </w:rPr>
        <w:tab/>
      </w:r>
      <w:r>
        <w:rPr>
          <w:rFonts w:ascii="Courier New" w:cs="Courier New" w:eastAsia="Courier New" w:hAnsi="Courier New"/>
          <w:sz w:val="14"/>
          <w:szCs w:val="14"/>
          <w:color w:val="auto"/>
        </w:rPr>
        <w:t>June 30, 2001</w:t>
      </w:r>
    </w:p>
    <w:p>
      <w:pPr>
        <w:spacing w:after="0" w:line="5"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1400" w:type="dxa"/>
        <w:tblCellMar>
          <w:top w:w="0" w:type="dxa"/>
          <w:left w:w="0" w:type="dxa"/>
          <w:bottom w:w="0" w:type="dxa"/>
          <w:right w:w="0" w:type="dxa"/>
        </w:tblCellMar>
      </w:tblPr>
      <w:tr>
        <w:trPr>
          <w:trHeight w:val="170"/>
        </w:trPr>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135,000</w:t>
            </w: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w:t>
            </w:r>
          </w:p>
        </w:tc>
        <w:tc>
          <w:tcPr>
            <w:tcW w:w="26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  11,250</w:t>
            </w:r>
          </w:p>
        </w:tc>
        <w:tc>
          <w:tcPr>
            <w:tcW w:w="17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45,000</w:t>
            </w:r>
          </w:p>
        </w:tc>
      </w:tr>
      <w:tr>
        <w:trPr>
          <w:trHeight w:val="168"/>
        </w:trPr>
        <w:tc>
          <w:tcPr>
            <w:tcW w:w="620" w:type="dxa"/>
            <w:vAlign w:val="bottom"/>
          </w:tcPr>
          <w:p>
            <w:pPr>
              <w:spacing w:after="0"/>
              <w:rPr>
                <w:sz w:val="14"/>
                <w:szCs w:val="14"/>
                <w:color w:val="auto"/>
              </w:rPr>
            </w:pPr>
          </w:p>
        </w:tc>
        <w:tc>
          <w:tcPr>
            <w:tcW w:w="17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1,002,000</w:t>
            </w: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w:t>
            </w:r>
          </w:p>
        </w:tc>
        <w:tc>
          <w:tcPr>
            <w:tcW w:w="26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50,100</w:t>
            </w:r>
          </w:p>
        </w:tc>
        <w:tc>
          <w:tcPr>
            <w:tcW w:w="17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200,400</w:t>
            </w:r>
          </w:p>
        </w:tc>
      </w:tr>
      <w:tr>
        <w:trPr>
          <w:trHeight w:val="168"/>
        </w:trPr>
        <w:tc>
          <w:tcPr>
            <w:tcW w:w="620" w:type="dxa"/>
            <w:vAlign w:val="bottom"/>
          </w:tcPr>
          <w:p>
            <w:pPr>
              <w:spacing w:after="0"/>
              <w:rPr>
                <w:sz w:val="14"/>
                <w:szCs w:val="14"/>
                <w:color w:val="auto"/>
              </w:rPr>
            </w:pPr>
          </w:p>
        </w:tc>
        <w:tc>
          <w:tcPr>
            <w:tcW w:w="17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4,643,000</w:t>
            </w: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w:t>
            </w:r>
          </w:p>
        </w:tc>
        <w:tc>
          <w:tcPr>
            <w:tcW w:w="26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77,383</w:t>
            </w:r>
          </w:p>
        </w:tc>
        <w:tc>
          <w:tcPr>
            <w:tcW w:w="17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309,533</w:t>
            </w:r>
          </w:p>
        </w:tc>
      </w:tr>
      <w:tr>
        <w:trPr>
          <w:trHeight w:val="168"/>
        </w:trPr>
        <w:tc>
          <w:tcPr>
            <w:tcW w:w="2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w:t>
            </w:r>
          </w:p>
        </w:tc>
        <w:tc>
          <w:tcPr>
            <w:tcW w:w="840" w:type="dxa"/>
            <w:vAlign w:val="bottom"/>
          </w:tcPr>
          <w:p>
            <w:pPr>
              <w:spacing w:after="0"/>
              <w:rPr>
                <w:sz w:val="14"/>
                <w:szCs w:val="14"/>
                <w:color w:val="auto"/>
              </w:rPr>
            </w:pPr>
          </w:p>
        </w:tc>
        <w:tc>
          <w:tcPr>
            <w:tcW w:w="43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w:t>
            </w:r>
          </w:p>
        </w:tc>
      </w:tr>
      <w:tr>
        <w:trPr>
          <w:trHeight w:val="168"/>
        </w:trPr>
        <w:tc>
          <w:tcPr>
            <w:tcW w:w="620" w:type="dxa"/>
            <w:vAlign w:val="bottom"/>
          </w:tcPr>
          <w:p>
            <w:pPr>
              <w:spacing w:after="0"/>
              <w:rPr>
                <w:sz w:val="14"/>
                <w:szCs w:val="14"/>
                <w:color w:val="auto"/>
              </w:rPr>
            </w:pPr>
          </w:p>
        </w:tc>
        <w:tc>
          <w:tcPr>
            <w:tcW w:w="17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w w:val="94"/>
              </w:rPr>
              <w:t>$ 5,780,000</w:t>
            </w:r>
          </w:p>
        </w:tc>
        <w:tc>
          <w:tcPr>
            <w:tcW w:w="840" w:type="dxa"/>
            <w:vAlign w:val="bottom"/>
          </w:tcPr>
          <w:p>
            <w:pPr>
              <w:spacing w:after="0"/>
              <w:rPr>
                <w:sz w:val="14"/>
                <w:szCs w:val="14"/>
                <w:color w:val="auto"/>
              </w:rPr>
            </w:pPr>
          </w:p>
        </w:tc>
        <w:tc>
          <w:tcPr>
            <w:tcW w:w="2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$138,733(i)</w:t>
            </w:r>
          </w:p>
        </w:tc>
        <w:tc>
          <w:tcPr>
            <w:tcW w:w="17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$ 554,933</w:t>
            </w:r>
          </w:p>
        </w:tc>
      </w:tr>
      <w:tr>
        <w:trPr>
          <w:trHeight w:val="168"/>
        </w:trPr>
        <w:tc>
          <w:tcPr>
            <w:tcW w:w="2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w:t>
            </w:r>
          </w:p>
        </w:tc>
        <w:tc>
          <w:tcPr>
            <w:tcW w:w="840" w:type="dxa"/>
            <w:vAlign w:val="bottom"/>
          </w:tcPr>
          <w:p>
            <w:pPr>
              <w:spacing w:after="0"/>
              <w:rPr>
                <w:sz w:val="14"/>
                <w:szCs w:val="14"/>
                <w:color w:val="auto"/>
              </w:rPr>
            </w:pPr>
          </w:p>
        </w:tc>
        <w:tc>
          <w:tcPr>
            <w:tcW w:w="43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w:t>
            </w:r>
          </w:p>
        </w:tc>
      </w:tr>
    </w:tbl>
    <w:p>
      <w:pPr>
        <w:spacing w:after="0" w:line="341" w:lineRule="exact"/>
        <w:rPr>
          <w:sz w:val="20"/>
          <w:szCs w:val="20"/>
          <w:color w:val="auto"/>
        </w:rPr>
      </w:pPr>
    </w:p>
    <w:p>
      <w:pPr>
        <w:ind w:left="2100" w:right="3319" w:hanging="691"/>
        <w:spacing w:after="0" w:line="235" w:lineRule="auto"/>
        <w:tabs>
          <w:tab w:leader="none" w:pos="2100"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amortization expense from July 1, 2001 to October 2, 2001, the period prior to the acquisition of Ivron Systems by ClearOne.</w:t>
      </w:r>
    </w:p>
    <w:p>
      <w:pPr>
        <w:spacing w:after="0" w:line="173" w:lineRule="exact"/>
        <w:rPr>
          <w:rFonts w:ascii="Courier New" w:cs="Courier New" w:eastAsia="Courier New" w:hAnsi="Courier New"/>
          <w:sz w:val="15"/>
          <w:szCs w:val="15"/>
          <w:color w:val="auto"/>
        </w:rPr>
      </w:pPr>
    </w:p>
    <w:p>
      <w:pPr>
        <w:ind w:left="1400" w:right="3399" w:hanging="691"/>
        <w:spacing w:after="0" w:line="234" w:lineRule="auto"/>
        <w:tabs>
          <w:tab w:leader="none" w:pos="14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tax impact of amortization, as calculated using ClearOne's blended statutory rate of 37.2%.</w:t>
      </w:r>
    </w:p>
    <w:p>
      <w:pPr>
        <w:spacing w:after="0" w:line="166" w:lineRule="exact"/>
        <w:rPr>
          <w:rFonts w:ascii="Courier New" w:cs="Courier New" w:eastAsia="Courier New" w:hAnsi="Courier New"/>
          <w:sz w:val="15"/>
          <w:szCs w:val="15"/>
          <w:color w:val="auto"/>
        </w:rPr>
      </w:pPr>
    </w:p>
    <w:p>
      <w:pPr>
        <w:ind w:left="1400" w:hanging="691"/>
        <w:spacing w:after="0"/>
        <w:tabs>
          <w:tab w:leader="none" w:pos="14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consideration paid to former E.mergent shareholders</w:t>
      </w:r>
    </w:p>
    <w:p>
      <w:pPr>
        <w:spacing w:after="0" w:line="4" w:lineRule="exact"/>
        <w:rPr>
          <w:rFonts w:ascii="Courier New" w:cs="Courier New" w:eastAsia="Courier New" w:hAnsi="Courier New"/>
          <w:sz w:val="15"/>
          <w:szCs w:val="15"/>
          <w:color w:val="auto"/>
        </w:rPr>
      </w:pPr>
    </w:p>
    <w:p>
      <w:pPr>
        <w:ind w:left="1400" w:right="33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of $7,300,000 plus ClearOne and E.mergent transaction costs of $2,082,000.</w:t>
      </w:r>
    </w:p>
    <w:p>
      <w:pPr>
        <w:spacing w:after="0" w:line="173" w:lineRule="exact"/>
        <w:rPr>
          <w:rFonts w:ascii="Courier New" w:cs="Courier New" w:eastAsia="Courier New" w:hAnsi="Courier New"/>
          <w:sz w:val="15"/>
          <w:szCs w:val="15"/>
          <w:color w:val="auto"/>
        </w:rPr>
      </w:pPr>
    </w:p>
    <w:p>
      <w:pPr>
        <w:ind w:left="1400" w:right="3239" w:hanging="691"/>
        <w:spacing w:after="0" w:line="237" w:lineRule="auto"/>
        <w:tabs>
          <w:tab w:leader="none" w:pos="14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represents goodwill of $18,024,000 including capitalized acquisition costs of approximately $1,156,000 (including approximately $464,000 for severance payments to terminating E.mergent executives and anticipated severance payments to other terminating E.mergent employees of approximately $90,000). For purposes of these pro forma financial statements and based upon a preliminary analysis by LECG, LLC, ClearOne's independent financial consulting firm, the excess of the purchase price over the fair value of the tangible assets acquired has been allocated to goodwill. Based on LECG, LLC'S preliminary analysis, ClearOne does not believe that any material value should be allocated to acquired intangible assets other than goodwill. Accordingly, pursuant to FAS No. 142, Goodwill and Other Intangible Assets, no related amortization has been reflected in the accompanying pro forma statements of operations.</w:t>
      </w:r>
    </w:p>
    <w:p>
      <w:pPr>
        <w:spacing w:after="0" w:line="174" w:lineRule="exact"/>
        <w:rPr>
          <w:rFonts w:ascii="Courier New" w:cs="Courier New" w:eastAsia="Courier New" w:hAnsi="Courier New"/>
          <w:sz w:val="15"/>
          <w:szCs w:val="15"/>
          <w:color w:val="auto"/>
        </w:rPr>
      </w:pPr>
    </w:p>
    <w:p>
      <w:pPr>
        <w:ind w:left="1400" w:right="3399" w:hanging="691"/>
        <w:spacing w:after="0" w:line="234" w:lineRule="auto"/>
        <w:tabs>
          <w:tab w:leader="none" w:pos="14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elimination of an investment that was deemed to have no future value to ClearOne.</w:t>
      </w:r>
    </w:p>
    <w:p>
      <w:pPr>
        <w:spacing w:after="0" w:line="173" w:lineRule="exact"/>
        <w:rPr>
          <w:rFonts w:ascii="Courier New" w:cs="Courier New" w:eastAsia="Courier New" w:hAnsi="Courier New"/>
          <w:sz w:val="15"/>
          <w:szCs w:val="15"/>
          <w:color w:val="auto"/>
        </w:rPr>
      </w:pPr>
    </w:p>
    <w:p>
      <w:pPr>
        <w:ind w:left="1400" w:right="3239" w:hanging="691"/>
        <w:spacing w:after="0" w:line="237" w:lineRule="auto"/>
        <w:tabs>
          <w:tab w:leader="none" w:pos="14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fair value, as determined in accordance with FASB Interpretation No. 44, Accounting for Certain Transactions Involving Stock Compensation--An Interpretation of APB Opinion 25, of the vested options to purchase ClearOne common stock that were issued in exchange for vested options to purchase E.mergent common stock in conjunction with the agreement and plan of merger. The weighted average fair value of the ClearOne options is approximately $11.36, using the Black-Scholes method, as determined using the following assumptions: volatility of 62%, weighted average expected life of the options of approximately 2 years, dividend yield of 0%, and risk-free interest rate of 4.38%.</w:t>
      </w:r>
    </w:p>
    <w:p>
      <w:pPr>
        <w:spacing w:after="0" w:line="166" w:lineRule="exact"/>
        <w:rPr>
          <w:rFonts w:ascii="Courier New" w:cs="Courier New" w:eastAsia="Courier New" w:hAnsi="Courier New"/>
          <w:sz w:val="15"/>
          <w:szCs w:val="15"/>
          <w:color w:val="auto"/>
        </w:rPr>
      </w:pPr>
    </w:p>
    <w:p>
      <w:pPr>
        <w:ind w:left="1400" w:hanging="691"/>
        <w:spacing w:after="0"/>
        <w:tabs>
          <w:tab w:leader="none" w:pos="14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Elimination of E.mergent's historical equity.</w:t>
      </w:r>
    </w:p>
    <w:p>
      <w:pPr>
        <w:spacing w:after="0" w:line="172" w:lineRule="exact"/>
        <w:rPr>
          <w:rFonts w:ascii="Courier New" w:cs="Courier New" w:eastAsia="Courier New" w:hAnsi="Courier New"/>
          <w:sz w:val="15"/>
          <w:szCs w:val="15"/>
          <w:color w:val="auto"/>
        </w:rPr>
      </w:pPr>
    </w:p>
    <w:p>
      <w:pPr>
        <w:ind w:left="1400" w:right="3239" w:hanging="691"/>
        <w:spacing w:after="0" w:line="235" w:lineRule="auto"/>
        <w:tabs>
          <w:tab w:leader="none" w:pos="14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accordance with the agreement and plan of merger, the treasury stock held by E.mergent, which consisted of 50,317 shares, was distributed to E.mergent employees immediately prior to the consummation of the merger.</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17" w:right="1440" w:bottom="517" w:gutter="0" w:footer="0" w:header="0"/>
        </w:sectPr>
      </w:pPr>
    </w:p>
    <w:bookmarkStart w:id="14" w:name="page15"/>
    <w:bookmarkEnd w:id="14"/>
    <w:p>
      <w:pPr>
        <w:ind w:left="691" w:right="3239" w:hanging="691"/>
        <w:spacing w:after="0" w:line="236" w:lineRule="auto"/>
        <w:tabs>
          <w:tab w:leader="none" w:pos="691"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value of the shares of ClearOne common stock issued to holders of E.mergent common stock as follows: (868,842 shares x $16.55 per share). The per share price is based on ClearOne's average closing price two days prior to and two days subsequent to January 21, 2002 (the announcement date for the acquisition and merger).</w:t>
      </w:r>
    </w:p>
    <w:p>
      <w:pPr>
        <w:spacing w:after="0" w:line="174" w:lineRule="exact"/>
        <w:rPr>
          <w:rFonts w:ascii="Courier New" w:cs="Courier New" w:eastAsia="Courier New" w:hAnsi="Courier New"/>
          <w:sz w:val="15"/>
          <w:szCs w:val="15"/>
          <w:color w:val="auto"/>
        </w:rPr>
      </w:pPr>
    </w:p>
    <w:p>
      <w:pPr>
        <w:ind w:left="691" w:right="3319" w:hanging="691"/>
        <w:spacing w:after="0" w:line="234" w:lineRule="auto"/>
        <w:tabs>
          <w:tab w:leader="none" w:pos="691"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Elimination of sales and related cost of sales between ClearOne and E.mergent.</w:t>
      </w:r>
    </w:p>
    <w:p>
      <w:pPr>
        <w:spacing w:after="0" w:line="173" w:lineRule="exact"/>
        <w:rPr>
          <w:rFonts w:ascii="Courier New" w:cs="Courier New" w:eastAsia="Courier New" w:hAnsi="Courier New"/>
          <w:sz w:val="15"/>
          <w:szCs w:val="15"/>
          <w:color w:val="auto"/>
        </w:rPr>
      </w:pPr>
    </w:p>
    <w:p>
      <w:pPr>
        <w:ind w:left="691" w:right="3399" w:hanging="691"/>
        <w:spacing w:after="0" w:line="235" w:lineRule="auto"/>
        <w:tabs>
          <w:tab w:leader="none" w:pos="691"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elimination of a shareholder note from a former E.mergent executive that was repaid upon consummation of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711"/>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530"/>
          </w:cols>
          <w:pgMar w:left="929" w:top="624" w:right="1440" w:bottom="1440" w:gutter="0" w:footer="0" w:header="0"/>
        </w:sectPr>
      </w:pPr>
    </w:p>
    <w:bookmarkStart w:id="15" w:name="page16"/>
    <w:bookmarkEnd w:id="15"/>
    <w:p>
      <w:pPr>
        <w:ind w:left="2540"/>
        <w:spacing w:after="0"/>
        <w:rPr>
          <w:sz w:val="20"/>
          <w:szCs w:val="20"/>
          <w:color w:val="auto"/>
        </w:rPr>
      </w:pPr>
      <w:r>
        <w:rPr>
          <w:rFonts w:ascii="Courier New" w:cs="Courier New" w:eastAsia="Courier New" w:hAnsi="Courier New"/>
          <w:sz w:val="15"/>
          <w:szCs w:val="15"/>
          <w:color w:val="auto"/>
        </w:rPr>
        <w:t>SECURITIES WE MAY ISSUE</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3"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This prospectus describes the securities we may issue from time to time. This section provides some information about the manner in which the securities may be held, then describes the terms of the three basic categories of securities:</w:t>
      </w:r>
    </w:p>
    <w:p>
      <w:pPr>
        <w:spacing w:after="0" w:line="175" w:lineRule="exact"/>
        <w:rPr>
          <w:sz w:val="20"/>
          <w:szCs w:val="20"/>
          <w:color w:val="auto"/>
        </w:rPr>
      </w:pPr>
    </w:p>
    <w:p>
      <w:pPr>
        <w:ind w:left="2100" w:right="4379" w:hanging="691"/>
        <w:spacing w:after="0" w:line="234" w:lineRule="auto"/>
        <w:tabs>
          <w:tab w:leader="none" w:pos="21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debt securities, which may be senior or subordinated;</w:t>
      </w:r>
    </w:p>
    <w:p>
      <w:pPr>
        <w:spacing w:after="0" w:line="5" w:lineRule="exact"/>
        <w:rPr>
          <w:rFonts w:ascii="Courier New" w:cs="Courier New" w:eastAsia="Courier New" w:hAnsi="Courier New"/>
          <w:sz w:val="15"/>
          <w:szCs w:val="15"/>
          <w:color w:val="auto"/>
        </w:rPr>
      </w:pPr>
    </w:p>
    <w:p>
      <w:pPr>
        <w:ind w:left="2100" w:right="3239" w:hanging="691"/>
        <w:spacing w:after="0" w:line="234" w:lineRule="auto"/>
        <w:tabs>
          <w:tab w:leader="none" w:pos="21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warrants, which may be exercised for the purchase of either our debt securities or our common stock; and</w:t>
      </w:r>
    </w:p>
    <w:p>
      <w:pPr>
        <w:ind w:left="2100" w:hanging="691"/>
        <w:spacing w:after="0" w:line="237" w:lineRule="auto"/>
        <w:tabs>
          <w:tab w:leader="none" w:pos="21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common stock.</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Prospectus Supplements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This prospectus provides you with a general description of the securities we may offer. Each time we sell securities, we will provide a prospectus supplement that will contain specific information about the terms of that offering. The prospectus supplement may also add to or change information contained in this prospectus. If so, the prospectus supplement should be read as superseding this prospectus. You should read both this prospectus and any prospectus supplement together with additional information described under the heading "Where You Can Find More Information."</w:t>
      </w:r>
    </w:p>
    <w:p>
      <w:pPr>
        <w:spacing w:after="0" w:line="177"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The prospectus supplement to be attached to the front of this prospectus will describe the terms of any securities that we offer and any initial offering price to the public in that offering, the purchase price and net proceeds that we will receive and the other specific terms related to our offering of the securities. For more details on the terms of the securities, you should read the exhibits filed with our registration statement, of which this prospectus is a part.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Ownership of Securities</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Holders of Securities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Book-Entry Holders. We will issue debt securities in book-entry form only, unless we specify otherwise in the applicable prospectus supplement. If securities are issued in book-entry form, this means the securities will be represented by one or more global securities registered in the name of a financial institution that holds them as depositary on behalf of other financial institutions that participate in the depositary's book-entry system. These participating institutions, in turn, hold beneficial interests in the securities on behalf of themselves or their customers.</w:t>
      </w:r>
    </w:p>
    <w:p>
      <w:pPr>
        <w:spacing w:after="0" w:line="177"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We will only recognize the person in whose name a security is registered as the holder of that security. Consequently, for securities issued in global form, we will recognize only the depositary as the holder of the securities and all payments on the securities will be made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178"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As a result, investors in securities issued in book-entry form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holders, of the securities.</w:t>
      </w:r>
    </w:p>
    <w:p>
      <w:pPr>
        <w:spacing w:after="0" w:line="175" w:lineRule="exact"/>
        <w:rPr>
          <w:sz w:val="20"/>
          <w:szCs w:val="20"/>
          <w:color w:val="auto"/>
        </w:rPr>
      </w:pPr>
    </w:p>
    <w:p>
      <w:pPr>
        <w:jc w:val="both"/>
        <w:ind w:right="3319" w:firstLine="787"/>
        <w:spacing w:after="0" w:line="254" w:lineRule="auto"/>
        <w:rPr>
          <w:sz w:val="20"/>
          <w:szCs w:val="20"/>
          <w:color w:val="auto"/>
        </w:rPr>
      </w:pPr>
      <w:r>
        <w:rPr>
          <w:rFonts w:ascii="Courier New" w:cs="Courier New" w:eastAsia="Courier New" w:hAnsi="Courier New"/>
          <w:sz w:val="14"/>
          <w:szCs w:val="14"/>
          <w:color w:val="auto"/>
        </w:rPr>
        <w:t>Street Name Holders. In the future, we may terminate a global security or issue securities initially in non-global form. In these cases, investors may choose to hold their securities in their own names or in "street name."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held by an investor in street name would be registered in the name of</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17" w:right="1440" w:bottom="1440" w:gutter="0" w:footer="0" w:header="0"/>
        </w:sectPr>
      </w:pPr>
    </w:p>
    <w:bookmarkStart w:id="16" w:name="page17"/>
    <w:bookmarkEnd w:id="16"/>
    <w:p>
      <w:pPr>
        <w:ind w:right="3239"/>
        <w:spacing w:after="0" w:line="235" w:lineRule="auto"/>
        <w:rPr>
          <w:sz w:val="20"/>
          <w:szCs w:val="20"/>
          <w:color w:val="auto"/>
        </w:rPr>
      </w:pPr>
      <w:r>
        <w:rPr>
          <w:rFonts w:ascii="Courier New" w:cs="Courier New" w:eastAsia="Courier New" w:hAnsi="Courier New"/>
          <w:sz w:val="15"/>
          <w:szCs w:val="15"/>
          <w:color w:val="auto"/>
        </w:rPr>
        <w:t>a bank, broker or other financial institution that the investor chooses, and the investor would hold only a beneficial interest in those securities through an account he or she maintains at that institution.</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For securities held in street name, we will recognize only the intermediary banks, brokers and other financial institutions in whose names the securities are registered as the holders of those securities and all payments on those securities will be made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w:t>
      </w:r>
    </w:p>
    <w:p>
      <w:pPr>
        <w:spacing w:after="0" w:line="177"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Legal Holders. We, and any third parties employed by us or acting on your behalf, such as trustees, depositories and transfer agents, are obligated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176"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For example, once we make a payment or give a notice to the legal holder, we have no further responsibility for the payment or notice even if that legal holder is required, under agreements with depositary participants or customers or by law, to pass it along to the indirect holders but does not do so. Similarly, if we want to obtain the approval of the holders for any purpose (for example, to amend an indenture or to relieve ourselves of the consequences of a default or of our obligation to comply with a particular provision of the indenture), we would seek the approval only from the legal holders, and not the indirect holders, of the securities. Whether and how the legal holders contact the indirect holders is up to the legal holders.</w:t>
      </w:r>
    </w:p>
    <w:p>
      <w:pPr>
        <w:spacing w:after="0" w:line="179"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When we refer to you, we mean those who invest in the securities being offered by this prospectus, whether they are the legal holders or only indirect holders of those securities. When we refer to your securities, we mean the securities in which you hold a direct or indirect interest.</w:t>
      </w:r>
    </w:p>
    <w:p>
      <w:pPr>
        <w:spacing w:after="0" w:line="175" w:lineRule="exact"/>
        <w:rPr>
          <w:sz w:val="20"/>
          <w:szCs w:val="20"/>
          <w:color w:val="auto"/>
        </w:rPr>
      </w:pPr>
    </w:p>
    <w:p>
      <w:pPr>
        <w:ind w:right="3239" w:firstLine="787"/>
        <w:spacing w:after="0" w:line="258" w:lineRule="auto"/>
        <w:rPr>
          <w:sz w:val="20"/>
          <w:szCs w:val="20"/>
          <w:color w:val="auto"/>
        </w:rPr>
      </w:pPr>
      <w:r>
        <w:rPr>
          <w:rFonts w:ascii="Courier New" w:cs="Courier New" w:eastAsia="Courier New" w:hAnsi="Courier New"/>
          <w:sz w:val="14"/>
          <w:szCs w:val="14"/>
          <w:color w:val="auto"/>
        </w:rPr>
        <w:t>Special Considerations for Indirect Holders. If you hold securities through a bank, broker or other financial institution, either in book-entry form or in street name, you should check with your own institution to find out:</w:t>
      </w:r>
    </w:p>
    <w:p>
      <w:pPr>
        <w:spacing w:after="0" w:line="155" w:lineRule="exact"/>
        <w:rPr>
          <w:sz w:val="20"/>
          <w:szCs w:val="20"/>
          <w:color w:val="auto"/>
        </w:rPr>
      </w:pPr>
    </w:p>
    <w:p>
      <w:pPr>
        <w:ind w:left="1400" w:hanging="691"/>
        <w:spacing w:after="0"/>
        <w:tabs>
          <w:tab w:leader="none" w:pos="14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how it handles securities payments and notices;</w:t>
      </w:r>
    </w:p>
    <w:p>
      <w:pPr>
        <w:spacing w:after="0" w:line="166" w:lineRule="exact"/>
        <w:rPr>
          <w:rFonts w:ascii="Courier New" w:cs="Courier New" w:eastAsia="Courier New" w:hAnsi="Courier New"/>
          <w:sz w:val="15"/>
          <w:szCs w:val="15"/>
          <w:color w:val="auto"/>
        </w:rPr>
      </w:pPr>
    </w:p>
    <w:p>
      <w:pPr>
        <w:ind w:left="1400" w:hanging="691"/>
        <w:spacing w:after="0"/>
        <w:tabs>
          <w:tab w:leader="none" w:pos="14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it imposes fees or charges;</w:t>
      </w:r>
    </w:p>
    <w:p>
      <w:pPr>
        <w:spacing w:after="0" w:line="172" w:lineRule="exact"/>
        <w:rPr>
          <w:rFonts w:ascii="Courier New" w:cs="Courier New" w:eastAsia="Courier New" w:hAnsi="Courier New"/>
          <w:sz w:val="15"/>
          <w:szCs w:val="15"/>
          <w:color w:val="auto"/>
        </w:rPr>
      </w:pPr>
    </w:p>
    <w:p>
      <w:pPr>
        <w:ind w:left="1400" w:right="3319" w:hanging="691"/>
        <w:spacing w:after="0" w:line="234" w:lineRule="auto"/>
        <w:tabs>
          <w:tab w:leader="none" w:pos="14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how it would handle a request for the holders' consent, if ever required;</w:t>
      </w:r>
    </w:p>
    <w:p>
      <w:pPr>
        <w:spacing w:after="0" w:line="173" w:lineRule="exact"/>
        <w:rPr>
          <w:rFonts w:ascii="Courier New" w:cs="Courier New" w:eastAsia="Courier New" w:hAnsi="Courier New"/>
          <w:sz w:val="15"/>
          <w:szCs w:val="15"/>
          <w:color w:val="auto"/>
        </w:rPr>
      </w:pPr>
    </w:p>
    <w:p>
      <w:pPr>
        <w:ind w:left="1400" w:right="3579" w:hanging="691"/>
        <w:spacing w:after="0" w:line="235" w:lineRule="auto"/>
        <w:tabs>
          <w:tab w:leader="none" w:pos="14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and how you can instruct it to send you securities registered in your own name so you can be a legal holder, if that is permitted in the future;</w:t>
      </w:r>
    </w:p>
    <w:p>
      <w:pPr>
        <w:spacing w:after="0" w:line="173" w:lineRule="exact"/>
        <w:rPr>
          <w:rFonts w:ascii="Courier New" w:cs="Courier New" w:eastAsia="Courier New" w:hAnsi="Courier New"/>
          <w:sz w:val="15"/>
          <w:szCs w:val="15"/>
          <w:color w:val="auto"/>
        </w:rPr>
      </w:pPr>
    </w:p>
    <w:p>
      <w:pPr>
        <w:jc w:val="both"/>
        <w:ind w:left="1400" w:right="3319" w:hanging="691"/>
        <w:spacing w:after="0" w:line="235" w:lineRule="auto"/>
        <w:tabs>
          <w:tab w:leader="none" w:pos="14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how it would exercise rights under the securities if there were a default or other event triggering the need for holders to act to protect their interests; and</w:t>
      </w:r>
    </w:p>
    <w:p>
      <w:pPr>
        <w:spacing w:after="0" w:line="173" w:lineRule="exact"/>
        <w:rPr>
          <w:rFonts w:ascii="Courier New" w:cs="Courier New" w:eastAsia="Courier New" w:hAnsi="Courier New"/>
          <w:sz w:val="15"/>
          <w:szCs w:val="15"/>
          <w:color w:val="auto"/>
        </w:rPr>
      </w:pPr>
    </w:p>
    <w:p>
      <w:pPr>
        <w:ind w:left="1400" w:right="3399" w:hanging="691"/>
        <w:spacing w:after="0" w:line="234" w:lineRule="auto"/>
        <w:tabs>
          <w:tab w:leader="none" w:pos="14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securities are in book-entry form, how the depositary's rules and procedures will affect these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24" w:right="1440" w:bottom="1440" w:gutter="0" w:footer="0" w:header="0"/>
        </w:sectPr>
      </w:pPr>
    </w:p>
    <w:bookmarkStart w:id="17" w:name="page18"/>
    <w:bookmarkEnd w:id="17"/>
    <w:p>
      <w:pPr>
        <w:ind w:left="800"/>
        <w:spacing w:after="0"/>
        <w:rPr>
          <w:sz w:val="20"/>
          <w:szCs w:val="20"/>
          <w:color w:val="auto"/>
        </w:rPr>
      </w:pPr>
      <w:r>
        <w:rPr>
          <w:rFonts w:ascii="Courier New" w:cs="Courier New" w:eastAsia="Courier New" w:hAnsi="Courier New"/>
          <w:sz w:val="15"/>
          <w:szCs w:val="15"/>
          <w:color w:val="auto"/>
        </w:rPr>
        <w:t>Global Securities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What is a Global Security? A global security represents one or any other number of individual securities. Generally, all securities represented by the same global securities will have the same terms. We may, however, issue a global security that represents multiple securities that have different terms and are issued at different times. We call this kind of global security a master global security.</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Each security issued in book-entry form will be represented by a global security that we deposit with and register in the name of a financial institution that we select or its nominee. The financial institution that is selected for this purpose is called the depositary. Unless we specify otherwise in the applicable prospectus supplement, The Depository Trust Company, New York, New York, known as the DTC, will be the depositary for all securities issued in book-entry form.</w:t>
      </w:r>
    </w:p>
    <w:p>
      <w:pPr>
        <w:spacing w:after="0" w:line="176"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A global security may not be transferred to or registered in the name of anyone other than the depositary or its nominee, unless special termination situations arise or as otherwise described in the prospectus supplement. We describe those situations below under "-- Special Situations When a Global Security Will Be Terminated." As a result of these arrangements, the depositary, or its nominee, will be the sole registered owner and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holder of the security, but only an indirect holder of a beneficial interest in the global security.</w:t>
      </w:r>
    </w:p>
    <w:p>
      <w:pPr>
        <w:spacing w:after="0" w:line="16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Special Considerations for Global Securities. As an indirect holder, an investor's rights relating to a global security will be governed by the account rules of the investor's financial institution and of the depositary, as well as general laws relating to securities transfers. We do not recognize this type of investor as a holder of securities and instead will deal only with the depositary that holds the global security.</w:t>
      </w:r>
    </w:p>
    <w:p>
      <w:pPr>
        <w:spacing w:after="0" w:line="175" w:lineRule="exact"/>
        <w:rPr>
          <w:sz w:val="20"/>
          <w:szCs w:val="20"/>
          <w:color w:val="auto"/>
        </w:rPr>
      </w:pPr>
    </w:p>
    <w:p>
      <w:pPr>
        <w:ind w:right="3679" w:firstLine="787"/>
        <w:spacing w:after="0" w:line="234" w:lineRule="auto"/>
        <w:rPr>
          <w:sz w:val="20"/>
          <w:szCs w:val="20"/>
          <w:color w:val="auto"/>
        </w:rPr>
      </w:pPr>
      <w:r>
        <w:rPr>
          <w:rFonts w:ascii="Courier New" w:cs="Courier New" w:eastAsia="Courier New" w:hAnsi="Courier New"/>
          <w:sz w:val="15"/>
          <w:szCs w:val="15"/>
          <w:color w:val="auto"/>
        </w:rPr>
        <w:t>If securities are issued only in the form of a global security, an investor should be aware of the following:</w:t>
      </w:r>
    </w:p>
    <w:p>
      <w:pPr>
        <w:spacing w:after="0" w:line="173" w:lineRule="exact"/>
        <w:rPr>
          <w:sz w:val="20"/>
          <w:szCs w:val="20"/>
          <w:color w:val="auto"/>
        </w:rPr>
      </w:pPr>
    </w:p>
    <w:p>
      <w:pPr>
        <w:ind w:left="1400" w:right="3239" w:hanging="691"/>
        <w:spacing w:after="0" w:line="235" w:lineRule="auto"/>
        <w:tabs>
          <w:tab w:leader="none" w:pos="14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investor cannot cause the securities to be registered in his or her name and cannot obtain physical certificates for his or her interest in the securities, except in the special situations we describe below.</w:t>
      </w:r>
    </w:p>
    <w:p>
      <w:pPr>
        <w:spacing w:after="0" w:line="175" w:lineRule="exact"/>
        <w:rPr>
          <w:rFonts w:ascii="Courier New" w:cs="Courier New" w:eastAsia="Courier New" w:hAnsi="Courier New"/>
          <w:sz w:val="15"/>
          <w:szCs w:val="15"/>
          <w:color w:val="auto"/>
        </w:rPr>
      </w:pPr>
    </w:p>
    <w:p>
      <w:pPr>
        <w:ind w:left="1400" w:right="3399" w:hanging="691"/>
        <w:spacing w:after="0" w:line="236" w:lineRule="auto"/>
        <w:tabs>
          <w:tab w:leader="none" w:pos="14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investor will be an indirect holder and must look to his or her own bank or broker for payments on the securities and protection of his or her legal rights relating to the securities, as we describe under "-- Holders of Securities" above.</w:t>
      </w:r>
    </w:p>
    <w:p>
      <w:pPr>
        <w:spacing w:after="0" w:line="173" w:lineRule="exact"/>
        <w:rPr>
          <w:rFonts w:ascii="Courier New" w:cs="Courier New" w:eastAsia="Courier New" w:hAnsi="Courier New"/>
          <w:sz w:val="15"/>
          <w:szCs w:val="15"/>
          <w:color w:val="auto"/>
        </w:rPr>
      </w:pPr>
    </w:p>
    <w:p>
      <w:pPr>
        <w:ind w:left="1400" w:right="3319" w:hanging="691"/>
        <w:spacing w:after="0" w:line="258" w:lineRule="auto"/>
        <w:tabs>
          <w:tab w:leader="none" w:pos="140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investor may not be able to sell interests in the securities to some insurance companies and to other institutions that are required by law to own their securities in non-book-entry form.</w:t>
      </w:r>
    </w:p>
    <w:p>
      <w:pPr>
        <w:spacing w:after="0" w:line="161" w:lineRule="exact"/>
        <w:rPr>
          <w:rFonts w:ascii="Courier New" w:cs="Courier New" w:eastAsia="Courier New" w:hAnsi="Courier New"/>
          <w:sz w:val="14"/>
          <w:szCs w:val="14"/>
          <w:color w:val="auto"/>
        </w:rPr>
      </w:pPr>
    </w:p>
    <w:p>
      <w:pPr>
        <w:ind w:left="1400" w:right="3239" w:hanging="691"/>
        <w:spacing w:after="0" w:line="236" w:lineRule="auto"/>
        <w:tabs>
          <w:tab w:leader="none" w:pos="14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investor may not be able to pledge his or her interest in a global security in circumstances where certificates representing the securities must be delivered to the lender or other beneficiary of the pledge in order for the pledge to be effective.</w:t>
      </w:r>
    </w:p>
    <w:p>
      <w:pPr>
        <w:spacing w:after="0" w:line="173" w:lineRule="exact"/>
        <w:rPr>
          <w:rFonts w:ascii="Courier New" w:cs="Courier New" w:eastAsia="Courier New" w:hAnsi="Courier New"/>
          <w:sz w:val="15"/>
          <w:szCs w:val="15"/>
          <w:color w:val="auto"/>
        </w:rPr>
      </w:pPr>
    </w:p>
    <w:p>
      <w:pPr>
        <w:ind w:left="1400" w:right="3239" w:hanging="691"/>
        <w:spacing w:after="0" w:line="236" w:lineRule="auto"/>
        <w:tabs>
          <w:tab w:leader="none" w:pos="14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depositary's policies, which may change from time to time, will govern payments, transfers, exchanges and other matters relating to an investor's interest in a global security. Neither we nor any third parties employed by us or acting on your behalf, such as trustees and transfer agents, have any responsibility for any aspect of the depositary's actions or for its records of ownership interests in a global security. We and the trustee do not supervise the depositary in any way.</w:t>
      </w:r>
    </w:p>
    <w:p>
      <w:pPr>
        <w:spacing w:after="0" w:line="177" w:lineRule="exact"/>
        <w:rPr>
          <w:rFonts w:ascii="Courier New" w:cs="Courier New" w:eastAsia="Courier New" w:hAnsi="Courier New"/>
          <w:sz w:val="15"/>
          <w:szCs w:val="15"/>
          <w:color w:val="auto"/>
        </w:rPr>
      </w:pPr>
    </w:p>
    <w:p>
      <w:pPr>
        <w:ind w:left="1400" w:right="3239" w:hanging="691"/>
        <w:spacing w:after="0" w:line="235" w:lineRule="auto"/>
        <w:tabs>
          <w:tab w:leader="none" w:pos="14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DTC requires that those who purchase and sell interests in a global security within its book-entry system use immediately available funds, and your broker or bank may require you to do so as well.</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17" w:right="1440" w:bottom="1440" w:gutter="0" w:footer="0" w:header="0"/>
        </w:sectPr>
      </w:pPr>
    </w:p>
    <w:bookmarkStart w:id="18" w:name="page19"/>
    <w:bookmarkEnd w:id="18"/>
    <w:p>
      <w:pPr>
        <w:ind w:left="1400" w:right="3319" w:hanging="691"/>
        <w:spacing w:after="0" w:line="236" w:lineRule="auto"/>
        <w:tabs>
          <w:tab w:leader="none" w:pos="14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institutions that participate in the depositary's book-entry system, and through which an investor holds its interest in a global security, may also have their own policies affecting payments, notices and other matters relating to the security. There may be more than one financial intermediary in the chain of ownership for an investor. We do not monitor and are not responsible for the actions of any of those intermediaries.</w:t>
      </w:r>
    </w:p>
    <w:p>
      <w:pPr>
        <w:spacing w:after="0" w:line="177"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Special Situations When a Global Security Will Be Terminated. In a few special situations described below, a global security will be terminated and interests in it will be exchanged for certificates in non-global form representing the securities it represented. After that exchange, the choice of whether to hold the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above under "-- Legal Ownership of Securities -- Holders of Securities."</w:t>
      </w:r>
    </w:p>
    <w:p>
      <w:pPr>
        <w:spacing w:after="0" w:line="17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special situations for termination of a global security are as</w:t>
      </w:r>
    </w:p>
    <w:p>
      <w:pPr>
        <w:spacing w:after="0" w:line="237" w:lineRule="auto"/>
        <w:rPr>
          <w:sz w:val="20"/>
          <w:szCs w:val="20"/>
          <w:color w:val="auto"/>
        </w:rPr>
      </w:pPr>
      <w:r>
        <w:rPr>
          <w:rFonts w:ascii="Courier New" w:cs="Courier New" w:eastAsia="Courier New" w:hAnsi="Courier New"/>
          <w:sz w:val="15"/>
          <w:szCs w:val="15"/>
          <w:color w:val="auto"/>
        </w:rPr>
        <w:t>follows:</w:t>
      </w:r>
    </w:p>
    <w:p>
      <w:pPr>
        <w:spacing w:after="0" w:line="173" w:lineRule="exact"/>
        <w:rPr>
          <w:sz w:val="20"/>
          <w:szCs w:val="20"/>
          <w:color w:val="auto"/>
        </w:rPr>
      </w:pPr>
    </w:p>
    <w:p>
      <w:pPr>
        <w:ind w:left="1400" w:right="3239" w:hanging="691"/>
        <w:spacing w:after="0" w:line="235" w:lineRule="auto"/>
        <w:tabs>
          <w:tab w:leader="none" w:pos="14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depositary notifies us that it is unwilling, unable or no longer qualified to continue as depositary for that global security and we do not appoint another institution to act as depositary within a specified time period;</w:t>
      </w:r>
    </w:p>
    <w:p>
      <w:pPr>
        <w:spacing w:after="0" w:line="168" w:lineRule="exact"/>
        <w:rPr>
          <w:rFonts w:ascii="Courier New" w:cs="Courier New" w:eastAsia="Courier New" w:hAnsi="Courier New"/>
          <w:sz w:val="15"/>
          <w:szCs w:val="15"/>
          <w:color w:val="auto"/>
        </w:rPr>
      </w:pPr>
    </w:p>
    <w:p>
      <w:pPr>
        <w:ind w:left="1400" w:hanging="691"/>
        <w:spacing w:after="0"/>
        <w:tabs>
          <w:tab w:leader="none" w:pos="14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we elect to terminate that global security; or</w:t>
      </w:r>
    </w:p>
    <w:p>
      <w:pPr>
        <w:spacing w:after="0" w:line="172" w:lineRule="exact"/>
        <w:rPr>
          <w:rFonts w:ascii="Courier New" w:cs="Courier New" w:eastAsia="Courier New" w:hAnsi="Courier New"/>
          <w:sz w:val="15"/>
          <w:szCs w:val="15"/>
          <w:color w:val="auto"/>
        </w:rPr>
      </w:pPr>
    </w:p>
    <w:p>
      <w:pPr>
        <w:ind w:left="1400" w:right="3239" w:hanging="691"/>
        <w:spacing w:after="0" w:line="235" w:lineRule="auto"/>
        <w:tabs>
          <w:tab w:leader="none" w:pos="14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 event of default has occurred with regard to securities represented by that global security and it has not been cured or waived.</w:t>
      </w:r>
    </w:p>
    <w:p>
      <w:pPr>
        <w:spacing w:after="0" w:line="174"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The prospectus supplement may also list additional situations for terminating a global security that would apply to a particular series of securities covered by the prospectus supplement. If a global security is terminated, only the depositary is responsible for deciding the names of the institutions in whose names the securities represented by the global security will be registered and, therefore, who will be the holders of those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24" w:right="1440" w:bottom="1440" w:gutter="0" w:footer="0" w:header="0"/>
        </w:sectPr>
      </w:pPr>
    </w:p>
    <w:bookmarkStart w:id="19" w:name="page20"/>
    <w:bookmarkEnd w:id="19"/>
    <w:p>
      <w:pPr>
        <w:ind w:left="2200"/>
        <w:spacing w:after="0"/>
        <w:rPr>
          <w:sz w:val="20"/>
          <w:szCs w:val="20"/>
          <w:color w:val="auto"/>
        </w:rPr>
      </w:pPr>
      <w:r>
        <w:rPr>
          <w:rFonts w:ascii="Courier New" w:cs="Courier New" w:eastAsia="Courier New" w:hAnsi="Courier New"/>
          <w:sz w:val="15"/>
          <w:szCs w:val="15"/>
          <w:color w:val="auto"/>
        </w:rPr>
        <w:t>DESCRIPTION OF DEBT SECURITIES</w:t>
      </w:r>
    </w:p>
    <w:p>
      <w:pPr>
        <w:spacing w:after="0" w:line="341"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We may issue debt securities from time to time in one or more distinct series. This section summarizes the material terms of our senior or subordinated debt securities that are common to all series. Most of the financial and other terms of any series of debt securities that we offer will be described in the prospectus supplement to be attached to the front of this prospectus.</w:t>
      </w:r>
    </w:p>
    <w:p>
      <w:pPr>
        <w:spacing w:after="0" w:line="16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As required by U.S. federal law for all bonds and notes of companies that are publicly offered, the debt securities will be governed by a document called an "indenture." An indenture is a contract between us and a financial institution, in this case, The Bank of New York, acting as trustee on your behalf. The indenture will be subject to and governed by the Trust Indenture Act of 1939, as amended. The trustee has two main roles:</w:t>
      </w:r>
    </w:p>
    <w:p>
      <w:pPr>
        <w:spacing w:after="0" w:line="175" w:lineRule="exact"/>
        <w:rPr>
          <w:sz w:val="20"/>
          <w:szCs w:val="20"/>
          <w:color w:val="auto"/>
        </w:rPr>
      </w:pPr>
    </w:p>
    <w:p>
      <w:pPr>
        <w:ind w:left="1400" w:right="3239" w:hanging="691"/>
        <w:spacing w:after="0" w:line="234" w:lineRule="auto"/>
        <w:tabs>
          <w:tab w:leader="none" w:pos="14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First, subject to some limitations, the trustee can enforce your rights against us if we default.</w:t>
      </w:r>
    </w:p>
    <w:p>
      <w:pPr>
        <w:spacing w:after="0" w:line="173" w:lineRule="exact"/>
        <w:rPr>
          <w:rFonts w:ascii="Courier New" w:cs="Courier New" w:eastAsia="Courier New" w:hAnsi="Courier New"/>
          <w:sz w:val="15"/>
          <w:szCs w:val="15"/>
          <w:color w:val="auto"/>
        </w:rPr>
      </w:pPr>
    </w:p>
    <w:p>
      <w:pPr>
        <w:ind w:left="1400" w:right="3399" w:hanging="691"/>
        <w:spacing w:after="0" w:line="261" w:lineRule="auto"/>
        <w:tabs>
          <w:tab w:leader="none" w:pos="140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Second, the trustee performs certain administrative duties for us, which include sending you interest payments and notices.</w:t>
      </w:r>
    </w:p>
    <w:p>
      <w:pPr>
        <w:spacing w:after="0" w:line="160" w:lineRule="exact"/>
        <w:rPr>
          <w:sz w:val="20"/>
          <w:szCs w:val="20"/>
          <w:color w:val="auto"/>
        </w:rPr>
      </w:pPr>
    </w:p>
    <w:p>
      <w:pPr>
        <w:jc w:val="both"/>
        <w:ind w:right="3319" w:firstLine="787"/>
        <w:spacing w:after="0" w:line="254" w:lineRule="auto"/>
        <w:rPr>
          <w:sz w:val="20"/>
          <w:szCs w:val="20"/>
          <w:color w:val="auto"/>
        </w:rPr>
      </w:pPr>
      <w:r>
        <w:rPr>
          <w:rFonts w:ascii="Courier New" w:cs="Courier New" w:eastAsia="Courier New" w:hAnsi="Courier New"/>
          <w:sz w:val="14"/>
          <w:szCs w:val="14"/>
          <w:color w:val="auto"/>
        </w:rPr>
        <w:t>Because we may issue both senior debt securities and subordinated debt securities, our references to the indenture are to each of the senior indenture and the subordinated indenture, unless the context requires otherwise.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this section, we refer to these indentures collectively as the "indentures."</w:t>
      </w:r>
    </w:p>
    <w:p>
      <w:pPr>
        <w:spacing w:after="0" w:line="178"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Because this section is a summary of the material terms of the indentures, it does not describe every aspect of the debt securities. We urge you to read the indentures because they, and not this description, define your rights as a holder of debt securities. Some of the definitions are repeated in this prospectus, but for the rest you will need to read the indentures. We have filed the forms of the indentures as exhibits to a registration statement that we have filed with the SEC, of which this prospectus is a part. See "Where You Can Find More Information," for information on how to obtain copies of the indentures.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The debt securities will be unsecured obligations of ClearOne. The senior debt securities will rank equally with all of our other senior unsecured and unsubordinated indebtedness. The subordinated debt securities will be subordinate and junior in right of payment to all our existing and future Senior Indebtedness (as defined below).</w:t>
      </w:r>
    </w:p>
    <w:p>
      <w:pPr>
        <w:spacing w:after="0" w:line="174" w:lineRule="exact"/>
        <w:rPr>
          <w:sz w:val="20"/>
          <w:szCs w:val="20"/>
          <w:color w:val="auto"/>
        </w:rPr>
      </w:pPr>
    </w:p>
    <w:p>
      <w:pPr>
        <w:ind w:right="3499" w:firstLine="787"/>
        <w:spacing w:after="0" w:line="234" w:lineRule="auto"/>
        <w:rPr>
          <w:sz w:val="20"/>
          <w:szCs w:val="20"/>
          <w:color w:val="auto"/>
        </w:rPr>
      </w:pPr>
      <w:r>
        <w:rPr>
          <w:rFonts w:ascii="Courier New" w:cs="Courier New" w:eastAsia="Courier New" w:hAnsi="Courier New"/>
          <w:sz w:val="15"/>
          <w:szCs w:val="15"/>
          <w:color w:val="auto"/>
        </w:rPr>
        <w:t>You should read the prospectus supplement for the following terms of the series of debt securities offered by the prospectus supplement:</w:t>
      </w:r>
    </w:p>
    <w:p>
      <w:pPr>
        <w:spacing w:after="0" w:line="173" w:lineRule="exact"/>
        <w:rPr>
          <w:sz w:val="20"/>
          <w:szCs w:val="20"/>
          <w:color w:val="auto"/>
        </w:rPr>
      </w:pPr>
    </w:p>
    <w:p>
      <w:pPr>
        <w:ind w:left="1400" w:right="3239" w:hanging="691"/>
        <w:spacing w:after="0" w:line="261" w:lineRule="auto"/>
        <w:tabs>
          <w:tab w:leader="none" w:pos="140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title of the debt securities and whether the debt securities will be senior debt securities or subordinated debt securities.</w:t>
      </w:r>
    </w:p>
    <w:p>
      <w:pPr>
        <w:spacing w:after="0" w:line="159" w:lineRule="exact"/>
        <w:rPr>
          <w:rFonts w:ascii="Courier New" w:cs="Courier New" w:eastAsia="Courier New" w:hAnsi="Courier New"/>
          <w:sz w:val="14"/>
          <w:szCs w:val="14"/>
          <w:color w:val="auto"/>
        </w:rPr>
      </w:pPr>
    </w:p>
    <w:p>
      <w:pPr>
        <w:ind w:left="1400" w:right="3499" w:hanging="691"/>
        <w:spacing w:after="0" w:line="236" w:lineRule="auto"/>
        <w:tabs>
          <w:tab w:leader="none" w:pos="14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principal amount of the debt securities, the percentage of their principal amount at which the debt securities will be issued and the date or dates when the principal of the debt securities will be payable or how those dates will be determined.</w:t>
      </w:r>
    </w:p>
    <w:p>
      <w:pPr>
        <w:spacing w:after="0" w:line="173" w:lineRule="exact"/>
        <w:rPr>
          <w:rFonts w:ascii="Courier New" w:cs="Courier New" w:eastAsia="Courier New" w:hAnsi="Courier New"/>
          <w:sz w:val="15"/>
          <w:szCs w:val="15"/>
          <w:color w:val="auto"/>
        </w:rPr>
      </w:pPr>
    </w:p>
    <w:p>
      <w:pPr>
        <w:jc w:val="both"/>
        <w:ind w:left="1400" w:right="3239" w:hanging="691"/>
        <w:spacing w:after="0" w:line="235" w:lineRule="auto"/>
        <w:tabs>
          <w:tab w:leader="none" w:pos="14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interest rate or rates, which may be fixed or variable, that the debt securities will bear, if any, and how the rate or rates will be determined.</w:t>
      </w:r>
    </w:p>
    <w:p>
      <w:pPr>
        <w:spacing w:after="0" w:line="173" w:lineRule="exact"/>
        <w:rPr>
          <w:rFonts w:ascii="Courier New" w:cs="Courier New" w:eastAsia="Courier New" w:hAnsi="Courier New"/>
          <w:sz w:val="15"/>
          <w:szCs w:val="15"/>
          <w:color w:val="auto"/>
        </w:rPr>
      </w:pPr>
    </w:p>
    <w:p>
      <w:pPr>
        <w:ind w:left="1400" w:right="3239" w:hanging="691"/>
        <w:spacing w:after="0" w:line="236" w:lineRule="auto"/>
        <w:tabs>
          <w:tab w:leader="none" w:pos="14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or dates from which any interest will accrue or how the date or dates will be determined, the date or dates on which any interest will be payable, any regular record dates for these payments or how these dates will be determined and the basis on which any interest will be calculated, if other than on the basis of a 360-day year of twelve 30-day months.</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17" w:right="1440" w:bottom="1440" w:gutter="0" w:footer="0" w:header="0"/>
        </w:sectPr>
      </w:pPr>
    </w:p>
    <w:bookmarkStart w:id="20" w:name="page21"/>
    <w:bookmarkEnd w:id="20"/>
    <w:p>
      <w:pPr>
        <w:ind w:left="691" w:right="3239" w:hanging="691"/>
        <w:spacing w:after="0" w:line="236" w:lineRule="auto"/>
        <w:tabs>
          <w:tab w:leader="none" w:pos="691"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place or places, if any, other than or in addition to the Borough of Manhattan, New York City, of payment, transfer, conversion and exchange of the debt securities and where notices or demands to or upon us in respect of the debt securities may be served.</w:t>
      </w:r>
    </w:p>
    <w:p>
      <w:pPr>
        <w:spacing w:after="0" w:line="167" w:lineRule="exact"/>
        <w:rPr>
          <w:rFonts w:ascii="Courier New" w:cs="Courier New" w:eastAsia="Courier New" w:hAnsi="Courier New"/>
          <w:sz w:val="15"/>
          <w:szCs w:val="15"/>
          <w:color w:val="auto"/>
        </w:rPr>
      </w:pPr>
    </w:p>
    <w:p>
      <w:pPr>
        <w:ind w:left="691" w:hanging="691"/>
        <w:spacing w:after="0"/>
        <w:tabs>
          <w:tab w:leader="none" w:pos="691"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optional redemption provisions.</w:t>
      </w:r>
    </w:p>
    <w:p>
      <w:pPr>
        <w:spacing w:after="0" w:line="172" w:lineRule="exact"/>
        <w:rPr>
          <w:rFonts w:ascii="Courier New" w:cs="Courier New" w:eastAsia="Courier New" w:hAnsi="Courier New"/>
          <w:sz w:val="15"/>
          <w:szCs w:val="15"/>
          <w:color w:val="auto"/>
        </w:rPr>
      </w:pPr>
    </w:p>
    <w:p>
      <w:pPr>
        <w:ind w:left="691" w:right="3399" w:hanging="691"/>
        <w:spacing w:after="0" w:line="234" w:lineRule="auto"/>
        <w:tabs>
          <w:tab w:leader="none" w:pos="691"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sinking fund or other provisions that would obligate us to repurchase or redeem the debt securities.</w:t>
      </w:r>
    </w:p>
    <w:p>
      <w:pPr>
        <w:spacing w:after="0" w:line="173" w:lineRule="exact"/>
        <w:rPr>
          <w:rFonts w:ascii="Courier New" w:cs="Courier New" w:eastAsia="Courier New" w:hAnsi="Courier New"/>
          <w:sz w:val="15"/>
          <w:szCs w:val="15"/>
          <w:color w:val="auto"/>
        </w:rPr>
      </w:pPr>
    </w:p>
    <w:p>
      <w:pPr>
        <w:ind w:left="691" w:right="3319" w:hanging="691"/>
        <w:spacing w:after="0" w:line="236" w:lineRule="auto"/>
        <w:tabs>
          <w:tab w:leader="none" w:pos="691"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the amount of payments of principal of, or premium, if any, or interest on the debt securities will be determined with reference to an index, formula or other method, which could be based on one or more commodities, equity indices or other indices, and how these amounts will be determined.</w:t>
      </w:r>
    </w:p>
    <w:p>
      <w:pPr>
        <w:spacing w:after="0" w:line="173" w:lineRule="exact"/>
        <w:rPr>
          <w:rFonts w:ascii="Courier New" w:cs="Courier New" w:eastAsia="Courier New" w:hAnsi="Courier New"/>
          <w:sz w:val="15"/>
          <w:szCs w:val="15"/>
          <w:color w:val="auto"/>
        </w:rPr>
      </w:pPr>
    </w:p>
    <w:p>
      <w:pPr>
        <w:ind w:left="691" w:right="3319" w:hanging="691"/>
        <w:spacing w:after="0" w:line="258" w:lineRule="auto"/>
        <w:tabs>
          <w:tab w:leader="none" w:pos="691"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changes or additions to the events of default under the applicable indenture or our covenants, including additions of any restrictive covenants, with respect to the debt securities.</w:t>
      </w:r>
    </w:p>
    <w:p>
      <w:pPr>
        <w:spacing w:after="0" w:line="161" w:lineRule="exact"/>
        <w:rPr>
          <w:rFonts w:ascii="Courier New" w:cs="Courier New" w:eastAsia="Courier New" w:hAnsi="Courier New"/>
          <w:sz w:val="14"/>
          <w:szCs w:val="14"/>
          <w:color w:val="auto"/>
        </w:rPr>
      </w:pPr>
    </w:p>
    <w:p>
      <w:pPr>
        <w:ind w:left="691" w:right="3319" w:hanging="691"/>
        <w:spacing w:after="0" w:line="235" w:lineRule="auto"/>
        <w:tabs>
          <w:tab w:leader="none" w:pos="691"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not the principal amount of the debt securities, the portion of the principal amount that will be payable upon acceleration of the maturity of the debt securities or how that portion will be determined.</w:t>
      </w:r>
    </w:p>
    <w:p>
      <w:pPr>
        <w:spacing w:after="0" w:line="175" w:lineRule="exact"/>
        <w:rPr>
          <w:rFonts w:ascii="Courier New" w:cs="Courier New" w:eastAsia="Courier New" w:hAnsi="Courier New"/>
          <w:sz w:val="15"/>
          <w:szCs w:val="15"/>
          <w:color w:val="auto"/>
        </w:rPr>
      </w:pPr>
    </w:p>
    <w:p>
      <w:pPr>
        <w:ind w:left="691" w:right="3239" w:hanging="691"/>
        <w:spacing w:after="0" w:line="235" w:lineRule="auto"/>
        <w:tabs>
          <w:tab w:leader="none" w:pos="691"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changes or additions to the provisions concerning defeasance and covenant defeasance contained in the indenture that will be applicable to the debt securities.</w:t>
      </w:r>
    </w:p>
    <w:p>
      <w:pPr>
        <w:spacing w:after="0" w:line="173" w:lineRule="exact"/>
        <w:rPr>
          <w:rFonts w:ascii="Courier New" w:cs="Courier New" w:eastAsia="Courier New" w:hAnsi="Courier New"/>
          <w:sz w:val="15"/>
          <w:szCs w:val="15"/>
          <w:color w:val="auto"/>
        </w:rPr>
      </w:pPr>
    </w:p>
    <w:p>
      <w:pPr>
        <w:ind w:left="691" w:right="3579" w:hanging="691"/>
        <w:spacing w:after="0" w:line="261" w:lineRule="auto"/>
        <w:tabs>
          <w:tab w:leader="none" w:pos="691"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provisions granting special rights to the holders of the debt securities upon the occurrence of specified events.</w:t>
      </w:r>
    </w:p>
    <w:p>
      <w:pPr>
        <w:spacing w:after="0" w:line="159" w:lineRule="exact"/>
        <w:rPr>
          <w:rFonts w:ascii="Courier New" w:cs="Courier New" w:eastAsia="Courier New" w:hAnsi="Courier New"/>
          <w:sz w:val="14"/>
          <w:szCs w:val="14"/>
          <w:color w:val="auto"/>
        </w:rPr>
      </w:pPr>
    </w:p>
    <w:p>
      <w:pPr>
        <w:ind w:left="691" w:right="3399" w:hanging="691"/>
        <w:spacing w:after="0" w:line="261" w:lineRule="auto"/>
        <w:tabs>
          <w:tab w:leader="none" w:pos="691"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other than the trustee, the name of any paying agent, security registrar and transfer agent for the debt securities.</w:t>
      </w:r>
    </w:p>
    <w:p>
      <w:pPr>
        <w:spacing w:after="0" w:line="159" w:lineRule="exact"/>
        <w:rPr>
          <w:rFonts w:ascii="Courier New" w:cs="Courier New" w:eastAsia="Courier New" w:hAnsi="Courier New"/>
          <w:sz w:val="14"/>
          <w:szCs w:val="14"/>
          <w:color w:val="auto"/>
        </w:rPr>
      </w:pPr>
    </w:p>
    <w:p>
      <w:pPr>
        <w:ind w:left="691" w:right="3239" w:hanging="691"/>
        <w:spacing w:after="0" w:line="255" w:lineRule="auto"/>
        <w:tabs>
          <w:tab w:leader="none" w:pos="691"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debt securities are not to be issued in book-entry form only and held by The Depository Trust Company, as depositary, the form of such debt securities, including whether such debt securities are to be issuable in permanent or temporary global form, as registered securities, bearer securities or both, any restrictions on the offer, sale or delivery of bearer securities and the terms, if any, upon which bearer securities of the series may be exchanged for registered securities of the series and vice versa, if permitted by applicable law and regulations.</w:t>
      </w:r>
    </w:p>
    <w:p>
      <w:pPr>
        <w:spacing w:after="0" w:line="165" w:lineRule="exact"/>
        <w:rPr>
          <w:rFonts w:ascii="Courier New" w:cs="Courier New" w:eastAsia="Courier New" w:hAnsi="Courier New"/>
          <w:sz w:val="14"/>
          <w:szCs w:val="14"/>
          <w:color w:val="auto"/>
        </w:rPr>
      </w:pPr>
    </w:p>
    <w:p>
      <w:pPr>
        <w:ind w:left="691" w:right="3579" w:hanging="691"/>
        <w:spacing w:after="0" w:line="234" w:lineRule="auto"/>
        <w:tabs>
          <w:tab w:leader="none" w:pos="691"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other than US dollars, the currency or currencies of such debt securities.</w:t>
      </w:r>
    </w:p>
    <w:p>
      <w:pPr>
        <w:spacing w:after="0" w:line="173" w:lineRule="exact"/>
        <w:rPr>
          <w:rFonts w:ascii="Courier New" w:cs="Courier New" w:eastAsia="Courier New" w:hAnsi="Courier New"/>
          <w:sz w:val="15"/>
          <w:szCs w:val="15"/>
          <w:color w:val="auto"/>
        </w:rPr>
      </w:pPr>
    </w:p>
    <w:p>
      <w:pPr>
        <w:ind w:left="691" w:right="3579" w:hanging="691"/>
        <w:spacing w:after="0" w:line="235" w:lineRule="auto"/>
        <w:tabs>
          <w:tab w:leader="none" w:pos="691"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person to whom any interest in a debt security will be payable, if other than the registered holder at the close of business on the regular record date.</w:t>
      </w:r>
    </w:p>
    <w:p>
      <w:pPr>
        <w:spacing w:after="0" w:line="173" w:lineRule="exact"/>
        <w:rPr>
          <w:rFonts w:ascii="Courier New" w:cs="Courier New" w:eastAsia="Courier New" w:hAnsi="Courier New"/>
          <w:sz w:val="15"/>
          <w:szCs w:val="15"/>
          <w:color w:val="auto"/>
        </w:rPr>
      </w:pPr>
    </w:p>
    <w:p>
      <w:pPr>
        <w:ind w:left="691" w:right="3239" w:hanging="691"/>
        <w:spacing w:after="0" w:line="256" w:lineRule="auto"/>
        <w:tabs>
          <w:tab w:leader="none" w:pos="691"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denomination or denominations that the debt securities will be issued, if other than denominations of $1,000 or any integral multiples in the case of the registered securities and $5,000 or any integral multiples in the case of the bearer securities.</w:t>
      </w:r>
    </w:p>
    <w:p>
      <w:pPr>
        <w:spacing w:after="0" w:line="164" w:lineRule="exact"/>
        <w:rPr>
          <w:rFonts w:ascii="Courier New" w:cs="Courier New" w:eastAsia="Courier New" w:hAnsi="Courier New"/>
          <w:sz w:val="14"/>
          <w:szCs w:val="14"/>
          <w:color w:val="auto"/>
        </w:rPr>
      </w:pPr>
    </w:p>
    <w:p>
      <w:pPr>
        <w:ind w:left="691" w:right="3319" w:hanging="691"/>
        <w:spacing w:after="0" w:line="235" w:lineRule="auto"/>
        <w:tabs>
          <w:tab w:leader="none" w:pos="691"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such debt securities will be convertible into or exchangeable for any other securities and, if so, the terms and conditions upon which such debt securities will be so convertible or exchangeable.</w:t>
      </w:r>
    </w:p>
    <w:p>
      <w:pPr>
        <w:spacing w:after="0" w:line="175" w:lineRule="exact"/>
        <w:rPr>
          <w:rFonts w:ascii="Courier New" w:cs="Courier New" w:eastAsia="Courier New" w:hAnsi="Courier New"/>
          <w:sz w:val="15"/>
          <w:szCs w:val="15"/>
          <w:color w:val="auto"/>
        </w:rPr>
      </w:pPr>
    </w:p>
    <w:p>
      <w:pPr>
        <w:ind w:left="691" w:right="3239" w:hanging="691"/>
        <w:spacing w:after="0" w:line="235" w:lineRule="auto"/>
        <w:tabs>
          <w:tab w:leader="none" w:pos="691"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discussion of federal income tax, accounting and other special considerations, procedures and limitations with respect to the debt securities.</w:t>
      </w:r>
    </w:p>
    <w:p>
      <w:pPr>
        <w:spacing w:after="0" w:line="173" w:lineRule="exact"/>
        <w:rPr>
          <w:rFonts w:ascii="Courier New" w:cs="Courier New" w:eastAsia="Courier New" w:hAnsi="Courier New"/>
          <w:sz w:val="15"/>
          <w:szCs w:val="15"/>
          <w:color w:val="auto"/>
        </w:rPr>
      </w:pPr>
    </w:p>
    <w:p>
      <w:pPr>
        <w:ind w:left="691" w:right="3399" w:hanging="691"/>
        <w:spacing w:after="0" w:line="236" w:lineRule="auto"/>
        <w:tabs>
          <w:tab w:leader="none" w:pos="691"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and under what circumstances we will pay additional amounts to holders in respect of any tax assessment or government charge, and, if so, whether we will have the option to redeem the debt securities rather than pay such additional amounts.</w:t>
      </w:r>
    </w:p>
    <w:p>
      <w:pPr>
        <w:spacing w:after="0" w:line="335" w:lineRule="exact"/>
        <w:rPr>
          <w:sz w:val="20"/>
          <w:szCs w:val="20"/>
          <w:color w:val="auto"/>
        </w:rPr>
      </w:pPr>
    </w:p>
    <w:p>
      <w:pPr>
        <w:ind w:left="2711"/>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530"/>
          </w:cols>
          <w:pgMar w:left="929" w:top="624" w:right="1440" w:bottom="1440" w:gutter="0" w:footer="0" w:header="0"/>
        </w:sectPr>
      </w:pPr>
    </w:p>
    <w:bookmarkStart w:id="21" w:name="page22"/>
    <w:bookmarkEnd w:id="21"/>
    <w:p>
      <w:pPr>
        <w:ind w:left="1400" w:right="3319" w:hanging="691"/>
        <w:spacing w:after="0" w:line="234" w:lineRule="auto"/>
        <w:tabs>
          <w:tab w:leader="none" w:pos="140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terms of the debt securities that are consistent with the provisions of the indenture.</w:t>
      </w:r>
    </w:p>
    <w:p>
      <w:pPr>
        <w:spacing w:after="0" w:line="173" w:lineRule="exact"/>
        <w:rPr>
          <w:sz w:val="20"/>
          <w:szCs w:val="20"/>
          <w:color w:val="auto"/>
        </w:rPr>
      </w:pPr>
    </w:p>
    <w:p>
      <w:pPr>
        <w:ind w:right="3399" w:firstLine="787"/>
        <w:spacing w:after="0" w:line="258" w:lineRule="auto"/>
        <w:rPr>
          <w:sz w:val="20"/>
          <w:szCs w:val="20"/>
          <w:color w:val="auto"/>
        </w:rPr>
      </w:pPr>
      <w:r>
        <w:rPr>
          <w:rFonts w:ascii="Courier New" w:cs="Courier New" w:eastAsia="Courier New" w:hAnsi="Courier New"/>
          <w:sz w:val="14"/>
          <w:szCs w:val="14"/>
          <w:color w:val="auto"/>
        </w:rPr>
        <w:t>For purposes of this prospectus, any reference to the payment of principal of, any premium on, or any interest on, debt securities will include additional amounts if required by the terms of such debt securities.</w:t>
      </w:r>
    </w:p>
    <w:p>
      <w:pPr>
        <w:spacing w:after="0" w:line="161"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The indentures do not limit the amount of debt securities that we are authorized to issue from time to time. The indentures also provide that there may be more than one trustee thereunder, each for one or more series of debt securities. At a time when two or more trustees are acting under the indenture, each with respect to only certain series, the term "debt securities" means the series of debt securities for which each respective trustee is acting. If there is more than one trustee under the indenture, the powers and trust obligations of each trustee will apply only to the debt securities for which it is trustee. If two or more trustees are acting under the indenture, then the debt securities for which each trustee is acting would be treated as if issued under separate indentures.</w:t>
      </w:r>
    </w:p>
    <w:p>
      <w:pPr>
        <w:spacing w:after="0" w:line="180"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We may issue debt securities with terms different from those of debt securities that may already have been issued. Without the consent of the holders thereof, we may reopen a previous issue of a series of debt securities and issue additional debt securities of that series unless the reopening was restricted when that series was created.</w:t>
      </w:r>
    </w:p>
    <w:p>
      <w:pPr>
        <w:spacing w:after="0" w:line="174"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There is no requirement that we issue debt securities in the future under any indenture, and we may use other indentures or documentation, containing different provisions in connection with future issues of other debt securities.</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We may issue the debt securities as original issue discount securities, which are debt securities, including any zero-coupon debt securities, that are issued and sold at a discount from their stated principal amount. Original issue discount securities provide that, upon acceleration of their maturity, an amount less than their principal amount will become due and payable. We will describe the U.S. federal income tax consequences and other considerations applicable to original issue discount securities in any prospectus supplement relating to them.</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Conversion and Exchange</w:t>
      </w:r>
    </w:p>
    <w:p>
      <w:pPr>
        <w:spacing w:after="0" w:line="173" w:lineRule="exact"/>
        <w:rPr>
          <w:sz w:val="20"/>
          <w:szCs w:val="20"/>
          <w:color w:val="auto"/>
        </w:rPr>
      </w:pPr>
    </w:p>
    <w:p>
      <w:pPr>
        <w:jc w:val="both"/>
        <w:ind w:right="3399" w:firstLine="787"/>
        <w:spacing w:after="0" w:line="235" w:lineRule="auto"/>
        <w:rPr>
          <w:sz w:val="20"/>
          <w:szCs w:val="20"/>
          <w:color w:val="auto"/>
        </w:rPr>
      </w:pPr>
      <w:r>
        <w:rPr>
          <w:rFonts w:ascii="Courier New" w:cs="Courier New" w:eastAsia="Courier New" w:hAnsi="Courier New"/>
          <w:sz w:val="15"/>
          <w:szCs w:val="15"/>
          <w:color w:val="auto"/>
        </w:rPr>
        <w:t>If any debt securities are convertible into or exchangeable for other securities, the prospectus supplement will explain the terms and conditions of such conversion or exchange, including:</w:t>
      </w:r>
    </w:p>
    <w:p>
      <w:pPr>
        <w:spacing w:after="0" w:line="174" w:lineRule="exact"/>
        <w:rPr>
          <w:sz w:val="20"/>
          <w:szCs w:val="20"/>
          <w:color w:val="auto"/>
        </w:rPr>
      </w:pPr>
    </w:p>
    <w:p>
      <w:pPr>
        <w:ind w:left="1400" w:right="3759" w:hanging="691"/>
        <w:spacing w:after="0" w:line="234" w:lineRule="auto"/>
        <w:tabs>
          <w:tab w:leader="none" w:pos="14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conversion price or exchange ratio, or the calculation method for such price or ratio;</w:t>
      </w:r>
    </w:p>
    <w:p>
      <w:pPr>
        <w:spacing w:after="0" w:line="173" w:lineRule="exact"/>
        <w:rPr>
          <w:rFonts w:ascii="Courier New" w:cs="Courier New" w:eastAsia="Courier New" w:hAnsi="Courier New"/>
          <w:sz w:val="15"/>
          <w:szCs w:val="15"/>
          <w:color w:val="auto"/>
        </w:rPr>
      </w:pPr>
    </w:p>
    <w:p>
      <w:pPr>
        <w:ind w:left="1400" w:right="3499" w:hanging="691"/>
        <w:spacing w:after="0" w:line="234" w:lineRule="auto"/>
        <w:tabs>
          <w:tab w:leader="none" w:pos="14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conversion or exchange period, or how such period will be determined;</w:t>
      </w:r>
    </w:p>
    <w:p>
      <w:pPr>
        <w:spacing w:after="0" w:line="173" w:lineRule="exact"/>
        <w:rPr>
          <w:rFonts w:ascii="Courier New" w:cs="Courier New" w:eastAsia="Courier New" w:hAnsi="Courier New"/>
          <w:sz w:val="15"/>
          <w:szCs w:val="15"/>
          <w:color w:val="auto"/>
        </w:rPr>
      </w:pPr>
    </w:p>
    <w:p>
      <w:pPr>
        <w:ind w:left="1400" w:right="3319" w:hanging="691"/>
        <w:spacing w:after="0" w:line="234" w:lineRule="auto"/>
        <w:tabs>
          <w:tab w:leader="none" w:pos="14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conversion or exchange will be mandatory or at the option of the holder or ClearOne;</w:t>
      </w:r>
    </w:p>
    <w:p>
      <w:pPr>
        <w:spacing w:after="0" w:line="173" w:lineRule="exact"/>
        <w:rPr>
          <w:rFonts w:ascii="Courier New" w:cs="Courier New" w:eastAsia="Courier New" w:hAnsi="Courier New"/>
          <w:sz w:val="15"/>
          <w:szCs w:val="15"/>
          <w:color w:val="auto"/>
        </w:rPr>
      </w:pPr>
    </w:p>
    <w:p>
      <w:pPr>
        <w:ind w:left="1400" w:right="3499" w:hanging="691"/>
        <w:spacing w:after="0" w:line="234" w:lineRule="auto"/>
        <w:tabs>
          <w:tab w:leader="none" w:pos="14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requirements with respect to the reservation of shares of securities for purposes of conversion;</w:t>
      </w:r>
    </w:p>
    <w:p>
      <w:pPr>
        <w:spacing w:after="0" w:line="173" w:lineRule="exact"/>
        <w:rPr>
          <w:rFonts w:ascii="Courier New" w:cs="Courier New" w:eastAsia="Courier New" w:hAnsi="Courier New"/>
          <w:sz w:val="15"/>
          <w:szCs w:val="15"/>
          <w:color w:val="auto"/>
        </w:rPr>
      </w:pPr>
    </w:p>
    <w:p>
      <w:pPr>
        <w:ind w:left="1400" w:right="3939" w:hanging="691"/>
        <w:spacing w:after="0" w:line="234" w:lineRule="auto"/>
        <w:tabs>
          <w:tab w:leader="none" w:pos="14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provisions for adjustment of the conversion price or the exchange ratio; and</w:t>
      </w:r>
    </w:p>
    <w:p>
      <w:pPr>
        <w:spacing w:after="0" w:line="173" w:lineRule="exact"/>
        <w:rPr>
          <w:rFonts w:ascii="Courier New" w:cs="Courier New" w:eastAsia="Courier New" w:hAnsi="Courier New"/>
          <w:sz w:val="15"/>
          <w:szCs w:val="15"/>
          <w:color w:val="auto"/>
        </w:rPr>
      </w:pPr>
    </w:p>
    <w:p>
      <w:pPr>
        <w:ind w:left="1400" w:right="3319" w:hanging="691"/>
        <w:spacing w:after="0" w:line="234" w:lineRule="auto"/>
        <w:tabs>
          <w:tab w:leader="none" w:pos="14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provisions affecting conversion or exchange in the event of the redemption of the debt securities.</w:t>
      </w:r>
    </w:p>
    <w:p>
      <w:pPr>
        <w:spacing w:after="0" w:line="173"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Such terms may also include provisions under which the number or amount of other securities to be received by the holders of such debt securities upon conversion or exchange would be calculated according to the market price of such other securities as of a time stated in the prospectus supplement.</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 Mechanics</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Form, Exchange and Transfer</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debt securities will be issued:</w:t>
      </w:r>
    </w:p>
    <w:p>
      <w:pPr>
        <w:spacing w:after="0" w:line="173" w:lineRule="exact"/>
        <w:rPr>
          <w:sz w:val="20"/>
          <w:szCs w:val="20"/>
          <w:color w:val="auto"/>
        </w:rPr>
      </w:pPr>
    </w:p>
    <w:p>
      <w:pPr>
        <w:ind w:left="3420" w:right="6379" w:hanging="2711"/>
        <w:spacing w:after="0" w:line="770" w:lineRule="auto"/>
        <w:tabs>
          <w:tab w:leader="none" w:pos="1408"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registered securities; or 17</w:t>
      </w:r>
    </w:p>
    <w:p>
      <w:pPr>
        <w:sectPr>
          <w:pgSz w:w="11900" w:h="16838" w:orient="portrait"/>
          <w:cols w:equalWidth="0" w:num="1">
            <w:col w:w="10239"/>
          </w:cols>
          <w:pgMar w:left="220" w:top="624" w:right="1440" w:bottom="1440" w:gutter="0" w:footer="0" w:header="0"/>
        </w:sectPr>
      </w:pPr>
    </w:p>
    <w:bookmarkStart w:id="22" w:name="page23"/>
    <w:bookmarkEnd w:id="22"/>
    <w:p>
      <w:pPr>
        <w:ind w:left="1400" w:right="4099" w:hanging="691"/>
        <w:spacing w:after="0" w:line="258" w:lineRule="auto"/>
        <w:tabs>
          <w:tab w:leader="none" w:pos="140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so provided in the prospectus supplement, as bearer securities (unless otherwise stated in the prospectus supplement, with interest coupons attached); or</w:t>
      </w:r>
    </w:p>
    <w:p>
      <w:pPr>
        <w:spacing w:after="0" w:line="161" w:lineRule="exact"/>
        <w:rPr>
          <w:rFonts w:ascii="Courier New" w:cs="Courier New" w:eastAsia="Courier New" w:hAnsi="Courier New"/>
          <w:sz w:val="14"/>
          <w:szCs w:val="14"/>
          <w:color w:val="auto"/>
        </w:rPr>
      </w:pPr>
    </w:p>
    <w:p>
      <w:pPr>
        <w:ind w:left="1400" w:right="4199" w:hanging="691"/>
        <w:spacing w:after="0" w:line="234" w:lineRule="auto"/>
        <w:tabs>
          <w:tab w:leader="none" w:pos="140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global form, see "Securities We May Issue - Global Securities;" or</w:t>
      </w:r>
    </w:p>
    <w:p>
      <w:pPr>
        <w:spacing w:after="0" w:line="173" w:lineRule="exact"/>
        <w:rPr>
          <w:rFonts w:ascii="Courier New" w:cs="Courier New" w:eastAsia="Courier New" w:hAnsi="Courier New"/>
          <w:sz w:val="15"/>
          <w:szCs w:val="15"/>
          <w:color w:val="auto"/>
        </w:rPr>
      </w:pPr>
    </w:p>
    <w:p>
      <w:pPr>
        <w:ind w:left="1400" w:right="3239" w:hanging="691"/>
        <w:spacing w:after="0" w:line="235" w:lineRule="auto"/>
        <w:tabs>
          <w:tab w:leader="none" w:pos="140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denominations that are even multiples of $1,000, in the case of registered securities, and in even multiples of $5,000, in the case of bearer securities, unless otherwise specified in the applicable prospectus supplement.</w:t>
      </w:r>
    </w:p>
    <w:p>
      <w:pPr>
        <w:spacing w:after="0" w:line="175"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You may have your registered securities divided into registered securities of smaller denominations or combined into registered securities of larger denominations, as long as the aggregate principal amount is not changed. This is called an "exchange."</w:t>
      </w:r>
    </w:p>
    <w:p>
      <w:pPr>
        <w:spacing w:after="0" w:line="17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You may exchange or transfer registered securities of a series at the office of the trustee in New York City. That office is currently located at The Bank of New York, 101 Barclay Street, Floor 21West, New York, New York 10286, Attn: Corporate Trust Administration. The trustee maintains the list of registered holders and acts as our securities registrar for registering debt securities in the names of holders and transferring debt securities. However, we may appoint another trustee to act as our securities registrar or we may act as our own securities registrar. If we designate additional securities registrars, they will be named in the prospectus supplement. We may cancel the designation of any particular securities registrar. We may also approve a change in the office through which any securities registrar acts. If provided in the prospectus supplement, you may exchange your bearer securities for registered securities of the same series so long as the total principal amount is not changed. Unless otherwise specified in the prospectus supplement, bearer securities will not be issued in exchange for registered securities.</w:t>
      </w:r>
    </w:p>
    <w:p>
      <w:pPr>
        <w:spacing w:after="0" w:line="163" w:lineRule="exact"/>
        <w:rPr>
          <w:sz w:val="20"/>
          <w:szCs w:val="20"/>
          <w:color w:val="auto"/>
        </w:rPr>
      </w:pPr>
    </w:p>
    <w:p>
      <w:pPr>
        <w:ind w:right="3499" w:firstLine="787"/>
        <w:spacing w:after="0" w:line="256" w:lineRule="auto"/>
        <w:rPr>
          <w:sz w:val="20"/>
          <w:szCs w:val="20"/>
          <w:color w:val="auto"/>
        </w:rPr>
      </w:pPr>
      <w:r>
        <w:rPr>
          <w:rFonts w:ascii="Courier New" w:cs="Courier New" w:eastAsia="Courier New" w:hAnsi="Courier New"/>
          <w:sz w:val="14"/>
          <w:szCs w:val="14"/>
          <w:color w:val="auto"/>
        </w:rPr>
        <w:t>You will not be required to pay a service charge to transfer or exchange debt securities, but you may in certain circumstances be required to pay for any tax or other governmental charge associated with the exchange or transfer. The transfer or exchange will only be made if the transfer agent is satisfied with your proof of ownership and/or transfer documentation.</w:t>
      </w:r>
    </w:p>
    <w:p>
      <w:pPr>
        <w:spacing w:after="0" w:line="16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If the debt securities are redeemable and we redeem less than all of the debt securities of a particular series, we may block the transfer or exchange of debt securities for 15 days before the day we mail the notice of redemption or publish such notice (in the case of bearer securities) and ending on the day of that mailing or publication in order to freeze the list of holders to prepare the mailing. At our option, we may mail or publish such notice of redemption through an electronic medium. We may also refuse to register transfers or exchanges of debt securities selected for redemption, except that we will continue to permit transfers and exchanges of the unredeemed portion of any debt security being partially redeemed.</w:t>
      </w:r>
    </w:p>
    <w:p>
      <w:pPr>
        <w:spacing w:after="0" w:line="17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Paying and Paying Agents</w:t>
      </w:r>
    </w:p>
    <w:p>
      <w:pPr>
        <w:spacing w:after="0" w:line="17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If you are a holder of registered securities, we will pay interest to you if you are a direct holder in the list of registered holders at the close of business on a particular day in advance of each due date for interest, even if you no longer own the security on the interest due date. That particular time and day, usually about two weeks in advance of the interest due date, is called the "Regular Record Date" and is stated in the prospectus supplement. Holders buying and selling debt securities must work out between them how to compensate for the fact that we will pay all the interest for an interest period to the one who is the registered holder on the Regular Record Date. The most common manner is to adjust the sales price of the debt securities to prorate interest fairly between buyer and seller. This prorated interest amount is called "accrued interest."</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With respect to registered securities, we will pay interest, principal and any other money due on the debt securities at the corporate trust office of the trustee in New York City. That office is currently located at The Bank of New York, 101 Barclay Street, Floor 21 West, New York, New York 10286, Attn: Corporate Trust Administration. You must make arrangements to have your payments picked up at or wired from that office. We may also choose to pay interest by mailing checks or making wire transfers.</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624" w:right="1440" w:bottom="1440" w:gutter="0" w:footer="0" w:header="0"/>
        </w:sectPr>
      </w:pPr>
    </w:p>
    <w:bookmarkStart w:id="23" w:name="page24"/>
    <w:bookmarkEnd w:id="23"/>
    <w:p>
      <w:pPr>
        <w:ind w:right="3319" w:firstLine="787"/>
        <w:spacing w:after="0" w:line="234" w:lineRule="auto"/>
        <w:rPr>
          <w:sz w:val="20"/>
          <w:szCs w:val="20"/>
          <w:color w:val="auto"/>
        </w:rPr>
      </w:pPr>
      <w:r>
        <w:rPr>
          <w:rFonts w:ascii="Courier New" w:cs="Courier New" w:eastAsia="Courier New" w:hAnsi="Courier New"/>
          <w:sz w:val="15"/>
          <w:szCs w:val="15"/>
          <w:color w:val="auto"/>
        </w:rPr>
        <w:t>"Street name" and other indirect holders should consult their banks or brokers for information on how they will receive payments.</w:t>
      </w:r>
    </w:p>
    <w:p>
      <w:pPr>
        <w:spacing w:after="0" w:line="173"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If bearer securities are issued, unless otherwise provided in the prospectus supplement, we will maintain an office or agency outside the United States for the payment of all amounts due on the bearer securities. If debt securities are listed on the Luxembourg Stock Exchange or any other stock exchange located outside the United States, we will maintain an office or agency for such debt securities in any city located outside the United States required by such stock exchange. The initial locations of such offices and agencies will be specified in the prospectus supplement. Unless otherwise provided in the prospectus supplement, payment of interest on any bearer securities on or before maturity will be made only against surrender of coupons for such interest installments as they mature. Unless otherwise provided in the prospectus supplement, no payment with respect to any bearer security will be made at any office or agency of ClearOne in the United States or by check mailed to any address in the United States or by transfer to an account maintained with a bank located in the United States. Notwithstanding the foregoing, payments of principal, premium and interest, if any, on bearer securities payable in US dollars may be made, at the office of our paying agent in The City of New York if (but only if) payment of the full amount in US dollars at all offices or agencies outside the United States is illegal or effectively precluded by exchange controls or other similar restrictions.</w:t>
      </w:r>
    </w:p>
    <w:p>
      <w:pPr>
        <w:spacing w:after="0" w:line="343" w:lineRule="exact"/>
        <w:rPr>
          <w:sz w:val="20"/>
          <w:szCs w:val="20"/>
          <w:color w:val="auto"/>
        </w:rPr>
      </w:pPr>
    </w:p>
    <w:p>
      <w:pPr>
        <w:jc w:val="both"/>
        <w:ind w:right="3319" w:firstLine="787"/>
        <w:spacing w:after="0" w:line="236" w:lineRule="auto"/>
        <w:rPr>
          <w:sz w:val="20"/>
          <w:szCs w:val="20"/>
          <w:color w:val="auto"/>
        </w:rPr>
      </w:pPr>
      <w:r>
        <w:rPr>
          <w:rFonts w:ascii="Courier New" w:cs="Courier New" w:eastAsia="Courier New" w:hAnsi="Courier New"/>
          <w:sz w:val="15"/>
          <w:szCs w:val="15"/>
          <w:color w:val="auto"/>
        </w:rPr>
        <w:t>Regardless of who acts as the paying agent, all money paid by us to a paying agent that remains unclaimed at the end of two years after the amount is due to registered holders will be repaid to us. After that two-year period, you may look only to us for payment and not to the trustee, any other paying agent or anyone else.</w:t>
      </w:r>
    </w:p>
    <w:p>
      <w:pPr>
        <w:spacing w:after="0" w:line="174"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We may also arrange for additional payment offices, and may cancel or change these offices, including our use of the trustee's corporate trust office. We may also choose to act as our own paying agent. We must notify you of changes in identities of the paying agents for any particular series of debt securities.</w:t>
      </w:r>
    </w:p>
    <w:p>
      <w:pPr>
        <w:spacing w:after="0" w:line="15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Notices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With respect to registered securities, we and the trustee will send notices regarding the debt securities only to registered holders, using their addresses as listed in the list of registered holders. With respect to bearer securities, we and the trustee will give notice by publication in a newspaper of general circulation in the City of New York or in such other cities that may be specified in a prospectus supplement. At our option, we may send or publish notices through an electronic medium as specified in the applicable prospectus supplement.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Events of Default</w:t>
      </w:r>
    </w:p>
    <w:p>
      <w:pPr>
        <w:spacing w:after="0" w:line="173" w:lineRule="exact"/>
        <w:rPr>
          <w:sz w:val="20"/>
          <w:szCs w:val="20"/>
          <w:color w:val="auto"/>
        </w:rPr>
      </w:pPr>
    </w:p>
    <w:p>
      <w:pPr>
        <w:jc w:val="both"/>
        <w:ind w:right="3399" w:firstLine="787"/>
        <w:spacing w:after="0" w:line="235" w:lineRule="auto"/>
        <w:rPr>
          <w:sz w:val="20"/>
          <w:szCs w:val="20"/>
          <w:color w:val="auto"/>
        </w:rPr>
      </w:pPr>
      <w:r>
        <w:rPr>
          <w:rFonts w:ascii="Courier New" w:cs="Courier New" w:eastAsia="Courier New" w:hAnsi="Courier New"/>
          <w:sz w:val="15"/>
          <w:szCs w:val="15"/>
          <w:color w:val="auto"/>
        </w:rPr>
        <w:t>You will have special rights if an event of default occurs in respect of the debt securities of your series and is not cured, as described later in this subsection.</w:t>
      </w:r>
    </w:p>
    <w:p>
      <w:pPr>
        <w:spacing w:after="0" w:line="174"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What is an Event of Default? The term "event of default" in respect of the debt securities of your series means any of the following:</w:t>
      </w:r>
    </w:p>
    <w:p>
      <w:pPr>
        <w:spacing w:after="0" w:line="173" w:lineRule="exact"/>
        <w:rPr>
          <w:sz w:val="20"/>
          <w:szCs w:val="20"/>
          <w:color w:val="auto"/>
        </w:rPr>
      </w:pPr>
    </w:p>
    <w:p>
      <w:pPr>
        <w:ind w:left="1400" w:right="3239" w:hanging="691"/>
        <w:spacing w:after="0" w:line="234" w:lineRule="auto"/>
        <w:tabs>
          <w:tab w:leader="none" w:pos="140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do not pay the principal of or any premium on a debt security of such series on its due date.</w:t>
      </w:r>
    </w:p>
    <w:p>
      <w:pPr>
        <w:spacing w:after="0" w:line="173" w:lineRule="exact"/>
        <w:rPr>
          <w:rFonts w:ascii="Courier New" w:cs="Courier New" w:eastAsia="Courier New" w:hAnsi="Courier New"/>
          <w:sz w:val="15"/>
          <w:szCs w:val="15"/>
          <w:color w:val="auto"/>
        </w:rPr>
      </w:pPr>
    </w:p>
    <w:p>
      <w:pPr>
        <w:jc w:val="both"/>
        <w:ind w:left="1400" w:right="3319" w:hanging="691"/>
        <w:spacing w:after="0" w:line="235" w:lineRule="auto"/>
        <w:tabs>
          <w:tab w:leader="none" w:pos="140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do not pay interest on a debt security of such series within 30 days of its due date whether at maturity, upon redemption or upon acceleration.</w:t>
      </w:r>
    </w:p>
    <w:p>
      <w:pPr>
        <w:spacing w:after="0" w:line="173" w:lineRule="exact"/>
        <w:rPr>
          <w:rFonts w:ascii="Courier New" w:cs="Courier New" w:eastAsia="Courier New" w:hAnsi="Courier New"/>
          <w:sz w:val="15"/>
          <w:szCs w:val="15"/>
          <w:color w:val="auto"/>
        </w:rPr>
      </w:pPr>
    </w:p>
    <w:p>
      <w:pPr>
        <w:ind w:left="1400" w:right="3499" w:hanging="691"/>
        <w:spacing w:after="0" w:line="234" w:lineRule="auto"/>
        <w:tabs>
          <w:tab w:leader="none" w:pos="140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do not deposit any sinking fund payment in respect of debt securities of such series on its due date.</w:t>
      </w:r>
    </w:p>
    <w:p>
      <w:pPr>
        <w:spacing w:after="0" w:line="173" w:lineRule="exact"/>
        <w:rPr>
          <w:rFonts w:ascii="Courier New" w:cs="Courier New" w:eastAsia="Courier New" w:hAnsi="Courier New"/>
          <w:sz w:val="15"/>
          <w:szCs w:val="15"/>
          <w:color w:val="auto"/>
        </w:rPr>
      </w:pPr>
    </w:p>
    <w:p>
      <w:pPr>
        <w:ind w:left="1400" w:right="3319" w:hanging="691"/>
        <w:spacing w:after="0" w:line="236" w:lineRule="auto"/>
        <w:tabs>
          <w:tab w:leader="none" w:pos="140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remain in breach of a covenant in respect of debt securities of such series for 60 days after we receive a written notice of default stating we are in breach and requiring that we remedy the breach. The notice must be sent by either the trustee or holders of 25% of the principal amount of debt securities of such series.</w:t>
      </w:r>
    </w:p>
    <w:p>
      <w:pPr>
        <w:spacing w:after="0" w:line="174" w:lineRule="exact"/>
        <w:rPr>
          <w:rFonts w:ascii="Courier New" w:cs="Courier New" w:eastAsia="Courier New" w:hAnsi="Courier New"/>
          <w:sz w:val="15"/>
          <w:szCs w:val="15"/>
          <w:color w:val="auto"/>
        </w:rPr>
      </w:pPr>
    </w:p>
    <w:p>
      <w:pPr>
        <w:ind w:left="1400" w:right="3499" w:hanging="691"/>
        <w:spacing w:after="0" w:line="234" w:lineRule="auto"/>
        <w:tabs>
          <w:tab w:leader="none" w:pos="140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file for bankruptcy or certain other events in bankruptcy, insolvency or reorganization occur.</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24" w:right="1440" w:bottom="1440" w:gutter="0" w:footer="0" w:header="0"/>
        </w:sectPr>
      </w:pPr>
    </w:p>
    <w:bookmarkStart w:id="24" w:name="page25"/>
    <w:bookmarkEnd w:id="24"/>
    <w:p>
      <w:pPr>
        <w:ind w:left="1400" w:right="3239" w:hanging="691"/>
        <w:spacing w:after="0" w:line="234" w:lineRule="auto"/>
        <w:tabs>
          <w:tab w:leader="none" w:pos="140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event of default in respect of debt securities of such series described in the prospectus supplement occurs.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The events of default described above may be added to or modified as described in the applicable prospectus supplement. An event of default for a particular series of debt securities does not necessarily constitute an event of default for any other series of debt securities issued under an indenture. The trustee may withhold notice to the holders of debt securities of any default (except in the payment of principal or interest) if it considers such withholding of notice to be in the best interests of the holders.</w:t>
      </w:r>
    </w:p>
    <w:p>
      <w:pPr>
        <w:spacing w:after="0" w:line="176"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Remedies if an Event of Default Occurs. If an event of default has occurred and has not been cured with respect to one or more series of debt securities, the trustee or the holders of 25% in principal amount of the debt securities of the affected series may declare the entire principal amount of all the debt securities of that series to be due and immediately payable. Only a portion of the principal is payable if the securities were issued at a discount. This is called a declaration of acceleration of maturity. If an event of default occurs because of certain events in bankruptcy, insolvency or reorganization, the principal amount of all the debt securities of that series will be automatically accelerated, without any action by the trustee or any holder. There are special notice and timing rules which apply to the acceleration of subordinated debt securities which are designed to protect the interests of holders of senior debt. A declaration of acceleration of maturity may be cancelled by the holders of at least a majority in principal amount of the debt securities of the affected series if (1) we have paid or deposited with the trustee a sum sufficient in cash to pay all principal, interest and additional amounts, if any, which have become due other than by the declaration of acceleration of maturity, (2) all existing events of default, other than the nonpayment of principal of or premium or interest, if any, on the debt securities of such series which have become due solely because of the acceleration, have been cured or waived and (3) the rescission would not conflict with any judgment or decree of a court of competent jurisdiction.</w:t>
      </w:r>
    </w:p>
    <w:p>
      <w:pPr>
        <w:spacing w:after="0" w:line="34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Except in cases of default, where the trustee has some special duties, the trustee is not required to take any action under the indenture at the request of the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accruing upon any event of default will be treated as a waiver of such right, remedy or event of default.</w:t>
      </w:r>
    </w:p>
    <w:p>
      <w:pPr>
        <w:spacing w:after="0" w:line="180"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Before you are allowed to bypass the trustee and bring your own lawsuit or other formal legal action or take other steps to enforce your rights or protect your interests relating to the debt securities, the following must occur:</w:t>
      </w:r>
    </w:p>
    <w:p>
      <w:pPr>
        <w:spacing w:after="0" w:line="175" w:lineRule="exact"/>
        <w:rPr>
          <w:sz w:val="20"/>
          <w:szCs w:val="20"/>
          <w:color w:val="auto"/>
        </w:rPr>
      </w:pPr>
    </w:p>
    <w:p>
      <w:pPr>
        <w:ind w:left="1400" w:right="3839" w:hanging="691"/>
        <w:spacing w:after="0" w:line="234" w:lineRule="auto"/>
        <w:tabs>
          <w:tab w:leader="none" w:pos="140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must give the trustee written notice that an event of default has occurred and remains uncured.</w:t>
      </w:r>
    </w:p>
    <w:p>
      <w:pPr>
        <w:spacing w:after="0" w:line="173" w:lineRule="exact"/>
        <w:rPr>
          <w:rFonts w:ascii="Courier New" w:cs="Courier New" w:eastAsia="Courier New" w:hAnsi="Courier New"/>
          <w:sz w:val="15"/>
          <w:szCs w:val="15"/>
          <w:color w:val="auto"/>
        </w:rPr>
      </w:pPr>
    </w:p>
    <w:p>
      <w:pPr>
        <w:ind w:left="1400" w:right="3399" w:hanging="691"/>
        <w:spacing w:after="0" w:line="256" w:lineRule="auto"/>
        <w:tabs>
          <w:tab w:leader="none" w:pos="140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holders of not less than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163" w:lineRule="exact"/>
        <w:rPr>
          <w:rFonts w:ascii="Courier New" w:cs="Courier New" w:eastAsia="Courier New" w:hAnsi="Courier New"/>
          <w:sz w:val="14"/>
          <w:szCs w:val="14"/>
          <w:color w:val="auto"/>
        </w:rPr>
      </w:pPr>
    </w:p>
    <w:p>
      <w:pPr>
        <w:ind w:left="1400" w:right="3239" w:hanging="691"/>
        <w:spacing w:after="0" w:line="234" w:lineRule="auto"/>
        <w:tabs>
          <w:tab w:leader="none" w:pos="140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must not have taken action for 60 days after receipt of the above notice and offer of indemnity.</w:t>
      </w:r>
    </w:p>
    <w:p>
      <w:pPr>
        <w:spacing w:after="0" w:line="173" w:lineRule="exact"/>
        <w:rPr>
          <w:rFonts w:ascii="Courier New" w:cs="Courier New" w:eastAsia="Courier New" w:hAnsi="Courier New"/>
          <w:sz w:val="15"/>
          <w:szCs w:val="15"/>
          <w:color w:val="auto"/>
        </w:rPr>
      </w:pPr>
    </w:p>
    <w:p>
      <w:pPr>
        <w:ind w:left="1400" w:right="3579" w:hanging="691"/>
        <w:spacing w:after="0" w:line="258" w:lineRule="auto"/>
        <w:tabs>
          <w:tab w:leader="none" w:pos="140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holders of a majority in principal amount of the debt securities must not have given the trustee a direction inconsistent with the above notice during the 60-day period.</w:t>
      </w:r>
    </w:p>
    <w:p>
      <w:pPr>
        <w:spacing w:after="0" w:line="161" w:lineRule="exact"/>
        <w:rPr>
          <w:sz w:val="20"/>
          <w:szCs w:val="20"/>
          <w:color w:val="auto"/>
        </w:rPr>
      </w:pPr>
    </w:p>
    <w:p>
      <w:pPr>
        <w:ind w:right="3579" w:firstLine="787"/>
        <w:spacing w:after="0" w:line="235" w:lineRule="auto"/>
        <w:rPr>
          <w:sz w:val="20"/>
          <w:szCs w:val="20"/>
          <w:color w:val="auto"/>
        </w:rPr>
      </w:pPr>
      <w:r>
        <w:rPr>
          <w:rFonts w:ascii="Courier New" w:cs="Courier New" w:eastAsia="Courier New" w:hAnsi="Courier New"/>
          <w:sz w:val="15"/>
          <w:szCs w:val="15"/>
          <w:color w:val="auto"/>
        </w:rPr>
        <w:t>However, notwithstanding the conditions described above, you are entitled at any time to bring a lawsuit for the payment of money due on your debt securities on or after the due date.</w:t>
      </w:r>
    </w:p>
    <w:p>
      <w:pPr>
        <w:spacing w:after="0" w:line="174"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Holders of a majority in principal amount of the debt securities of the affected series may waive any past defaults other than (1) the payment of principal, any premium or interest or (2) in respect of a covenant or other provision that cannot be modified or amended without the consent of each holder.</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624" w:right="1440" w:bottom="1440" w:gutter="0" w:footer="0" w:header="0"/>
        </w:sectPr>
      </w:pPr>
    </w:p>
    <w:bookmarkStart w:id="25" w:name="page26"/>
    <w:bookmarkEnd w:id="25"/>
    <w:p>
      <w:pPr>
        <w:jc w:val="both"/>
        <w:ind w:right="3319" w:firstLine="787"/>
        <w:spacing w:after="0" w:line="235" w:lineRule="auto"/>
        <w:rPr>
          <w:sz w:val="20"/>
          <w:szCs w:val="20"/>
          <w:color w:val="auto"/>
        </w:rPr>
      </w:pPr>
      <w:r>
        <w:rPr>
          <w:rFonts w:ascii="Courier New" w:cs="Courier New" w:eastAsia="Courier New" w:hAnsi="Courier New"/>
          <w:sz w:val="15"/>
          <w:szCs w:val="15"/>
          <w:color w:val="auto"/>
        </w:rPr>
        <w:t>"Street name" and other indirect holders should consult their banks or brokers for information on how to give notice or direction or to make a request of the trustee and to make or cancel a declaration of acceleration.</w:t>
      </w:r>
    </w:p>
    <w:p>
      <w:pPr>
        <w:spacing w:after="0" w:line="174" w:lineRule="exact"/>
        <w:rPr>
          <w:sz w:val="20"/>
          <w:szCs w:val="20"/>
          <w:color w:val="auto"/>
        </w:rPr>
      </w:pPr>
    </w:p>
    <w:p>
      <w:pPr>
        <w:ind w:right="3319" w:firstLine="787"/>
        <w:spacing w:after="0" w:line="258" w:lineRule="auto"/>
        <w:rPr>
          <w:sz w:val="20"/>
          <w:szCs w:val="20"/>
          <w:color w:val="auto"/>
        </w:rPr>
      </w:pPr>
      <w:r>
        <w:rPr>
          <w:rFonts w:ascii="Courier New" w:cs="Courier New" w:eastAsia="Courier New" w:hAnsi="Courier New"/>
          <w:sz w:val="14"/>
          <w:szCs w:val="14"/>
          <w:color w:val="auto"/>
        </w:rPr>
        <w:t>Each year, we will furnish to the trustee a written statement of certain of our officers certifying that to their knowledge we are in compliance with the indentures and the debt securities, or else specifying any default.</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 or Consolidation</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Under the terms of the indentures,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175" w:lineRule="exact"/>
        <w:rPr>
          <w:sz w:val="20"/>
          <w:szCs w:val="20"/>
          <w:color w:val="auto"/>
        </w:rPr>
      </w:pPr>
    </w:p>
    <w:p>
      <w:pPr>
        <w:ind w:left="1400" w:right="3239" w:hanging="691"/>
        <w:spacing w:after="0" w:line="235" w:lineRule="auto"/>
        <w:tabs>
          <w:tab w:leader="none" w:pos="140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either we will be the surviving corporation or, if we merge out of existence or sell assets, the entity into which we merge or to which we sell assets must agree to be legally responsible for the debt securities;</w:t>
      </w:r>
    </w:p>
    <w:p>
      <w:pPr>
        <w:spacing w:after="0" w:line="175" w:lineRule="exact"/>
        <w:rPr>
          <w:rFonts w:ascii="Courier New" w:cs="Courier New" w:eastAsia="Courier New" w:hAnsi="Courier New"/>
          <w:sz w:val="15"/>
          <w:szCs w:val="15"/>
          <w:color w:val="auto"/>
        </w:rPr>
      </w:pPr>
    </w:p>
    <w:p>
      <w:pPr>
        <w:ind w:left="1400" w:right="3399" w:hanging="691"/>
        <w:spacing w:after="0" w:line="256" w:lineRule="auto"/>
        <w:tabs>
          <w:tab w:leader="none" w:pos="140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after the merger or transfer of assets, no default on the debt securities can exist. A default for this purpose includes any event that would be an event of default if the requirements for giving a default notice or of having the default exist for a specific period of time were disregarded;</w:t>
      </w:r>
    </w:p>
    <w:p>
      <w:pPr>
        <w:spacing w:after="0" w:line="163" w:lineRule="exact"/>
        <w:rPr>
          <w:rFonts w:ascii="Courier New" w:cs="Courier New" w:eastAsia="Courier New" w:hAnsi="Courier New"/>
          <w:sz w:val="14"/>
          <w:szCs w:val="14"/>
          <w:color w:val="auto"/>
        </w:rPr>
      </w:pPr>
    </w:p>
    <w:p>
      <w:pPr>
        <w:ind w:left="1400" w:right="3839" w:hanging="691"/>
        <w:spacing w:after="0" w:line="234" w:lineRule="auto"/>
        <w:tabs>
          <w:tab w:leader="none" w:pos="140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must deliver certain certificates and documents to the trustee; and</w:t>
      </w:r>
    </w:p>
    <w:p>
      <w:pPr>
        <w:spacing w:after="0" w:line="173" w:lineRule="exact"/>
        <w:rPr>
          <w:rFonts w:ascii="Courier New" w:cs="Courier New" w:eastAsia="Courier New" w:hAnsi="Courier New"/>
          <w:sz w:val="15"/>
          <w:szCs w:val="15"/>
          <w:color w:val="auto"/>
        </w:rPr>
      </w:pPr>
    </w:p>
    <w:p>
      <w:pPr>
        <w:ind w:left="1400" w:right="4019" w:hanging="691"/>
        <w:spacing w:after="0" w:line="234" w:lineRule="auto"/>
        <w:tabs>
          <w:tab w:leader="none" w:pos="140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must satisfy any other requirements specified in the prospectus supplement.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Modification or Waiver</w:t>
      </w:r>
    </w:p>
    <w:p>
      <w:pPr>
        <w:spacing w:after="0" w:line="173"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There are three types of changes we can make to the indentures and the debt securities.</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Changes Requiring Approval of Each Holder. First, there are changes that cannot be made to your debt securities without the approval of each holder. Following is a list of those types of changes:</w:t>
      </w:r>
    </w:p>
    <w:p>
      <w:pPr>
        <w:spacing w:after="0" w:line="174" w:lineRule="exact"/>
        <w:rPr>
          <w:sz w:val="20"/>
          <w:szCs w:val="20"/>
          <w:color w:val="auto"/>
        </w:rPr>
      </w:pPr>
    </w:p>
    <w:p>
      <w:pPr>
        <w:ind w:left="1400" w:right="3319" w:hanging="691"/>
        <w:spacing w:after="0" w:line="234" w:lineRule="auto"/>
        <w:tabs>
          <w:tab w:leader="none" w:pos="140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changing the stated maturity of the principal of or interest on a debt security;</w:t>
      </w:r>
    </w:p>
    <w:p>
      <w:pPr>
        <w:spacing w:after="0" w:line="173" w:lineRule="exact"/>
        <w:rPr>
          <w:rFonts w:ascii="Courier New" w:cs="Courier New" w:eastAsia="Courier New" w:hAnsi="Courier New"/>
          <w:sz w:val="15"/>
          <w:szCs w:val="15"/>
          <w:color w:val="auto"/>
        </w:rPr>
      </w:pPr>
    </w:p>
    <w:p>
      <w:pPr>
        <w:ind w:left="1400" w:right="3319" w:hanging="691"/>
        <w:spacing w:after="0" w:line="261" w:lineRule="auto"/>
        <w:tabs>
          <w:tab w:leader="none" w:pos="140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reducing any amounts due on a debt security or payable upon acceleration of the maturity of a security following a default;</w:t>
      </w:r>
    </w:p>
    <w:p>
      <w:pPr>
        <w:spacing w:after="0" w:line="159" w:lineRule="exact"/>
        <w:rPr>
          <w:rFonts w:ascii="Courier New" w:cs="Courier New" w:eastAsia="Courier New" w:hAnsi="Courier New"/>
          <w:sz w:val="14"/>
          <w:szCs w:val="14"/>
          <w:color w:val="auto"/>
        </w:rPr>
      </w:pPr>
    </w:p>
    <w:p>
      <w:pPr>
        <w:ind w:left="1400" w:right="3759" w:hanging="691"/>
        <w:spacing w:after="0" w:line="234" w:lineRule="auto"/>
        <w:tabs>
          <w:tab w:leader="none" w:pos="140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adversely affecting any right of repayment at the holder's option;</w:t>
      </w:r>
    </w:p>
    <w:p>
      <w:pPr>
        <w:spacing w:after="0" w:line="173" w:lineRule="exact"/>
        <w:rPr>
          <w:rFonts w:ascii="Courier New" w:cs="Courier New" w:eastAsia="Courier New" w:hAnsi="Courier New"/>
          <w:sz w:val="15"/>
          <w:szCs w:val="15"/>
          <w:color w:val="auto"/>
        </w:rPr>
      </w:pPr>
    </w:p>
    <w:p>
      <w:pPr>
        <w:ind w:left="1400" w:right="3839" w:hanging="691"/>
        <w:spacing w:after="0" w:line="261" w:lineRule="auto"/>
        <w:tabs>
          <w:tab w:leader="none" w:pos="140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changing the place (except as otherwise described in this prospectus) or currency of payment on a debt security;</w:t>
      </w:r>
    </w:p>
    <w:p>
      <w:pPr>
        <w:spacing w:after="0" w:line="159" w:lineRule="exact"/>
        <w:rPr>
          <w:rFonts w:ascii="Courier New" w:cs="Courier New" w:eastAsia="Courier New" w:hAnsi="Courier New"/>
          <w:sz w:val="14"/>
          <w:szCs w:val="14"/>
          <w:color w:val="auto"/>
        </w:rPr>
      </w:pPr>
    </w:p>
    <w:p>
      <w:pPr>
        <w:ind w:left="1400" w:right="3939" w:hanging="691"/>
        <w:spacing w:after="0" w:line="234" w:lineRule="auto"/>
        <w:tabs>
          <w:tab w:leader="none" w:pos="140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impairing your right to sue for payment or to convert or exchange a security;</w:t>
      </w:r>
    </w:p>
    <w:p>
      <w:pPr>
        <w:spacing w:after="0" w:line="173" w:lineRule="exact"/>
        <w:rPr>
          <w:rFonts w:ascii="Courier New" w:cs="Courier New" w:eastAsia="Courier New" w:hAnsi="Courier New"/>
          <w:sz w:val="15"/>
          <w:szCs w:val="15"/>
          <w:color w:val="auto"/>
        </w:rPr>
      </w:pPr>
    </w:p>
    <w:p>
      <w:pPr>
        <w:ind w:left="1400" w:right="3319" w:hanging="691"/>
        <w:spacing w:after="0" w:line="235" w:lineRule="auto"/>
        <w:tabs>
          <w:tab w:leader="none" w:pos="140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subordinated debt securities, modifying the subordination provisions in a manner that is adverse to holders of the subordinated debt securities;</w:t>
      </w:r>
    </w:p>
    <w:p>
      <w:pPr>
        <w:spacing w:after="0" w:line="173" w:lineRule="exact"/>
        <w:rPr>
          <w:rFonts w:ascii="Courier New" w:cs="Courier New" w:eastAsia="Courier New" w:hAnsi="Courier New"/>
          <w:sz w:val="15"/>
          <w:szCs w:val="15"/>
          <w:color w:val="auto"/>
        </w:rPr>
      </w:pPr>
    </w:p>
    <w:p>
      <w:pPr>
        <w:ind w:left="1400" w:right="3319" w:hanging="691"/>
        <w:spacing w:after="0" w:line="261" w:lineRule="auto"/>
        <w:tabs>
          <w:tab w:leader="none" w:pos="140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senior debt securities, modifying the securities to subordinate the securities to other indebtedness;</w:t>
      </w:r>
    </w:p>
    <w:p>
      <w:pPr>
        <w:spacing w:after="0" w:line="159" w:lineRule="exact"/>
        <w:rPr>
          <w:rFonts w:ascii="Courier New" w:cs="Courier New" w:eastAsia="Courier New" w:hAnsi="Courier New"/>
          <w:sz w:val="14"/>
          <w:szCs w:val="14"/>
          <w:color w:val="auto"/>
        </w:rPr>
      </w:pPr>
    </w:p>
    <w:p>
      <w:pPr>
        <w:ind w:left="1400" w:right="3679" w:hanging="691"/>
        <w:spacing w:after="0" w:line="234" w:lineRule="auto"/>
        <w:tabs>
          <w:tab w:leader="none" w:pos="140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reducing the percentage of holders of debt securities whose consent is needed to modify or amend the indenture;</w:t>
      </w:r>
    </w:p>
    <w:p>
      <w:pPr>
        <w:spacing w:after="0" w:line="173" w:lineRule="exact"/>
        <w:rPr>
          <w:rFonts w:ascii="Courier New" w:cs="Courier New" w:eastAsia="Courier New" w:hAnsi="Courier New"/>
          <w:sz w:val="15"/>
          <w:szCs w:val="15"/>
          <w:color w:val="auto"/>
        </w:rPr>
      </w:pPr>
    </w:p>
    <w:p>
      <w:pPr>
        <w:ind w:left="1400" w:right="3239" w:hanging="691"/>
        <w:spacing w:after="0" w:line="235" w:lineRule="auto"/>
        <w:tabs>
          <w:tab w:leader="none" w:pos="140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reducing the percentage of holders of debt securities whose consent is needed to waive compliance with certain provisions of the indenture or to waive certain defaults;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624" w:right="1440" w:bottom="1440" w:gutter="0" w:footer="0" w:header="0"/>
        </w:sectPr>
      </w:pPr>
    </w:p>
    <w:bookmarkStart w:id="26" w:name="page27"/>
    <w:bookmarkEnd w:id="26"/>
    <w:p>
      <w:pPr>
        <w:ind w:left="1400" w:right="3399" w:hanging="691"/>
        <w:spacing w:after="0" w:line="234" w:lineRule="auto"/>
        <w:tabs>
          <w:tab w:leader="none" w:pos="140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reducing the requirements for quorum or voting with respect to the debt securities;</w:t>
      </w:r>
    </w:p>
    <w:p>
      <w:pPr>
        <w:spacing w:after="0" w:line="173" w:lineRule="exact"/>
        <w:rPr>
          <w:rFonts w:ascii="Courier New" w:cs="Courier New" w:eastAsia="Courier New" w:hAnsi="Courier New"/>
          <w:sz w:val="15"/>
          <w:szCs w:val="15"/>
          <w:color w:val="auto"/>
        </w:rPr>
      </w:pPr>
    </w:p>
    <w:p>
      <w:pPr>
        <w:ind w:left="1400" w:right="3499" w:hanging="691"/>
        <w:spacing w:after="0" w:line="235" w:lineRule="auto"/>
        <w:tabs>
          <w:tab w:leader="none" w:pos="140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modifying any other aspect of the provisions of the indenture dealing with modification and waiver except to increase the voting requirements;</w:t>
      </w:r>
    </w:p>
    <w:p>
      <w:pPr>
        <w:spacing w:after="0" w:line="173" w:lineRule="exact"/>
        <w:rPr>
          <w:rFonts w:ascii="Courier New" w:cs="Courier New" w:eastAsia="Courier New" w:hAnsi="Courier New"/>
          <w:sz w:val="15"/>
          <w:szCs w:val="15"/>
          <w:color w:val="auto"/>
        </w:rPr>
      </w:pPr>
    </w:p>
    <w:p>
      <w:pPr>
        <w:jc w:val="both"/>
        <w:ind w:left="1400" w:right="3239" w:hanging="691"/>
        <w:spacing w:after="0" w:line="235" w:lineRule="auto"/>
        <w:tabs>
          <w:tab w:leader="none" w:pos="140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any of our obligations to pay additional amounts which are required to be paid to holders with respect to taxes imposed on such holders in certain circumstances; and</w:t>
      </w:r>
    </w:p>
    <w:p>
      <w:pPr>
        <w:spacing w:after="0" w:line="167" w:lineRule="exact"/>
        <w:rPr>
          <w:rFonts w:ascii="Courier New" w:cs="Courier New" w:eastAsia="Courier New" w:hAnsi="Courier New"/>
          <w:sz w:val="15"/>
          <w:szCs w:val="15"/>
          <w:color w:val="auto"/>
        </w:rPr>
      </w:pPr>
    </w:p>
    <w:p>
      <w:pPr>
        <w:ind w:left="1400" w:hanging="691"/>
        <w:spacing w:after="0"/>
        <w:tabs>
          <w:tab w:leader="none" w:pos="140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provisions specified in the prospectus supplement.</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Changes Requiring a Majority Vote. The second type of change to the indenture and the outstanding debt securities is the kind that requires a vote in favor by holders of outstanding debt securities owning a majority of the principal amount of the particular series affected. Separate votes will be needed for each series even if they are affected in the same way. Most changes fall into this category, except for clarifying changes and certain other changes that would not adversely affect holders of the outstanding debt securities in any material respect. The same vote would be required for us to obtain a waiver of all or part of certain covenants in the applicable indenture, or a waiver of a past default. However, we cannot obtain a waiver of a payment default or any other aspect of the indentures or the outstanding debt securities listed in the first category described previously under "- Changes Requiring Approval of Each Holder" unless we obtain your individual consent to the waiver.</w:t>
      </w:r>
    </w:p>
    <w:p>
      <w:pPr>
        <w:spacing w:after="0" w:line="16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Changes Not Requiring Approval. The third type of change does not require any vote by holders of outstanding debt securities. This type is limited to clarifications; curing ambiguities, defects or inconsistencies and certain other changes that would not adversely affect holders of the outstanding debt securities in any material respect. Qualifying or maintaining the qualification of the indentures under the Trust Indenture Act does not require any vote by holders of debt securities.</w:t>
      </w:r>
    </w:p>
    <w:p>
      <w:pPr>
        <w:spacing w:after="0" w:line="176" w:lineRule="exact"/>
        <w:rPr>
          <w:sz w:val="20"/>
          <w:szCs w:val="20"/>
          <w:color w:val="auto"/>
        </w:rPr>
      </w:pPr>
    </w:p>
    <w:p>
      <w:pPr>
        <w:ind w:right="3399" w:firstLine="700"/>
        <w:spacing w:after="0" w:line="235" w:lineRule="auto"/>
        <w:rPr>
          <w:sz w:val="20"/>
          <w:szCs w:val="20"/>
          <w:color w:val="auto"/>
        </w:rPr>
      </w:pPr>
      <w:r>
        <w:rPr>
          <w:rFonts w:ascii="Courier New" w:cs="Courier New" w:eastAsia="Courier New" w:hAnsi="Courier New"/>
          <w:sz w:val="15"/>
          <w:szCs w:val="15"/>
          <w:color w:val="auto"/>
        </w:rPr>
        <w:t>Further Details Concerning Voting. When taking a vote, we will use the following rules to decide how much principal amount to attribute to a debt security:</w:t>
      </w:r>
    </w:p>
    <w:p>
      <w:pPr>
        <w:spacing w:after="0" w:line="174" w:lineRule="exact"/>
        <w:rPr>
          <w:sz w:val="20"/>
          <w:szCs w:val="20"/>
          <w:color w:val="auto"/>
        </w:rPr>
      </w:pPr>
    </w:p>
    <w:p>
      <w:pPr>
        <w:ind w:left="1400" w:right="3319" w:hanging="691"/>
        <w:spacing w:after="0" w:line="235" w:lineRule="auto"/>
        <w:tabs>
          <w:tab w:leader="none" w:pos="140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original issue discount securities, we will use the principal amount that would be due and payable on the voting date if the maturity of the debt securities were accelerated to that date because of a default; and</w:t>
      </w:r>
    </w:p>
    <w:p>
      <w:pPr>
        <w:spacing w:after="0" w:line="175" w:lineRule="exact"/>
        <w:rPr>
          <w:rFonts w:ascii="Courier New" w:cs="Courier New" w:eastAsia="Courier New" w:hAnsi="Courier New"/>
          <w:sz w:val="15"/>
          <w:szCs w:val="15"/>
          <w:color w:val="auto"/>
        </w:rPr>
      </w:pPr>
    </w:p>
    <w:p>
      <w:pPr>
        <w:ind w:left="1400" w:right="3239" w:hanging="691"/>
        <w:spacing w:after="0" w:line="235" w:lineRule="auto"/>
        <w:tabs>
          <w:tab w:leader="none" w:pos="140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debt securities whose principal amount is not known (for example, because it is based on an index), we will use a special rule for that debt security described in the prospectus supplement.</w:t>
      </w:r>
    </w:p>
    <w:p>
      <w:pPr>
        <w:spacing w:after="0" w:line="175"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Debt securities will not be considered outstanding, and therefore not eligible to vote, if we have deposited or set aside in trust for you money for their payment or redemption. Debt securities will also not be eligible to vote if they have been fully defeased as described later under "Defeasance - Full Defeasance."</w:t>
      </w:r>
    </w:p>
    <w:p>
      <w:pPr>
        <w:spacing w:after="0" w:line="174" w:lineRule="exact"/>
        <w:rPr>
          <w:sz w:val="20"/>
          <w:szCs w:val="20"/>
          <w:color w:val="auto"/>
        </w:rPr>
      </w:pPr>
    </w:p>
    <w:p>
      <w:pPr>
        <w:jc w:val="both"/>
        <w:ind w:right="3319" w:firstLine="787"/>
        <w:spacing w:after="0" w:line="235" w:lineRule="auto"/>
        <w:rPr>
          <w:sz w:val="20"/>
          <w:szCs w:val="20"/>
          <w:color w:val="auto"/>
        </w:rPr>
      </w:pPr>
      <w:r>
        <w:rPr>
          <w:rFonts w:ascii="Courier New" w:cs="Courier New" w:eastAsia="Courier New" w:hAnsi="Courier New"/>
          <w:sz w:val="15"/>
          <w:szCs w:val="15"/>
          <w:color w:val="auto"/>
        </w:rPr>
        <w:t>We will generally be entitled to set any day as a record date for the purpose of determining the holders of outstanding indenture securities that are entitled to vote or take other action under the indentures.</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We are not required to set a record date. If we set a record date for a vote or other action to be taken by holders of a particular series, that vote or action may be taken only by persons who are holders of outstanding securities of that series on the record date and must be taken within 180 days following the record date or another period that we may specify. We may shorten or lengthen this period from time to time.</w:t>
      </w:r>
    </w:p>
    <w:p>
      <w:pPr>
        <w:spacing w:after="0" w:line="175" w:lineRule="exact"/>
        <w:rPr>
          <w:sz w:val="20"/>
          <w:szCs w:val="20"/>
          <w:color w:val="auto"/>
        </w:rPr>
      </w:pPr>
    </w:p>
    <w:p>
      <w:pPr>
        <w:jc w:val="both"/>
        <w:ind w:right="3319" w:firstLine="787"/>
        <w:spacing w:after="0" w:line="235" w:lineRule="auto"/>
        <w:rPr>
          <w:sz w:val="20"/>
          <w:szCs w:val="20"/>
          <w:color w:val="auto"/>
        </w:rPr>
      </w:pPr>
      <w:r>
        <w:rPr>
          <w:rFonts w:ascii="Courier New" w:cs="Courier New" w:eastAsia="Courier New" w:hAnsi="Courier New"/>
          <w:sz w:val="15"/>
          <w:szCs w:val="15"/>
          <w:color w:val="auto"/>
        </w:rPr>
        <w:t>"Street name" and other indirect holders should consult their banks or brokers for information on how approval may be granted or denied if we seek to change the indenture or the debt securities or request a waiver.</w:t>
      </w:r>
    </w:p>
    <w:p>
      <w:pPr>
        <w:spacing w:after="0" w:line="200" w:lineRule="exact"/>
        <w:rPr>
          <w:sz w:val="20"/>
          <w:szCs w:val="20"/>
          <w:color w:val="auto"/>
        </w:rPr>
      </w:pPr>
    </w:p>
    <w:p>
      <w:pPr>
        <w:spacing w:after="0" w:line="30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624"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5"/>
          <w:szCs w:val="15"/>
          <w:color w:val="auto"/>
        </w:rPr>
        <w:t>Satisfaction and Discharge</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indentures will cease to be of further effect, and we will be deemed to have satisfied and discharged the indentures with respect to a particular series of debt securities, when (1) all debt securities of that series have been delivered to the trustee for cancellation or (2) the following conditions have been satisfied:</w:t>
      </w:r>
    </w:p>
    <w:p>
      <w:pPr>
        <w:spacing w:after="0" w:line="174" w:lineRule="exact"/>
        <w:rPr>
          <w:sz w:val="20"/>
          <w:szCs w:val="20"/>
          <w:color w:val="auto"/>
        </w:rPr>
      </w:pPr>
    </w:p>
    <w:p>
      <w:pPr>
        <w:ind w:left="1400" w:right="3239" w:hanging="691"/>
        <w:spacing w:after="0" w:line="235" w:lineRule="auto"/>
        <w:tabs>
          <w:tab w:leader="none" w:pos="14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debt securities of that series not previously delivered to the trustee for cancellation have become due and payable or will become due and payable at their stated maturity or on a redemption date within one year;</w:t>
      </w:r>
    </w:p>
    <w:p>
      <w:pPr>
        <w:spacing w:after="0" w:line="175" w:lineRule="exact"/>
        <w:rPr>
          <w:rFonts w:ascii="Courier New" w:cs="Courier New" w:eastAsia="Courier New" w:hAnsi="Courier New"/>
          <w:sz w:val="15"/>
          <w:szCs w:val="15"/>
          <w:color w:val="auto"/>
        </w:rPr>
      </w:pPr>
    </w:p>
    <w:p>
      <w:pPr>
        <w:ind w:left="1400" w:right="3239" w:hanging="691"/>
        <w:spacing w:after="0" w:line="236" w:lineRule="auto"/>
        <w:tabs>
          <w:tab w:leader="none" w:pos="14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deposit with the trustee, in trust, funds sufficient to pay the entire indebtedness on the debt securities of that series that had not been previously delivered for cancellation, for the principal and interest to the date of the deposit (for debt securities that have become due and payable) or to the stated maturity or the redemption date, as the case may be (for debt securities that have not become due and payable);</w:t>
      </w:r>
    </w:p>
    <w:p>
      <w:pPr>
        <w:spacing w:after="0" w:line="175" w:lineRule="exact"/>
        <w:rPr>
          <w:rFonts w:ascii="Courier New" w:cs="Courier New" w:eastAsia="Courier New" w:hAnsi="Courier New"/>
          <w:sz w:val="15"/>
          <w:szCs w:val="15"/>
          <w:color w:val="auto"/>
        </w:rPr>
      </w:pPr>
    </w:p>
    <w:p>
      <w:pPr>
        <w:ind w:left="1400" w:right="3399" w:hanging="691"/>
        <w:spacing w:after="0" w:line="234" w:lineRule="auto"/>
        <w:tabs>
          <w:tab w:leader="none" w:pos="14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have paid or caused to be paid all other sums payable under the indentures in respect of that series; and</w:t>
      </w:r>
    </w:p>
    <w:p>
      <w:pPr>
        <w:spacing w:after="0" w:line="173" w:lineRule="exact"/>
        <w:rPr>
          <w:rFonts w:ascii="Courier New" w:cs="Courier New" w:eastAsia="Courier New" w:hAnsi="Courier New"/>
          <w:sz w:val="15"/>
          <w:szCs w:val="15"/>
          <w:color w:val="auto"/>
        </w:rPr>
      </w:pPr>
    </w:p>
    <w:p>
      <w:pPr>
        <w:ind w:left="1400" w:right="3319" w:hanging="691"/>
        <w:spacing w:after="0" w:line="235" w:lineRule="auto"/>
        <w:tabs>
          <w:tab w:leader="none" w:pos="14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have delivered to the trustee an officer's certificate and opinion of counsel, each stating that all these conditions have been complied with.</w:t>
      </w:r>
    </w:p>
    <w:p>
      <w:pPr>
        <w:spacing w:after="0" w:line="174" w:lineRule="exact"/>
        <w:rPr>
          <w:sz w:val="20"/>
          <w:szCs w:val="20"/>
          <w:color w:val="auto"/>
        </w:rPr>
      </w:pPr>
    </w:p>
    <w:p>
      <w:pPr>
        <w:ind w:right="3499" w:firstLine="787"/>
        <w:spacing w:after="0" w:line="234" w:lineRule="auto"/>
        <w:rPr>
          <w:sz w:val="20"/>
          <w:szCs w:val="20"/>
          <w:color w:val="auto"/>
        </w:rPr>
      </w:pPr>
      <w:r>
        <w:rPr>
          <w:rFonts w:ascii="Courier New" w:cs="Courier New" w:eastAsia="Courier New" w:hAnsi="Courier New"/>
          <w:sz w:val="15"/>
          <w:szCs w:val="15"/>
          <w:color w:val="auto"/>
        </w:rPr>
        <w:t>We will remain obligated to provide for registration of transfer and exchange and to provide notices of redemption.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Defeasance</w:t>
      </w:r>
    </w:p>
    <w:p>
      <w:pPr>
        <w:spacing w:after="0" w:line="173" w:lineRule="exact"/>
        <w:rPr>
          <w:sz w:val="20"/>
          <w:szCs w:val="20"/>
          <w:color w:val="auto"/>
        </w:rPr>
      </w:pPr>
    </w:p>
    <w:p>
      <w:pPr>
        <w:ind w:right="3399" w:firstLine="787"/>
        <w:spacing w:after="0" w:line="256" w:lineRule="auto"/>
        <w:rPr>
          <w:sz w:val="20"/>
          <w:szCs w:val="20"/>
          <w:color w:val="auto"/>
        </w:rPr>
      </w:pPr>
      <w:r>
        <w:rPr>
          <w:rFonts w:ascii="Courier New" w:cs="Courier New" w:eastAsia="Courier New" w:hAnsi="Courier New"/>
          <w:sz w:val="14"/>
          <w:szCs w:val="14"/>
          <w:color w:val="auto"/>
        </w:rPr>
        <w:t>The following discussion of full defeasance and covenant defeasance will be applicable to your series of debt securities only if we choose to have them apply to that series. If we choose to do so, we will state that in the applicable prospectus supplement and describe any changes to these provisions.</w:t>
      </w:r>
    </w:p>
    <w:p>
      <w:pPr>
        <w:spacing w:after="0" w:line="164"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Full Defeasance. If there is a change in federal tax law, as described below, we can legally release ourselves from any payment or other obligations on the debt securities, called "full defeasance", if we put in place the following other arrangements for you to be repaid:</w:t>
      </w:r>
    </w:p>
    <w:p>
      <w:pPr>
        <w:spacing w:after="0" w:line="175" w:lineRule="exact"/>
        <w:rPr>
          <w:sz w:val="20"/>
          <w:szCs w:val="20"/>
          <w:color w:val="auto"/>
        </w:rPr>
      </w:pPr>
    </w:p>
    <w:p>
      <w:pPr>
        <w:ind w:left="1400" w:right="3239" w:hanging="691"/>
        <w:spacing w:after="0" w:line="255" w:lineRule="auto"/>
        <w:tabs>
          <w:tab w:leader="none" w:pos="140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must deposit in trust for your benefit and the benefit of all other registered holders of the debt securities a combination of money and U.S. government or U.S. government agency notes or bonds that will generate enough cash to make interest, principal and any other payments on the debt securities on their various due dates including, possibly, their earliest redemption date.</w:t>
      </w:r>
    </w:p>
    <w:p>
      <w:pPr>
        <w:spacing w:after="0" w:line="166" w:lineRule="exact"/>
        <w:rPr>
          <w:rFonts w:ascii="Courier New" w:cs="Courier New" w:eastAsia="Courier New" w:hAnsi="Courier New"/>
          <w:sz w:val="14"/>
          <w:szCs w:val="14"/>
          <w:color w:val="auto"/>
        </w:rPr>
      </w:pPr>
    </w:p>
    <w:p>
      <w:pPr>
        <w:ind w:left="1400" w:right="3239" w:hanging="691"/>
        <w:spacing w:after="0" w:line="255" w:lineRule="auto"/>
        <w:tabs>
          <w:tab w:leader="none" w:pos="140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 current federal tax law, the deposit and our legal release from the debt securities would likely be treated as though you surrendered your debt securities in exchange for your share of the cash and notes or bonds deposited in trust. In that event, you could recognize income, gain or loss on the debt securities you surrendered. In order for us to effect a full defeasance we must deliver to the trustee a legal opinion confirming that you will not recognize income, gain or loss for federal income tax purposes as a result of the defeasance and that you will not be taxed on the debt securities any differently than if we did not make the deposit and just repaid the debt securities ourselves.</w:t>
      </w:r>
    </w:p>
    <w:p>
      <w:pPr>
        <w:spacing w:after="0" w:line="164" w:lineRule="exact"/>
        <w:rPr>
          <w:rFonts w:ascii="Courier New" w:cs="Courier New" w:eastAsia="Courier New" w:hAnsi="Courier New"/>
          <w:sz w:val="14"/>
          <w:szCs w:val="14"/>
          <w:color w:val="auto"/>
        </w:rPr>
      </w:pPr>
    </w:p>
    <w:p>
      <w:pPr>
        <w:ind w:left="1400" w:right="3399" w:hanging="691"/>
        <w:spacing w:after="0" w:line="234" w:lineRule="auto"/>
        <w:tabs>
          <w:tab w:leader="none" w:pos="140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must comply with any additional provisions set forth in the prospectus supplement.</w:t>
      </w:r>
    </w:p>
    <w:p>
      <w:pPr>
        <w:spacing w:after="0" w:line="173" w:lineRule="exact"/>
        <w:rPr>
          <w:sz w:val="20"/>
          <w:szCs w:val="20"/>
          <w:color w:val="auto"/>
        </w:rPr>
      </w:pPr>
    </w:p>
    <w:p>
      <w:pPr>
        <w:jc w:val="both"/>
        <w:ind w:right="3399" w:firstLine="787"/>
        <w:spacing w:after="0" w:line="254" w:lineRule="auto"/>
        <w:rPr>
          <w:sz w:val="20"/>
          <w:szCs w:val="20"/>
          <w:color w:val="auto"/>
        </w:rPr>
      </w:pPr>
      <w:r>
        <w:rPr>
          <w:rFonts w:ascii="Courier New" w:cs="Courier New" w:eastAsia="Courier New" w:hAnsi="Courier New"/>
          <w:sz w:val="14"/>
          <w:szCs w:val="14"/>
          <w:color w:val="auto"/>
        </w:rPr>
        <w:t>If we accomplish a full defeasance as described above, you would have to rely solely on the trust deposit for repayment on the debt securities. You could not look to us for repayment in the unlikely event of any shortfall.</w:t>
      </w:r>
    </w:p>
    <w:p>
      <w:pPr>
        <w:spacing w:after="0" w:line="1"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Conversely, the trust deposit would most likely be protected from claims of our lenders and other creditors if we ever become bankrupt or insolvent. You would also be released from any applicable subordination provisions on the subordinated debt securities described below under "- Subordination."</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617" w:right="1440" w:bottom="1440" w:gutter="0" w:footer="0" w:header="0"/>
        </w:sectPr>
      </w:pPr>
    </w:p>
    <w:bookmarkStart w:id="28" w:name="page29"/>
    <w:bookmarkEnd w:id="28"/>
    <w:p>
      <w:pPr>
        <w:ind w:right="3319" w:firstLine="787"/>
        <w:spacing w:after="0" w:line="236" w:lineRule="auto"/>
        <w:rPr>
          <w:sz w:val="20"/>
          <w:szCs w:val="20"/>
          <w:color w:val="auto"/>
        </w:rPr>
      </w:pPr>
      <w:r>
        <w:rPr>
          <w:rFonts w:ascii="Courier New" w:cs="Courier New" w:eastAsia="Courier New" w:hAnsi="Courier New"/>
          <w:sz w:val="15"/>
          <w:szCs w:val="15"/>
          <w:color w:val="auto"/>
        </w:rPr>
        <w:t>Covenant Defeasance. Under current federal tax law, we can make the same type of deposit described above and be released from the restrictive covenants in the debt securities, if any. This is called "covenant defeasance." In that event, you would lose the protection of those restrictive covenants but would gain the protection of having money and securities set aside in trust to repay the debt securities, and you would be released from any applicable subordination provisions on the subordinated debt securities described later under " - Subordination." In order to achieve covenant defeasance, we must do the following:</w:t>
      </w:r>
    </w:p>
    <w:p>
      <w:pPr>
        <w:spacing w:after="0" w:line="178" w:lineRule="exact"/>
        <w:rPr>
          <w:sz w:val="20"/>
          <w:szCs w:val="20"/>
          <w:color w:val="auto"/>
        </w:rPr>
      </w:pPr>
    </w:p>
    <w:p>
      <w:pPr>
        <w:ind w:left="1400" w:right="3239" w:hanging="691"/>
        <w:spacing w:after="0" w:line="236" w:lineRule="auto"/>
        <w:tabs>
          <w:tab w:leader="none" w:pos="140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must deposit in trust for your benefit and the benefit of all other registered holders of the debt securities a combination of money and U.S. government or U.S. government agency notes or bonds that will generate enough cash to make interest, principal and any other payments on the debt securities on their various due dates.</w:t>
      </w:r>
    </w:p>
    <w:p>
      <w:pPr>
        <w:spacing w:after="0" w:line="174" w:lineRule="exact"/>
        <w:rPr>
          <w:rFonts w:ascii="Courier New" w:cs="Courier New" w:eastAsia="Courier New" w:hAnsi="Courier New"/>
          <w:sz w:val="15"/>
          <w:szCs w:val="15"/>
          <w:color w:val="auto"/>
        </w:rPr>
      </w:pPr>
    </w:p>
    <w:p>
      <w:pPr>
        <w:ind w:left="1400" w:right="3399" w:hanging="691"/>
        <w:spacing w:after="0" w:line="236" w:lineRule="auto"/>
        <w:tabs>
          <w:tab w:leader="none" w:pos="140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must deliver to the trustee a legal opinion confirming that under current federal income tax law we may make the above deposit without causing you to be taxed on the debt securities any differently than if we did not make the deposit and just repaid the debt securities ourselves.</w:t>
      </w:r>
    </w:p>
    <w:p>
      <w:pPr>
        <w:spacing w:after="0" w:line="173" w:lineRule="exact"/>
        <w:rPr>
          <w:rFonts w:ascii="Courier New" w:cs="Courier New" w:eastAsia="Courier New" w:hAnsi="Courier New"/>
          <w:sz w:val="15"/>
          <w:szCs w:val="15"/>
          <w:color w:val="auto"/>
        </w:rPr>
      </w:pPr>
    </w:p>
    <w:p>
      <w:pPr>
        <w:ind w:left="1400" w:right="3399" w:hanging="691"/>
        <w:spacing w:after="0" w:line="234" w:lineRule="auto"/>
        <w:tabs>
          <w:tab w:leader="none" w:pos="140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must comply with any additional provisions set forth in the prospectus supplement.</w:t>
      </w:r>
    </w:p>
    <w:p>
      <w:pPr>
        <w:spacing w:after="0" w:line="173"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If we accomplish covenant defeasance, the following provisions of the indenture and the debt securities would no longer apply unless otherwise specified:</w:t>
      </w:r>
    </w:p>
    <w:p>
      <w:pPr>
        <w:spacing w:after="0" w:line="174" w:lineRule="exact"/>
        <w:rPr>
          <w:sz w:val="20"/>
          <w:szCs w:val="20"/>
          <w:color w:val="auto"/>
        </w:rPr>
      </w:pPr>
    </w:p>
    <w:p>
      <w:pPr>
        <w:ind w:left="1400" w:right="3239" w:hanging="691"/>
        <w:spacing w:after="0" w:line="235" w:lineRule="auto"/>
        <w:tabs>
          <w:tab w:leader="none" w:pos="140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promises regarding conduct of our business and other matters and any other covenants applicable to the series of debt securities that will be described in the prospectus supplement; and</w:t>
      </w:r>
    </w:p>
    <w:p>
      <w:pPr>
        <w:spacing w:after="0" w:line="175" w:lineRule="exact"/>
        <w:rPr>
          <w:rFonts w:ascii="Courier New" w:cs="Courier New" w:eastAsia="Courier New" w:hAnsi="Courier New"/>
          <w:sz w:val="15"/>
          <w:szCs w:val="15"/>
          <w:color w:val="auto"/>
        </w:rPr>
      </w:pPr>
    </w:p>
    <w:p>
      <w:pPr>
        <w:ind w:left="1400" w:right="3499" w:hanging="691"/>
        <w:spacing w:after="0" w:line="261" w:lineRule="auto"/>
        <w:tabs>
          <w:tab w:leader="none" w:pos="140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definition of an event of default as a breach of such covenants that may be specified in the prospectus supplement.</w:t>
      </w:r>
    </w:p>
    <w:p>
      <w:pPr>
        <w:spacing w:after="0" w:line="160"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If we accomplish covenant defeasance, you can still look to us for repayment of the debt securities if there were a shortfall in the trust deposit. In fact, if one of the remaining events of default occurs (such as our bankruptcy) and the debt securities become immediately due and payable, there may be such a shortfall. Depending on the event causing the default, of course, you may not be able to obtain payment of the shortfall.</w:t>
      </w:r>
    </w:p>
    <w:p>
      <w:pPr>
        <w:spacing w:after="0" w:line="17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In order to exercise either full defeasance or covenant defeasance, we must comply with certain conditions, and no event or condition can exist that would prevent us from making payments of principal, premium, and interest, if any, on the senior debt securities or subordinated debt securities of such series on the date the irrevocable deposit is made or at any time during the period ending on the 91st day after the deposit date.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Ranking</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Unless provided otherwise in the applicable prospectus supplement, the debt securities are not secured by any of our property or assets. Accordingly, your ownership of debt securities means you are one of our unsecured creditors. The senior debt securities are not subordinated to any of our other debt obligations and therefore they rank equally with all our other unsecured and unsubordinated indebtedness. The subordinated debt securities are subordinated to some of our existing and future debt and other liabilities. See "-Subordination" for additional information on how subordination limits your ability to receive payment or pursue other rights if we default or have certain other financial difficulties.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Subordination</w:t>
      </w:r>
    </w:p>
    <w:p>
      <w:pPr>
        <w:spacing w:after="0" w:line="173" w:lineRule="exact"/>
        <w:rPr>
          <w:sz w:val="20"/>
          <w:szCs w:val="20"/>
          <w:color w:val="auto"/>
        </w:rPr>
      </w:pPr>
    </w:p>
    <w:p>
      <w:pPr>
        <w:ind w:right="3679" w:firstLine="787"/>
        <w:spacing w:after="0" w:line="234" w:lineRule="auto"/>
        <w:rPr>
          <w:sz w:val="20"/>
          <w:szCs w:val="20"/>
          <w:color w:val="auto"/>
        </w:rPr>
      </w:pPr>
      <w:r>
        <w:rPr>
          <w:rFonts w:ascii="Courier New" w:cs="Courier New" w:eastAsia="Courier New" w:hAnsi="Courier New"/>
          <w:sz w:val="15"/>
          <w:szCs w:val="15"/>
          <w:color w:val="auto"/>
        </w:rPr>
        <w:t>Unless the prospectus supplement provides otherwise, the following provisions will apply to the subordinated debt securities:</w:t>
      </w:r>
    </w:p>
    <w:p>
      <w:pPr>
        <w:spacing w:after="0" w:line="173"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The payment of principal, any premium and interest on the subordinated debt securities is subordinated in right of payment to the prior payment in full of all of our Senior Indebtedness (as such term is defined in the subordinated indenture). This means that in certain circumstances where we may not be making</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624" w:right="1440" w:bottom="1440" w:gutter="0" w:footer="0" w:header="0"/>
        </w:sectPr>
      </w:pPr>
    </w:p>
    <w:bookmarkStart w:id="29" w:name="page30"/>
    <w:bookmarkEnd w:id="29"/>
    <w:p>
      <w:pPr>
        <w:ind w:right="3239"/>
        <w:spacing w:after="0" w:line="236" w:lineRule="auto"/>
        <w:rPr>
          <w:sz w:val="20"/>
          <w:szCs w:val="20"/>
          <w:color w:val="auto"/>
        </w:rPr>
      </w:pPr>
      <w:r>
        <w:rPr>
          <w:rFonts w:ascii="Courier New" w:cs="Courier New" w:eastAsia="Courier New" w:hAnsi="Courier New"/>
          <w:sz w:val="15"/>
          <w:szCs w:val="15"/>
          <w:color w:val="auto"/>
        </w:rPr>
        <w:t>payments on all of our debt obligations as they become due, the holders of all of our Senior Indebtedness will be entitled to receive payment in full of all amounts that are due or will become due on the Senior Indebtedness before you and the other holders of subordinated debt securities will be entitled to receive any payment or distribution (other than in the form of subordinated securities) on the subordinated debt securities. These circumstances may include the following:</w:t>
      </w:r>
    </w:p>
    <w:p>
      <w:pPr>
        <w:spacing w:after="0" w:line="176" w:lineRule="exact"/>
        <w:rPr>
          <w:sz w:val="20"/>
          <w:szCs w:val="20"/>
          <w:color w:val="auto"/>
        </w:rPr>
      </w:pPr>
    </w:p>
    <w:p>
      <w:pPr>
        <w:ind w:left="1400" w:right="3579" w:hanging="691"/>
        <w:spacing w:after="0" w:line="235" w:lineRule="auto"/>
        <w:tabs>
          <w:tab w:leader="none" w:pos="140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make a payment or distribute assets to creditors upon any liquidation, dissolution, winding up or reorganization of ClearOne, or as part of an assignment or marshalling of our assets for the benefit of our creditors.</w:t>
      </w:r>
    </w:p>
    <w:p>
      <w:pPr>
        <w:spacing w:after="0" w:line="175" w:lineRule="exact"/>
        <w:rPr>
          <w:rFonts w:ascii="Courier New" w:cs="Courier New" w:eastAsia="Courier New" w:hAnsi="Courier New"/>
          <w:sz w:val="15"/>
          <w:szCs w:val="15"/>
          <w:color w:val="auto"/>
        </w:rPr>
      </w:pPr>
    </w:p>
    <w:p>
      <w:pPr>
        <w:ind w:left="1400" w:right="3499" w:hanging="691"/>
        <w:spacing w:after="0" w:line="234" w:lineRule="auto"/>
        <w:tabs>
          <w:tab w:leader="none" w:pos="140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file for bankruptcy or certain other events in bankruptcy, insolvency or similar proceedings occur.</w:t>
      </w:r>
    </w:p>
    <w:p>
      <w:pPr>
        <w:spacing w:after="0" w:line="173" w:lineRule="exact"/>
        <w:rPr>
          <w:rFonts w:ascii="Courier New" w:cs="Courier New" w:eastAsia="Courier New" w:hAnsi="Courier New"/>
          <w:sz w:val="15"/>
          <w:szCs w:val="15"/>
          <w:color w:val="auto"/>
        </w:rPr>
      </w:pPr>
    </w:p>
    <w:p>
      <w:pPr>
        <w:ind w:left="1400" w:right="3239" w:hanging="691"/>
        <w:spacing w:after="0" w:line="236" w:lineRule="auto"/>
        <w:tabs>
          <w:tab w:leader="none" w:pos="140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maturity of the subordinated debt securities is accelerated. For example, the entire principal amount of a series of subordinated debt securities may be declared to be due and payable and immediately payable or may be automatically accelerated due to an event of default as described under " - Events of Default."</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In addition, in general, we will not be permitted to make payments of principal, any premium or interest on the subordinated debt securities if we default in our obligation to make payments on our Senior Indebtedness and do not cure such default. We are also prohibited from making payments on subordinated debt securities if an event of default (other than a payment default) that permits the holders of Senior Indebtedness to accelerate the maturity of the Senior Indebtedness occurs and we and the trustee have received a notice of such event of default. However, unless the Senior Indebtedness has been accelerated because of that event of default, this payment blockage notice cannot last more than 179 days.</w:t>
      </w:r>
    </w:p>
    <w:p>
      <w:pPr>
        <w:spacing w:after="0" w:line="179"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These subordination provisions mean that if we are insolvent, a holder of Senior Indebtedness is likely to ultimately receive out of our assets more than a holder of the same amount of our subordinated debt securities, and a creditor of ClearOne that is owed a specific amount but who owns neither our Senior Indebtedness nor our subordinated debt securities may ultimately receive less than a holder of the same amount of Senior Indebtedness and more than a holder of subordinated debt securities.</w:t>
      </w:r>
    </w:p>
    <w:p>
      <w:pPr>
        <w:spacing w:after="0" w:line="176"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The subordinated indenture does not limit the amount of Senior Indebtedness we are permitted to have and we may in the future incur additional Senior Indebtedness.</w:t>
      </w:r>
    </w:p>
    <w:p>
      <w:pPr>
        <w:spacing w:after="0" w:line="174"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If this prospectus is being delivered in connection with a series of subordinated securities, the accompanying prospectus supplement or the information incorporated by reference will set forth the approximate amount of Senior Indebtedness outstanding as of a recent 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Trustee</w:t>
      </w:r>
    </w:p>
    <w:p>
      <w:pPr>
        <w:spacing w:after="0" w:line="173"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The initial trustee under each indenture will be The Bank of New York. The Bank of New York will also be the initial paying agent and registrar for the debt securities.</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Each indenture provides that, except during the continuance of an event of default under the indenture, the trustee under the indenture will perform only such duties as are specifically set forth in the indenture. Under the indenture, the holders of a majority in outstanding principal amount of the debt securities will have the right to direct the time, method and place of conducting any proceeding or exercising any remedy available to the trustee under the indenture, subject to certain exceptions. If an event of default has occurred and is continuing, the trustee under the indenture will exercise such rights and powers vested in it under the indenture and use the same degree of care and skill in its exercise as a prudent person would exercise under the circumstances in the conduct of such person's own affairs.</w:t>
      </w:r>
    </w:p>
    <w:p>
      <w:pPr>
        <w:spacing w:after="0" w:line="180"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Each indenture and provisions of the Trust Indenture Act incorporated by reference in the indenture contain limitations on the rights of the trustee under such indenture, should it become a creditor of ClearOne, to obtain payment of claims in certain cases or to realize on certain property received by it in</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624" w:right="1440" w:bottom="1440" w:gutter="0" w:footer="0" w:header="0"/>
        </w:sectPr>
      </w:pPr>
    </w:p>
    <w:bookmarkStart w:id="30" w:name="page31"/>
    <w:bookmarkEnd w:id="30"/>
    <w:p>
      <w:pPr>
        <w:ind w:right="3319"/>
        <w:spacing w:after="0" w:line="235" w:lineRule="auto"/>
        <w:rPr>
          <w:sz w:val="20"/>
          <w:szCs w:val="20"/>
          <w:color w:val="auto"/>
        </w:rPr>
      </w:pPr>
      <w:r>
        <w:rPr>
          <w:rFonts w:ascii="Courier New" w:cs="Courier New" w:eastAsia="Courier New" w:hAnsi="Courier New"/>
          <w:sz w:val="15"/>
          <w:szCs w:val="15"/>
          <w:color w:val="auto"/>
        </w:rPr>
        <w:t>respect of any such claims, as security or otherwise. The trustee under the indenture is permitted to engage in other transactions. However, if the trustee under the indenture acquires any prohibited conflicting interest, it must eliminate the conflict or resign.</w:t>
      </w:r>
    </w:p>
    <w:p>
      <w:pPr>
        <w:spacing w:after="0" w:line="17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Each trustee may resign or be removed with respect to one or more series of securities and a successor trustee may be appointed to act with respect to such series. In the event that two or more persons are acting as trustee with respect to different series of securities under one of the indentures, each such trustee shall be a trustee of a trust separate and apart from the trust administered by any other such trustee and any action described herein to be taken by the "trustee" may then be taken by each such trustee with respect to, and only with respect to, the one or more series of securities for which it is trustee.</w:t>
      </w:r>
    </w:p>
    <w:p>
      <w:pPr>
        <w:spacing w:after="0" w:line="178"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In the event that an entity is the trustee under both the senior indenture and the subordinated indenture, and a conflict of interest arises as a result, the trustee must resign as trustee under (1) either of the indentures or, if this does not eliminate the conflict of interest, (2) both the indentures.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Governing Law</w:t>
      </w:r>
    </w:p>
    <w:p>
      <w:pPr>
        <w:spacing w:after="0" w:line="173" w:lineRule="exact"/>
        <w:rPr>
          <w:sz w:val="20"/>
          <w:szCs w:val="20"/>
          <w:color w:val="auto"/>
        </w:rPr>
      </w:pPr>
    </w:p>
    <w:p>
      <w:pPr>
        <w:ind w:right="3939" w:firstLine="787"/>
        <w:spacing w:after="0" w:line="234" w:lineRule="auto"/>
        <w:rPr>
          <w:sz w:val="20"/>
          <w:szCs w:val="20"/>
          <w:color w:val="auto"/>
        </w:rPr>
      </w:pPr>
      <w:r>
        <w:rPr>
          <w:rFonts w:ascii="Courier New" w:cs="Courier New" w:eastAsia="Courier New" w:hAnsi="Courier New"/>
          <w:sz w:val="15"/>
          <w:szCs w:val="15"/>
          <w:color w:val="auto"/>
        </w:rPr>
        <w:t>The indentures and the debt securities will be governed by, and construed in accordance with,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624" w:right="1440" w:bottom="1440" w:gutter="0" w:footer="0" w:header="0"/>
        </w:sectPr>
      </w:pPr>
    </w:p>
    <w:bookmarkStart w:id="31" w:name="page32"/>
    <w:bookmarkEnd w:id="31"/>
    <w:p>
      <w:pPr>
        <w:ind w:left="2540"/>
        <w:spacing w:after="0"/>
        <w:rPr>
          <w:sz w:val="20"/>
          <w:szCs w:val="20"/>
          <w:color w:val="auto"/>
        </w:rPr>
      </w:pPr>
      <w:r>
        <w:rPr>
          <w:rFonts w:ascii="Courier New" w:cs="Courier New" w:eastAsia="Courier New" w:hAnsi="Courier New"/>
          <w:sz w:val="15"/>
          <w:szCs w:val="15"/>
          <w:color w:val="auto"/>
        </w:rPr>
        <w:t>DESCRIPTION OF WARRANTS</w:t>
      </w:r>
    </w:p>
    <w:p>
      <w:pPr>
        <w:spacing w:after="0" w:line="341"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We may issue warrants for the purchase of (1) debt securities or (2) common stock. Warrants may be issued independently or together with any debt securities or common stock offered by any prospectus supplement and may be attached to or separate from the debt securities or common stock. The warrants are to be issued under warrant agreements to be entered into between ClearOne and a bank or trust company named in the prospectus supplement as warrant agent relating to the particular issue of warrants. The warrant agent will act solely as an agent of ClearOne in connection with the warrants and will not assume any obligation or relationship of agency or trust for or with any holders of warrants or beneficial owners of warrants. This section is a summary of the material terms of the warrant agreement; it does not describe every aspect of the warrants. We urge you to read the warrant agreement because it, and not this description, defines your rights as a warrant holder.</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499" w:firstLine="787"/>
        <w:spacing w:after="0" w:line="234" w:lineRule="auto"/>
        <w:rPr>
          <w:sz w:val="20"/>
          <w:szCs w:val="20"/>
          <w:color w:val="auto"/>
        </w:rPr>
      </w:pPr>
      <w:r>
        <w:rPr>
          <w:rFonts w:ascii="Courier New" w:cs="Courier New" w:eastAsia="Courier New" w:hAnsi="Courier New"/>
          <w:sz w:val="15"/>
          <w:szCs w:val="15"/>
          <w:color w:val="auto"/>
        </w:rPr>
        <w:t>If warrants are offered, the prospectus supplement will describe the terms of the warrants, including the following:</w:t>
      </w:r>
    </w:p>
    <w:p>
      <w:pPr>
        <w:spacing w:after="0" w:line="167" w:lineRule="exact"/>
        <w:rPr>
          <w:sz w:val="20"/>
          <w:szCs w:val="20"/>
          <w:color w:val="auto"/>
        </w:rPr>
      </w:pPr>
    </w:p>
    <w:p>
      <w:pPr>
        <w:ind w:left="1400" w:hanging="691"/>
        <w:spacing w:after="0"/>
        <w:tabs>
          <w:tab w:leader="none" w:pos="140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offering price;</w:t>
      </w:r>
    </w:p>
    <w:p>
      <w:pPr>
        <w:spacing w:after="0" w:line="172" w:lineRule="exact"/>
        <w:rPr>
          <w:rFonts w:ascii="Courier New" w:cs="Courier New" w:eastAsia="Courier New" w:hAnsi="Courier New"/>
          <w:sz w:val="15"/>
          <w:szCs w:val="15"/>
          <w:color w:val="auto"/>
        </w:rPr>
      </w:pPr>
    </w:p>
    <w:p>
      <w:pPr>
        <w:ind w:left="1400" w:right="3399" w:hanging="691"/>
        <w:spacing w:after="0" w:line="235" w:lineRule="auto"/>
        <w:tabs>
          <w:tab w:leader="none" w:pos="140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designation, aggregate principal amount and terms of the debt securities purchasable upon exercise of the debt warrants and the price at which such debt securities may be purchased upon such exercise;</w:t>
      </w:r>
    </w:p>
    <w:p>
      <w:pPr>
        <w:spacing w:after="0" w:line="175" w:lineRule="exact"/>
        <w:rPr>
          <w:rFonts w:ascii="Courier New" w:cs="Courier New" w:eastAsia="Courier New" w:hAnsi="Courier New"/>
          <w:sz w:val="15"/>
          <w:szCs w:val="15"/>
          <w:color w:val="auto"/>
        </w:rPr>
      </w:pPr>
    </w:p>
    <w:p>
      <w:pPr>
        <w:ind w:left="1400" w:right="3239" w:hanging="691"/>
        <w:spacing w:after="0" w:line="235" w:lineRule="auto"/>
        <w:tabs>
          <w:tab w:leader="none" w:pos="140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designation, number of shares and terms of the common stock purchasable upon exercise of the common stock warrants and the price at which such shares of common stock may be purchased upon such exercise;</w:t>
      </w:r>
    </w:p>
    <w:p>
      <w:pPr>
        <w:spacing w:after="0" w:line="175" w:lineRule="exact"/>
        <w:rPr>
          <w:rFonts w:ascii="Courier New" w:cs="Courier New" w:eastAsia="Courier New" w:hAnsi="Courier New"/>
          <w:sz w:val="15"/>
          <w:szCs w:val="15"/>
          <w:color w:val="auto"/>
        </w:rPr>
      </w:pPr>
    </w:p>
    <w:p>
      <w:pPr>
        <w:ind w:left="1400" w:right="3239" w:hanging="691"/>
        <w:spacing w:after="0" w:line="235" w:lineRule="auto"/>
        <w:tabs>
          <w:tab w:leader="none" w:pos="140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applicable, the designation and terms of the debt securities or common stock with which the warrants are issued and the number of warrants issued with each such debt security or common stock;</w:t>
      </w:r>
    </w:p>
    <w:p>
      <w:pPr>
        <w:spacing w:after="0" w:line="175" w:lineRule="exact"/>
        <w:rPr>
          <w:rFonts w:ascii="Courier New" w:cs="Courier New" w:eastAsia="Courier New" w:hAnsi="Courier New"/>
          <w:sz w:val="15"/>
          <w:szCs w:val="15"/>
          <w:color w:val="auto"/>
        </w:rPr>
      </w:pPr>
    </w:p>
    <w:p>
      <w:pPr>
        <w:ind w:left="1400" w:right="3319" w:hanging="691"/>
        <w:spacing w:after="0" w:line="235" w:lineRule="auto"/>
        <w:tabs>
          <w:tab w:leader="none" w:pos="140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applicable, the date on and after which the warrants and the related debt securities or common stock will be separately transferable;</w:t>
      </w:r>
    </w:p>
    <w:p>
      <w:pPr>
        <w:spacing w:after="0" w:line="173" w:lineRule="exact"/>
        <w:rPr>
          <w:rFonts w:ascii="Courier New" w:cs="Courier New" w:eastAsia="Courier New" w:hAnsi="Courier New"/>
          <w:sz w:val="15"/>
          <w:szCs w:val="15"/>
          <w:color w:val="auto"/>
        </w:rPr>
      </w:pPr>
    </w:p>
    <w:p>
      <w:pPr>
        <w:ind w:left="1400" w:right="3759" w:hanging="691"/>
        <w:spacing w:after="0" w:line="261" w:lineRule="auto"/>
        <w:tabs>
          <w:tab w:leader="none" w:pos="140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on which the right to exercise the warrants shall commence and the date on which such right shall expire;</w:t>
      </w:r>
    </w:p>
    <w:p>
      <w:pPr>
        <w:spacing w:after="0" w:line="159" w:lineRule="exact"/>
        <w:rPr>
          <w:rFonts w:ascii="Courier New" w:cs="Courier New" w:eastAsia="Courier New" w:hAnsi="Courier New"/>
          <w:sz w:val="14"/>
          <w:szCs w:val="14"/>
          <w:color w:val="auto"/>
        </w:rPr>
      </w:pPr>
    </w:p>
    <w:p>
      <w:pPr>
        <w:ind w:left="1400" w:right="3759" w:hanging="691"/>
        <w:spacing w:after="0" w:line="235" w:lineRule="auto"/>
        <w:tabs>
          <w:tab w:leader="none" w:pos="140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the warrants will be sold with any other offered securities and, if so, the amount and terms of these other securities;</w:t>
      </w:r>
    </w:p>
    <w:p>
      <w:pPr>
        <w:spacing w:after="0" w:line="173" w:lineRule="exact"/>
        <w:rPr>
          <w:rFonts w:ascii="Courier New" w:cs="Courier New" w:eastAsia="Courier New" w:hAnsi="Courier New"/>
          <w:sz w:val="15"/>
          <w:szCs w:val="15"/>
          <w:color w:val="auto"/>
        </w:rPr>
      </w:pPr>
    </w:p>
    <w:p>
      <w:pPr>
        <w:ind w:left="1400" w:right="3239" w:hanging="691"/>
        <w:spacing w:after="0" w:line="235" w:lineRule="auto"/>
        <w:tabs>
          <w:tab w:leader="none" w:pos="140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discussion of certain federal income tax, accounting and other special considerations, procedures and limitations relating to the warrants; and</w:t>
      </w:r>
    </w:p>
    <w:p>
      <w:pPr>
        <w:spacing w:after="0" w:line="167" w:lineRule="exact"/>
        <w:rPr>
          <w:rFonts w:ascii="Courier New" w:cs="Courier New" w:eastAsia="Courier New" w:hAnsi="Courier New"/>
          <w:sz w:val="15"/>
          <w:szCs w:val="15"/>
          <w:color w:val="auto"/>
        </w:rPr>
      </w:pPr>
    </w:p>
    <w:p>
      <w:pPr>
        <w:ind w:left="1400" w:hanging="691"/>
        <w:spacing w:after="0"/>
        <w:tabs>
          <w:tab w:leader="none" w:pos="140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terms of the warrants.</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Warrants may be exchanged for new warrants of different denominations. If in registered form, warrants may be presented for registration of transfer, and may be exercised at the corporate trust office of the warrant agent or any other office indicated in the prospectus supplement. Before the exercise of their warrants, holders of warrants will not have any of the rights of holders of the securities purchasable upon such exercise, including the right to receive payments of principal of, any premium on, or any interest on, the debt securities purchasable upon such exercise or to enforce the covenants in the indentures or to receive payments of dividends, if any, on the common stock purchasable upon such exercise or to exercise any applicable right to vote. If ClearOne maintains the ability to reduce the exercise price of any stock warrant and such right is triggered, ClearOne will comply with the federal securities laws, including Rule 14e-4 under the Exchange Act, to the extent applicable.</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617"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5"/>
          <w:szCs w:val="15"/>
          <w:color w:val="auto"/>
        </w:rPr>
        <w:t>Exercise of Warrants</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Each warrant will entitle the holder to purchase such principal amount of debt securities or such number of shares of common stock at such exercise price as shall in each case be set forth in, or can be calculated according to information contained in, the prospectus supplement relating to the warrant. Warrants may be exercised at such times as are set forth in the prospectus supplement relating to such warrants. After the close of business on the expiration date of the warrants, or such later date to which such expiration date may be extended by ClearOne, unexercised warrants will become void.</w:t>
      </w:r>
    </w:p>
    <w:p>
      <w:pPr>
        <w:spacing w:after="0" w:line="166"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Subject to any restrictions and additional requirements that may be set forth in the prospectus supplement, warrants may be exercised by delivery to the warrant agent of the certificate evidencing such warrants properly completed and duly executed and of payment as provided in the prospectus supplement of the amount required to purchase the debt securities or common stock purchasable upon such exercise. The exercise price will be the price applicable on the date of payment in full, as set forth in the prospectus supplement relating to the warrants. Upon receipt of such payment and the certificate representing the warrants to be exercised, properly completed and duly executed at the corporate trust office of the warrant agent or any other office indicated in the prospectus supplement, ClearOne will, as soon as practicable, issue and deliver the debt securities or common stock purchasable upon such exercise. If fewer than all of the warrants represented by such certificate are exercised, a new certificate will be issued for the remaining amount of warrants.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 Provisions</w:t>
      </w:r>
    </w:p>
    <w:p>
      <w:pPr>
        <w:spacing w:after="0" w:line="17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The exercise price payable and the number of shares of common stock purchasable upon the exercise of each stock warrant will be subject to adjustment in certain events, as described in the prospectus supplement, including the issuance of the stock dividend to holders of common stock, respectively, or a combination, subdivision or reclassification of common stock. In lieu of adjusting the number of shares of common stock purchasable upon exercise of each stock warrant, we may elect to adjust the number of stock warrants. No adjustment in the number of shares purchasable upon exercise of the stock warrants will be required until cumulative adjustments require an adjustment of at least 1% thereof. We may, at our option, reduce the exercise price at any time. No fractional shares will be issued upon exercise of stock warrants, but we will pay the cash value of any fractional shares otherwise issuable. Notwithstanding the foregoing, in case of any consolidation, merger, or sale or conveyance of the property of ClearOne as an entirety or substantially as an entirety, the holder of each outstanding stock warrant shall have the right upon the exercise thereof to the kind and amount of shares of stock and other securities and property, including cash, receivable by a holder of the number of shares of common stock into which such stock warrants were exercisable immediately prior thereto.</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Rights as Holders of Securities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Holders of stock warrants will not be entitled, by virtue of being such holders, to vote, to consent, to receive dividends, to receive notice as stockholders with respect to any meeting of stockholders for the election of directors of ClearOne or any other matter, or to exercise any rights whatsoever as stockholders of ClearOne.</w:t>
      </w:r>
    </w:p>
    <w:p>
      <w:pPr>
        <w:spacing w:after="0" w:line="174"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Holders of debt warrants will not be entitled, by virtue of being such holders, to vote, to consent, to receive payment of principal, interest, or premium if any, on the underlying securities or to exercise any rights whatsoever as holders of the underlying securities.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Modifications to Warrants</w:t>
      </w:r>
    </w:p>
    <w:p>
      <w:pPr>
        <w:spacing w:after="0" w:line="173" w:lineRule="exact"/>
        <w:rPr>
          <w:sz w:val="20"/>
          <w:szCs w:val="20"/>
          <w:color w:val="auto"/>
        </w:rPr>
      </w:pPr>
    </w:p>
    <w:p>
      <w:pPr>
        <w:ind w:right="3239" w:firstLine="787"/>
        <w:spacing w:after="0" w:line="234" w:lineRule="auto"/>
        <w:rPr>
          <w:sz w:val="20"/>
          <w:szCs w:val="20"/>
          <w:color w:val="auto"/>
        </w:rPr>
      </w:pPr>
      <w:r>
        <w:rPr>
          <w:rFonts w:ascii="Courier New" w:cs="Courier New" w:eastAsia="Courier New" w:hAnsi="Courier New"/>
          <w:sz w:val="15"/>
          <w:szCs w:val="15"/>
          <w:color w:val="auto"/>
        </w:rPr>
        <w:t>There are three types of changes we can make to a warrant agreement and the warrants issued thereunder.</w:t>
      </w:r>
    </w:p>
    <w:p>
      <w:pPr>
        <w:spacing w:after="0" w:line="173" w:lineRule="exact"/>
        <w:rPr>
          <w:sz w:val="20"/>
          <w:szCs w:val="20"/>
          <w:color w:val="auto"/>
        </w:rPr>
      </w:pPr>
    </w:p>
    <w:p>
      <w:pPr>
        <w:ind w:right="3579" w:firstLine="787"/>
        <w:spacing w:after="0" w:line="235" w:lineRule="auto"/>
        <w:rPr>
          <w:sz w:val="20"/>
          <w:szCs w:val="20"/>
          <w:color w:val="auto"/>
        </w:rPr>
      </w:pPr>
      <w:r>
        <w:rPr>
          <w:rFonts w:ascii="Courier New" w:cs="Courier New" w:eastAsia="Courier New" w:hAnsi="Courier New"/>
          <w:sz w:val="15"/>
          <w:szCs w:val="15"/>
          <w:color w:val="auto"/>
        </w:rPr>
        <w:t>Changes Requiring Approval of Each Holder. First, with respect to a specific title of warrants, there are changes that cannot be made to the warrants without the approval of each holder of the warrants of such title. Those types of changes include modifications and amendments that:</w:t>
      </w:r>
    </w:p>
    <w:p>
      <w:pPr>
        <w:spacing w:after="0" w:line="175" w:lineRule="exact"/>
        <w:rPr>
          <w:sz w:val="20"/>
          <w:szCs w:val="20"/>
          <w:color w:val="auto"/>
        </w:rPr>
      </w:pPr>
    </w:p>
    <w:p>
      <w:pPr>
        <w:ind w:left="3420" w:right="6119" w:hanging="2711"/>
        <w:spacing w:after="0" w:line="770" w:lineRule="auto"/>
        <w:tabs>
          <w:tab w:leader="none" w:pos="1408"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accelerate the expiration date; 28</w:t>
      </w:r>
    </w:p>
    <w:p>
      <w:pPr>
        <w:sectPr>
          <w:pgSz w:w="11900" w:h="16838" w:orient="portrait"/>
          <w:cols w:equalWidth="0" w:num="1">
            <w:col w:w="10239"/>
          </w:cols>
          <w:pgMar w:left="220" w:top="617" w:right="1440" w:bottom="1440" w:gutter="0" w:footer="0" w:header="0"/>
        </w:sectPr>
      </w:pPr>
    </w:p>
    <w:bookmarkStart w:id="33" w:name="page34"/>
    <w:bookmarkEnd w:id="33"/>
    <w:p>
      <w:pPr>
        <w:jc w:val="both"/>
        <w:ind w:left="1400" w:right="3499" w:hanging="691"/>
        <w:spacing w:after="0" w:line="261" w:lineRule="auto"/>
        <w:tabs>
          <w:tab w:leader="none" w:pos="140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percentage of holders of outstanding debt warrants whose consent is required for a modification or amendment; or</w:t>
      </w:r>
    </w:p>
    <w:p>
      <w:pPr>
        <w:spacing w:after="0" w:line="159" w:lineRule="exact"/>
        <w:rPr>
          <w:rFonts w:ascii="Courier New" w:cs="Courier New" w:eastAsia="Courier New" w:hAnsi="Courier New"/>
          <w:sz w:val="14"/>
          <w:szCs w:val="14"/>
          <w:color w:val="auto"/>
        </w:rPr>
      </w:pPr>
    </w:p>
    <w:p>
      <w:pPr>
        <w:ind w:left="1400" w:right="3399" w:hanging="691"/>
        <w:spacing w:after="0" w:line="234" w:lineRule="auto"/>
        <w:tabs>
          <w:tab w:leader="none" w:pos="140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otherwise materially and adversely affect other terms that may be set forth in the prospectus supplement.</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Changes Not Requiring Approval. The second type of change does not require any vote by holders of the warrants. This type of change is limited to clarifications and other changes that would not materially adversely affect the interests of holders of the warrants.</w:t>
      </w:r>
    </w:p>
    <w:p>
      <w:pPr>
        <w:spacing w:after="0" w:line="175"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Changes Requiring a Majority Vote. Any other change to a warrant agreement and the warrants requires a vote in favor by holders of not fewer than a majority in number of the then outstanding unexercised warrants affected thereby. Most changes fall into this category.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624" w:right="1440" w:bottom="1440" w:gutter="0" w:footer="0" w:header="0"/>
        </w:sectPr>
      </w:pPr>
    </w:p>
    <w:bookmarkStart w:id="34" w:name="page35"/>
    <w:bookmarkEnd w:id="34"/>
    <w:p>
      <w:pPr>
        <w:ind w:left="2380"/>
        <w:spacing w:after="0"/>
        <w:rPr>
          <w:sz w:val="20"/>
          <w:szCs w:val="20"/>
          <w:color w:val="auto"/>
        </w:rPr>
      </w:pPr>
      <w:r>
        <w:rPr>
          <w:rFonts w:ascii="Courier New" w:cs="Courier New" w:eastAsia="Courier New" w:hAnsi="Courier New"/>
          <w:sz w:val="15"/>
          <w:szCs w:val="15"/>
          <w:color w:val="auto"/>
        </w:rPr>
        <w:t>DESCRIPTION OF COMMON STOCK</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We are authorized to issue 50,000,000 shares of common stock, par value of $0.001 per share. As of June 30, 2002, there were 11,178,392 shares of common stock outstanding held by approximately 376 stockholders of record. The following discussion describes provisions of ClearOne's articles of incorporation and bylaws and the Utah Revised Business Corporation Act (the "URBCA").</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Rights of Common Stock</w:t>
      </w:r>
    </w:p>
    <w:p>
      <w:pPr>
        <w:spacing w:after="0" w:line="173"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Holders of the common stock are entitled to one vote per share on all matters submitted to a vote of stockholders generally. The rights of holders of common stock may be modified otherwise than by a vote of the majority or more of the shares of common stock outstanding. The rights of holders may be modified at a meeting of common stockholders if a quorum exists and the votes cast for such modification exceed the votes cast against such modification. A majority of the votes entitled to be cast upon a matter constitutes a quorum.</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 on Common Stock</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holders of the common stock are entitled to receive, pro rata, dividends as may be declared by our Board of Directors out of funds legally available for the payment of dividends. However, we are prohibited by the terms of our revolving credit loan from paying a dividend on our common stock. As of the date of this prospectus we have not, nor do we intend to, make dividend payments of common stock.</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Provisions and Information Applicable to the Common Stock</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There are no preemptive rights to subscribe for any additional securities that we may issue. There are no redemption provisions or sinking fund provisions applicable to the common stock, nor is the common stock subject to calls or assessments by ClearOne.</w:t>
      </w:r>
    </w:p>
    <w:p>
      <w:pPr>
        <w:spacing w:after="0" w:line="175"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In the event of any liquidation, dissolution or winding-up of the affairs of ClearOne, holders of common stock will be entitled to share ratably in the assets of ClearOne remaining after payment or provision for payment of all of ClearOne's debts and obligations.</w:t>
      </w:r>
    </w:p>
    <w:p>
      <w:pPr>
        <w:spacing w:after="0" w:line="175"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Under the URBCA, in connection with a merger, share exchange or sale, lease, exchange or other disposition of all or substantially all of the assets of a corporation (other than in the ordinary course of the corporation's business), a dissenting stockholder, after complying with certain procedures, is entitled to payment from the corporation of the fair value of the stockholder's shares. The fair value is estimated by the corporation. However, if the stockholder is unwilling to accept the corporation's estimate, the stockholder may provide the corporation with an estimate of the fair value and demand payment of that amount. If the corporation is unwilling to pay that amount, the corporation shall apply for a judicial determination of the fair value. Unless the articles of incorporation, bylaws or a resolution of the board of directors provide otherwise, stockholders are not entitled to dissenters' rights when the shares are listed on a national securities exchange or the National Market System of NASDAQ, or are held of record by more than 2,000 holders. However, this exception does not apply if, pursuant to the corporate action, the stockholder will receive anything other than: (i) shares of the surviving corporation; (ii) shares of a corporation that is or will be listed on a national securities exchange, the National Market System of NASDAQ, or held of record by more than 2,000 holders; (iii) cash in lieu of fractional shares; or</w:t>
      </w:r>
    </w:p>
    <w:p>
      <w:pPr>
        <w:spacing w:after="0" w:line="7" w:lineRule="exact"/>
        <w:rPr>
          <w:sz w:val="20"/>
          <w:szCs w:val="20"/>
          <w:color w:val="auto"/>
        </w:rPr>
      </w:pPr>
    </w:p>
    <w:p>
      <w:pPr>
        <w:ind w:right="6899" w:firstLine="10"/>
        <w:spacing w:after="0" w:line="509" w:lineRule="auto"/>
        <w:tabs>
          <w:tab w:leader="none" w:pos="437"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combination of the foregoing. Certain Anti-Takeover Provisions</w:t>
      </w:r>
    </w:p>
    <w:p>
      <w:pPr>
        <w:ind w:right="3499" w:firstLine="787"/>
        <w:spacing w:after="0" w:line="256" w:lineRule="auto"/>
        <w:rPr>
          <w:sz w:val="20"/>
          <w:szCs w:val="20"/>
          <w:color w:val="auto"/>
        </w:rPr>
      </w:pPr>
      <w:r>
        <w:rPr>
          <w:rFonts w:ascii="Courier New" w:cs="Courier New" w:eastAsia="Courier New" w:hAnsi="Courier New"/>
          <w:sz w:val="14"/>
          <w:szCs w:val="14"/>
          <w:color w:val="auto"/>
        </w:rPr>
        <w:t>The provisions of ClearOne's articles of incorporation and bylaws do not contain anti-takeover provisions. ClearOne's articles of incorporation provide that the number of directors shall not exceed nine and shall be fixed from time to time by resolution by the board of directors. ClearOne's bylaws</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617" w:right="1440" w:bottom="1440" w:gutter="0" w:footer="0" w:header="0"/>
        </w:sectPr>
      </w:pPr>
    </w:p>
    <w:bookmarkStart w:id="35" w:name="page36"/>
    <w:bookmarkEnd w:id="35"/>
    <w:p>
      <w:pPr>
        <w:ind w:right="3239"/>
        <w:spacing w:after="0" w:line="235" w:lineRule="auto"/>
        <w:rPr>
          <w:sz w:val="20"/>
          <w:szCs w:val="20"/>
          <w:color w:val="auto"/>
        </w:rPr>
      </w:pPr>
      <w:r>
        <w:rPr>
          <w:rFonts w:ascii="Courier New" w:cs="Courier New" w:eastAsia="Courier New" w:hAnsi="Courier New"/>
          <w:sz w:val="15"/>
          <w:szCs w:val="15"/>
          <w:color w:val="auto"/>
        </w:rPr>
        <w:t>provide that directors may be removed with or without cause. Removal of a director requires that the votes cast by the stockholders to remove the director exceed the number of votes cast not to remove the director.</w:t>
      </w:r>
    </w:p>
    <w:p>
      <w:pPr>
        <w:spacing w:after="0" w:line="174"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The Utah Control Share Acquisition Act (the "Share Acquisition Act"), set forth in Sections 61-6-1 through 61-6-12 of the Utah Code Annotated, generally provides that, when any person obtains shares (or the power to direct the voting of shares) of "an issuing public corporation" such that the person's voting power equals or exceeds any of three levels (20%, 331/3% or 50%), the ability to vote (or to direct the voting of) the "control shares" is conditioned on the approval by a majority of the corporation's shares (voting in voting groups, if applicable), excluding the "interested shares." Stockholder approval may occur at the next annual or special meeting of the stockholders, or, if the acquiring person requests and agrees to pay the associated costs of the corporation, at a special meeting of the stockholders to be held within 50 days of the corporation's receipt of the request by an acquiring person. If authorized by the articles of incorporation or the bylaws, the corporation may redeem "control shares" at the fair market value if the acquiring person fails to file an "acquiring person statement" or if the stockholders do not grant voting rights to control shares. The ClearOne articles of incorporation and bylaws make no reference to the Share Acquisition Act. If the stockholders grant voting rights to the control shares, and if the acquiring person obtained a majority of the voting power, stockholders may be entitled to dissenters' rights under the URBCA. An acquisition of shares does not constitute a control share acquisition within the meaning of the Share Acquisition Act if (1) the corporation's article of incorporation of bylaws provide that the Share Acquisition Act does not apply; (2) the acquisition is consummated pursuant to a merger in accordance with the URBCA; or (3) under certain other specified circumstances.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Limitation of Liability of Directors</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The URBCA provides that a director or officer of a Utah corporation is not liable to the corporation or its stockholders for any action taken, or any failure to take any action, as an officer or director, unless (1) the director or officer has breached or failed to perform the duties of the office (which requires that the director or officer acted (A) in good faith, (B) with the care an ordinary prudent person in like position would exercise under similar circumstances and (C) in a manner that the director or officer reasonably believes to be in the best interest of the corporation), and (2) the breach or failure to perform constitutes gross negligence, willful misconduct or intentional infliction of harm on the corporation or the stockholders. The URBCA permits a corporation to eliminate or limit the liability of a director to the corporation or its stockholders for monetary damages for any action taken or failure to take any action, as a director, except liability for (1) the amount of a financial benefit received by a director to which he is not entitled; (2) an intentional infliction of harm on the corporation or its stockholders; (3) voting for or assenting to an unlawful distribution of assets as defined under the URBCA, or (4) an intentional violation of criminal law. ClearOne has not limited such liability for its directors.</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Indemnification of Directors and Officers</w:t>
      </w:r>
    </w:p>
    <w:p>
      <w:pPr>
        <w:spacing w:after="0" w:line="173" w:lineRule="exact"/>
        <w:rPr>
          <w:sz w:val="20"/>
          <w:szCs w:val="20"/>
          <w:color w:val="auto"/>
        </w:rPr>
      </w:pPr>
    </w:p>
    <w:p>
      <w:pPr>
        <w:jc w:val="both"/>
        <w:ind w:right="3319" w:firstLine="787"/>
        <w:spacing w:after="0" w:line="254" w:lineRule="auto"/>
        <w:rPr>
          <w:sz w:val="20"/>
          <w:szCs w:val="20"/>
          <w:color w:val="auto"/>
        </w:rPr>
      </w:pPr>
      <w:r>
        <w:rPr>
          <w:rFonts w:ascii="Courier New" w:cs="Courier New" w:eastAsia="Courier New" w:hAnsi="Courier New"/>
          <w:sz w:val="14"/>
          <w:szCs w:val="14"/>
          <w:color w:val="auto"/>
        </w:rPr>
        <w:t>The ClearOne bylaws provide that it shall indemnify an individual made a party to a proceeding because he is or was a director, against any liability incurred in the proceeding if (1) the individual's conduct was in good faith;</w:t>
      </w:r>
    </w:p>
    <w:p>
      <w:pPr>
        <w:spacing w:after="0" w:line="1" w:lineRule="exact"/>
        <w:rPr>
          <w:sz w:val="20"/>
          <w:szCs w:val="20"/>
          <w:color w:val="auto"/>
        </w:rPr>
      </w:pPr>
    </w:p>
    <w:p>
      <w:pPr>
        <w:ind w:right="3239" w:firstLine="10"/>
        <w:spacing w:after="0" w:line="254" w:lineRule="auto"/>
        <w:tabs>
          <w:tab w:leader="none" w:pos="35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individual reasonably believed that his conduct was in, or not opposed to, the corporation's best interests; and (3) in the case of a criminal proceeding he had no reasonable cause to believe his conduct was unlawful; provided, however, that (x) in the case of an action by or in the right of the corporation, indemnification is limited to reasonable expenses incurred in connection with the proceeding and (y) the corporation may not, unless authorized by a court of competent jurisdiction, indemnify an individual (A) in connection with a proceeding by or in the right of the corporation in which the individual was adjudged liable to the corporation or (B) in connection with any other proceeding in which the individual is adjudged liable on the basis that he derived an improper personal benefit. In a judicial proceeding under the foregoing clause (y), in order to authorize indemnification, the court must determine that the individual is fairly and reasonably entitled to indemnification in view of all the relevant circumstances. A director is entitled to mandatory indemnification if he was successful, on the merits or otherwise, in the defense of any proceeding, or in the defense of any claim, issue or matter in the proceeding to which he was a party because he is or was a director of ClearOne, against the reasonable expenses incurred by him in connection with the proceeding or claim with respect to which he was successful. ClearOne must also advance a director expenses under certain circumstances. ClearOne may also indemnify and advance expenses to an officer, employee or agent to any extent consistent with public policy.</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624" w:right="1440" w:bottom="1440" w:gutter="0" w:footer="0" w:header="0"/>
        </w:sectPr>
      </w:pPr>
    </w:p>
    <w:bookmarkStart w:id="36" w:name="page37"/>
    <w:bookmarkEnd w:id="36"/>
    <w:p>
      <w:pPr>
        <w:ind w:right="3319" w:firstLine="787"/>
        <w:spacing w:after="0" w:line="236" w:lineRule="auto"/>
        <w:rPr>
          <w:sz w:val="20"/>
          <w:szCs w:val="20"/>
          <w:color w:val="auto"/>
        </w:rPr>
      </w:pPr>
      <w:r>
        <w:rPr>
          <w:rFonts w:ascii="Courier New" w:cs="Courier New" w:eastAsia="Courier New" w:hAnsi="Courier New"/>
          <w:sz w:val="15"/>
          <w:szCs w:val="15"/>
          <w:color w:val="auto"/>
        </w:rPr>
        <w:t>The ClearOne articles of incorporation provide that ClearOne will indemnify a director against any liability that may arise as a result of such director contracting with ClearOne for the benefit of himself or any firm, association or corporation in which such director may be interested in any way, provided such director acts in good faith.</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 and Registrar</w:t>
      </w:r>
    </w:p>
    <w:p>
      <w:pPr>
        <w:spacing w:after="0" w:line="173" w:lineRule="exact"/>
        <w:rPr>
          <w:sz w:val="20"/>
          <w:szCs w:val="20"/>
          <w:color w:val="auto"/>
        </w:rPr>
      </w:pPr>
    </w:p>
    <w:p>
      <w:pPr>
        <w:ind w:right="3759" w:firstLine="787"/>
        <w:spacing w:after="0" w:line="234" w:lineRule="auto"/>
        <w:rPr>
          <w:sz w:val="20"/>
          <w:szCs w:val="20"/>
          <w:color w:val="auto"/>
        </w:rPr>
      </w:pPr>
      <w:r>
        <w:rPr>
          <w:rFonts w:ascii="Courier New" w:cs="Courier New" w:eastAsia="Courier New" w:hAnsi="Courier New"/>
          <w:sz w:val="15"/>
          <w:szCs w:val="15"/>
          <w:color w:val="auto"/>
        </w:rPr>
        <w:t>American Stock Transfer &amp; Trust Company is the transfer agent and registrar for ClearOne's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624" w:right="1440" w:bottom="1440" w:gutter="0" w:footer="0" w:header="0"/>
        </w:sectPr>
      </w:pPr>
    </w:p>
    <w:bookmarkStart w:id="37" w:name="page38"/>
    <w:bookmarkEnd w:id="37"/>
    <w:p>
      <w:pPr>
        <w:ind w:left="2640"/>
        <w:spacing w:after="0"/>
        <w:rPr>
          <w:sz w:val="20"/>
          <w:szCs w:val="20"/>
          <w:color w:val="auto"/>
        </w:rPr>
      </w:pPr>
      <w:r>
        <w:rPr>
          <w:rFonts w:ascii="Courier New" w:cs="Courier New" w:eastAsia="Courier New" w:hAnsi="Courier New"/>
          <w:sz w:val="15"/>
          <w:szCs w:val="15"/>
          <w:color w:val="auto"/>
        </w:rPr>
        <w:t>PLAN OF DISTRIBUTION</w:t>
      </w:r>
    </w:p>
    <w:p>
      <w:pPr>
        <w:spacing w:after="0" w:line="341"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We may sell the securities to one or more underwriters for public offering or to investors directly or through agents. The name of any such underwriter or agent involved in the offer and sale of the securities, the amounts underwritten and the nature of its obligation to take the securities will be named in the applicable prospectus supplement. We have reserved the right to sell the securities directly to investors on our own behalf in those jurisdictions where we are authorized to do so. The sale of the securities may be effected in transactions (a) on any national or international securities exchange or quotation service on which the securities may be listed or quoted at the time of sale, (b) in the over-the-counter market, (c) in transactions otherwise than on such exchanges or in the over-the-counter market or (d) through the writing of options.</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Underwriters may offer and sell the securities at a fixed price or prices that may be changed, at market prices prevailing at the time of sale, at prices related to such prevailing market prices or at negotiated prices. They may offer the securities on an exchange, which will be disclosed in the applicable prospectus supplement. We may, from time to time, authorize dealers, acting as our agents, to offer and sell the securities, upon such terms and conditions as set forth in the applicable prospectus supplement. In connection with the sale of the securities, underwriters may receive compensation from us in the form of underwriting discounts or commissions and also may receive commissions from purchasers of the securities for whom they may act as agent. Underwriters may sell the securities to or through dealers, and such dealers may receive compensation in the form of discounts, concessions or commissions from the underwriters or commissions (which may be changed from time to time) from the purchasers for whom they may act as agents.</w:t>
      </w:r>
    </w:p>
    <w:p>
      <w:pPr>
        <w:spacing w:after="0" w:line="332"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Any underwriting compensation paid by ClearOne to underwriters or agents in connection with the offering of the securities, and any discounts, concessions or commissions allowed by underwriters to participating dealers, will be set forth in the applicable prospectus supplement. Dealers and agents participating in the distribution of the securities may be deemed to be underwriters, and any discounts and commissions received by them and any profit realized by them on resale of the securities may be deemed to be underwriting discounts and commissions under the Securities Act. Underwriters, dealers and agents may be entitled, under agreements entered into with ClearOne, to indemnification against and contribution towards certain civil liabilities, including any liabilities under the Securities Act.</w:t>
      </w:r>
    </w:p>
    <w:p>
      <w:pPr>
        <w:spacing w:after="0" w:line="333"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Until the distribution of the securities is completed, rules of the SEC may limit the ability of the underwriters to bid for and purchase the securities. As an exception to these rules, the underwriters are permitted to engage in certain transactions that stabilize the price of the securities. Such transactions consist of bids or purchases for the purpose of pegging, fixing or maintaining the price of the securities. If the underwriters create a short position in the securities in connection with the offering, i.e., if they sell more securities than are set forth on the cover page of the applicable prospectus supplement, the underwriters may reduce that short position by purchasing securities in the open market. The underwriters also may impose a penalty bid on certain underwriters. This means that if the underwriters purchase the securities in the open market to reduce the underwriters' short position or to stabilize the price of the securities, they may reclaim the amount of the selling concession from the underwriters who sold those securities as part of the offering. In general, purchases of a security for the purpose of stabilization or to reduce a short position could cause the price of the security to be higher than it might be in the absence of such purchases. The imposition of a penalty bid might also have an effect on the price of a security to the extent that it were to discourage resales of the security.</w:t>
      </w:r>
    </w:p>
    <w:p>
      <w:pPr>
        <w:spacing w:after="0" w:line="34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Other than the common stock, the securities issued hereunder may be new issues of securities with no established trading market. Any underwriters or agents to or through whom such securities are sold for public offering and sale may make a market in such securities, but such underwriters or agents will not be obligated to do so and may discontinue any market making at any time without notice. No assurance can be given as to the liquidity of the trading market for any such securities. The amount of expenses expected to be incurred by us in connection with any issuance of securities will be set forth in the prospectus supplement. Certain of the underwriters, dealers or agents and their associates may engage in transactions with, and perform services for, ClearOne and certain of our affiliates and in the ordinary course.</w:t>
      </w:r>
    </w:p>
    <w:p>
      <w:pPr>
        <w:spacing w:after="0" w:line="200" w:lineRule="exact"/>
        <w:rPr>
          <w:sz w:val="20"/>
          <w:szCs w:val="20"/>
          <w:color w:val="auto"/>
        </w:rPr>
      </w:pPr>
    </w:p>
    <w:p>
      <w:pPr>
        <w:spacing w:after="0" w:line="29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617" w:right="1440" w:bottom="1440" w:gutter="0" w:footer="0" w:header="0"/>
        </w:sectPr>
      </w:pPr>
    </w:p>
    <w:bookmarkStart w:id="38" w:name="page39"/>
    <w:bookmarkEnd w:id="38"/>
    <w:p>
      <w:pPr>
        <w:ind w:left="2280"/>
        <w:spacing w:after="0"/>
        <w:rPr>
          <w:sz w:val="20"/>
          <w:szCs w:val="20"/>
          <w:color w:val="auto"/>
        </w:rPr>
      </w:pPr>
      <w:r>
        <w:rPr>
          <w:rFonts w:ascii="Courier New" w:cs="Courier New" w:eastAsia="Courier New" w:hAnsi="Courier New"/>
          <w:sz w:val="15"/>
          <w:szCs w:val="15"/>
          <w:color w:val="auto"/>
        </w:rPr>
        <w:t>VALIDITY OF THE SECURITIES</w:t>
      </w:r>
    </w:p>
    <w:p>
      <w:pPr>
        <w:spacing w:after="0" w:line="341"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The validity of our common stock issued hereunder will be passed upon for ClearOne by Clyde Snow Sessions &amp; Swenson, PC. The validity of other securities issued hereunder will be passed upon for ClearOne by Shearman &amp; Sterling, Menlo Park, California.</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EXPERTS</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Ernst &amp; Young LLP, independent auditors, have audited our consolidated financial statements included in our Annual Report on Form 10-K for the year ended June 30, 2001, as set forth in their report, which is incorporated by reference in this prospectus. Our consolidated financial statements are incorporated by reference in reliance on Ernst &amp; Young LLP's report, given on their authority as experts in accounting and auditing.</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KPMG, Chartered Accountants, Dublin, Ireland, have audited the financial statements of Ivron Systems, Ltd. for the three years to December 31, 2000 included in ClearOne's Form 8-K/A filed with the SEC on November 23, 2001, which are incorporated by reference in this prospectus. Ivron Systems, Ltd.'s financial statements are incorporated by reference in reliance on KPMG, Chartered Accountants' report, given on their authority as experts in accounting and auditing.</w:t>
      </w:r>
    </w:p>
    <w:p>
      <w:pPr>
        <w:spacing w:after="0" w:line="176"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The financial statements incorporated in this prospectus by reference from the Annual Report on Form 10-KSB of E.mergent, Inc. for the year ended December 31, 2001, have been audited by Deloitte &amp; Touche LLP, independent auditors, as stated in their report, which is incorporated herein by reference, and has been so incorporated in reliance upon the report of such firm given upon their authority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617" w:right="1440" w:bottom="1440" w:gutter="0" w:footer="0" w:header="0"/>
        </w:sectPr>
      </w:pPr>
    </w:p>
    <w:bookmarkStart w:id="39" w:name="page40"/>
    <w:bookmarkEnd w:id="39"/>
    <w:p>
      <w:pPr>
        <w:ind w:left="1760"/>
        <w:spacing w:after="0"/>
        <w:rPr>
          <w:sz w:val="20"/>
          <w:szCs w:val="20"/>
          <w:color w:val="auto"/>
        </w:rPr>
      </w:pPr>
      <w:r>
        <w:rPr>
          <w:rFonts w:ascii="Courier New" w:cs="Courier New" w:eastAsia="Courier New" w:hAnsi="Courier New"/>
          <w:sz w:val="15"/>
          <w:szCs w:val="15"/>
          <w:color w:val="auto"/>
        </w:rPr>
        <w:t>SUBJECT TO COMPLETON, DATED JULY 22, 2002</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PROSPECTUS</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CLEARONE COMMUNICATIONS, INC.</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[LOGO]</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We may offer and sell, from time to time, in one or more offerings, the common stock described in this prospectus, for an aggregate offering price of up to $100,000,000. Certain selling stockholders may also offer and sell up to 1,000,000 shares of our common stock from time to time, in one or more offerings, pursuant to this prospectus. We will not receive any proceeds from the sale of our common stock by the selling stockholders.</w:t>
      </w:r>
    </w:p>
    <w:p>
      <w:pPr>
        <w:spacing w:after="0" w:line="175" w:lineRule="exact"/>
        <w:rPr>
          <w:sz w:val="20"/>
          <w:szCs w:val="20"/>
          <w:color w:val="auto"/>
        </w:rPr>
      </w:pPr>
    </w:p>
    <w:p>
      <w:pPr>
        <w:ind w:right="3759" w:firstLine="787"/>
        <w:spacing w:after="0" w:line="235" w:lineRule="auto"/>
        <w:rPr>
          <w:sz w:val="20"/>
          <w:szCs w:val="20"/>
          <w:color w:val="auto"/>
        </w:rPr>
      </w:pPr>
      <w:r>
        <w:rPr>
          <w:rFonts w:ascii="Courier New" w:cs="Courier New" w:eastAsia="Courier New" w:hAnsi="Courier New"/>
          <w:sz w:val="15"/>
          <w:szCs w:val="15"/>
          <w:color w:val="auto"/>
        </w:rPr>
        <w:t>This prospectus may not be used to sell our common stock unless accompanied by a prospectus supplement. We urge you to read carefully this prospectus and the accompanying prospectus supplement before you make your investment decision.</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Our common stock trades on the Nasdaq National Market under the symbol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"CLRO".</w:t>
      </w:r>
    </w:p>
    <w:p>
      <w:pPr>
        <w:spacing w:after="0" w:line="173" w:lineRule="exact"/>
        <w:rPr>
          <w:sz w:val="20"/>
          <w:szCs w:val="20"/>
          <w:color w:val="auto"/>
        </w:rPr>
      </w:pPr>
    </w:p>
    <w:p>
      <w:pPr>
        <w:ind w:right="3579" w:firstLine="787"/>
        <w:spacing w:after="0" w:line="235" w:lineRule="auto"/>
        <w:rPr>
          <w:sz w:val="20"/>
          <w:szCs w:val="20"/>
          <w:color w:val="auto"/>
        </w:rPr>
      </w:pPr>
      <w:r>
        <w:rPr>
          <w:rFonts w:ascii="Courier New" w:cs="Courier New" w:eastAsia="Courier New" w:hAnsi="Courier New"/>
          <w:sz w:val="15"/>
          <w:szCs w:val="15"/>
          <w:color w:val="auto"/>
        </w:rPr>
        <w:t>Investing in our common stock involves risks. You should carefully consider the risk factors set forth in the applicable supplement to this prospectus before investing in any securities that may be offered. See "Risk Factors" beginning on page 3.</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Neither the Securities and Exchange Commission nor any other regulatory body has approved or disapproved of these securities or passed upon the adequacy or accuracy of this prospectus. Any representation to the contrary is a criminal offense.</w:t>
      </w:r>
    </w:p>
    <w:p>
      <w:pPr>
        <w:spacing w:after="0" w:line="169"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The date of this prospectus is July 22,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617" w:right="1440"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70"/>
        </w:trPr>
        <w:tc>
          <w:tcPr>
            <w:tcW w:w="6560" w:type="dxa"/>
            <w:vAlign w:val="bottom"/>
          </w:tcPr>
          <w:p>
            <w:pPr>
              <w:jc w:val="right"/>
              <w:ind w:right="2187"/>
              <w:spacing w:after="0"/>
              <w:rPr>
                <w:sz w:val="20"/>
                <w:szCs w:val="20"/>
                <w:color w:val="auto"/>
              </w:rPr>
            </w:pPr>
            <w:r>
              <w:rPr>
                <w:rFonts w:ascii="Courier New" w:cs="Courier New" w:eastAsia="Courier New" w:hAnsi="Courier New"/>
                <w:sz w:val="15"/>
                <w:szCs w:val="15"/>
                <w:color w:val="auto"/>
              </w:rPr>
              <w:t>TABLE OF CONTENTS</w:t>
            </w:r>
          </w:p>
        </w:tc>
        <w:tc>
          <w:tcPr>
            <w:tcW w:w="360" w:type="dxa"/>
            <w:vAlign w:val="bottom"/>
          </w:tcPr>
          <w:p>
            <w:pPr>
              <w:spacing w:after="0"/>
              <w:rPr>
                <w:sz w:val="14"/>
                <w:szCs w:val="14"/>
                <w:color w:val="auto"/>
              </w:rPr>
            </w:pPr>
          </w:p>
        </w:tc>
      </w:tr>
      <w:tr>
        <w:trPr>
          <w:trHeight w:val="336"/>
        </w:trPr>
        <w:tc>
          <w:tcPr>
            <w:tcW w:w="656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Page</w:t>
            </w:r>
          </w:p>
        </w:tc>
      </w:tr>
      <w:tr>
        <w:trPr>
          <w:trHeight w:val="168"/>
        </w:trPr>
        <w:tc>
          <w:tcPr>
            <w:tcW w:w="6560" w:type="dxa"/>
            <w:vAlign w:val="bottom"/>
          </w:tcPr>
          <w:p>
            <w:pPr>
              <w:spacing w:after="0"/>
              <w:rPr>
                <w:sz w:val="14"/>
                <w:szCs w:val="14"/>
                <w:color w:val="auto"/>
              </w:rPr>
            </w:pPr>
          </w:p>
        </w:tc>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6560" w:type="dxa"/>
            <w:vAlign w:val="bottom"/>
          </w:tcPr>
          <w:p>
            <w:pPr>
              <w:spacing w:after="0"/>
              <w:rPr>
                <w:sz w:val="20"/>
                <w:szCs w:val="20"/>
                <w:color w:val="auto"/>
              </w:rPr>
            </w:pPr>
            <w:r>
              <w:rPr>
                <w:rFonts w:ascii="Courier New" w:cs="Courier New" w:eastAsia="Courier New" w:hAnsi="Courier New"/>
                <w:sz w:val="15"/>
                <w:szCs w:val="15"/>
                <w:color w:val="auto"/>
                <w:w w:val="95"/>
              </w:rPr>
              <w:t>About This Prospectus.......................................................</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1</w:t>
            </w:r>
          </w:p>
        </w:tc>
      </w:tr>
      <w:tr>
        <w:trPr>
          <w:trHeight w:val="336"/>
        </w:trPr>
        <w:tc>
          <w:tcPr>
            <w:tcW w:w="6560" w:type="dxa"/>
            <w:vAlign w:val="bottom"/>
          </w:tcPr>
          <w:p>
            <w:pPr>
              <w:spacing w:after="0"/>
              <w:rPr>
                <w:sz w:val="20"/>
                <w:szCs w:val="20"/>
                <w:color w:val="auto"/>
              </w:rPr>
            </w:pPr>
            <w:r>
              <w:rPr>
                <w:rFonts w:ascii="Courier New" w:cs="Courier New" w:eastAsia="Courier New" w:hAnsi="Courier New"/>
                <w:sz w:val="15"/>
                <w:szCs w:val="15"/>
                <w:color w:val="auto"/>
                <w:w w:val="95"/>
              </w:rPr>
              <w:t>Where You Can Find More Information.........................................</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1</w:t>
            </w:r>
          </w:p>
        </w:tc>
      </w:tr>
      <w:tr>
        <w:trPr>
          <w:trHeight w:val="336"/>
        </w:trPr>
        <w:tc>
          <w:tcPr>
            <w:tcW w:w="6560" w:type="dxa"/>
            <w:vAlign w:val="bottom"/>
          </w:tcPr>
          <w:p>
            <w:pPr>
              <w:spacing w:after="0"/>
              <w:rPr>
                <w:sz w:val="20"/>
                <w:szCs w:val="20"/>
                <w:color w:val="auto"/>
              </w:rPr>
            </w:pPr>
            <w:r>
              <w:rPr>
                <w:rFonts w:ascii="Courier New" w:cs="Courier New" w:eastAsia="Courier New" w:hAnsi="Courier New"/>
                <w:sz w:val="15"/>
                <w:szCs w:val="15"/>
                <w:color w:val="auto"/>
                <w:w w:val="95"/>
              </w:rPr>
              <w:t>Forward-Looking Statements..................................................</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2</w:t>
            </w:r>
          </w:p>
        </w:tc>
      </w:tr>
      <w:tr>
        <w:trPr>
          <w:trHeight w:val="336"/>
        </w:trPr>
        <w:tc>
          <w:tcPr>
            <w:tcW w:w="6560" w:type="dxa"/>
            <w:vAlign w:val="bottom"/>
          </w:tcPr>
          <w:p>
            <w:pPr>
              <w:spacing w:after="0"/>
              <w:rPr>
                <w:sz w:val="20"/>
                <w:szCs w:val="20"/>
                <w:color w:val="auto"/>
              </w:rPr>
            </w:pPr>
            <w:r>
              <w:rPr>
                <w:rFonts w:ascii="Courier New" w:cs="Courier New" w:eastAsia="Courier New" w:hAnsi="Courier New"/>
                <w:sz w:val="15"/>
                <w:szCs w:val="15"/>
                <w:color w:val="auto"/>
                <w:w w:val="95"/>
              </w:rPr>
              <w:t>ClearOne Communications, Inc................................................</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3</w:t>
            </w:r>
          </w:p>
        </w:tc>
      </w:tr>
      <w:tr>
        <w:trPr>
          <w:trHeight w:val="336"/>
        </w:trPr>
        <w:tc>
          <w:tcPr>
            <w:tcW w:w="6560" w:type="dxa"/>
            <w:vAlign w:val="bottom"/>
          </w:tcPr>
          <w:p>
            <w:pPr>
              <w:spacing w:after="0"/>
              <w:rPr>
                <w:sz w:val="20"/>
                <w:szCs w:val="20"/>
                <w:color w:val="auto"/>
              </w:rPr>
            </w:pPr>
            <w:r>
              <w:rPr>
                <w:rFonts w:ascii="Courier New" w:cs="Courier New" w:eastAsia="Courier New" w:hAnsi="Courier New"/>
                <w:sz w:val="15"/>
                <w:szCs w:val="15"/>
                <w:color w:val="auto"/>
                <w:w w:val="95"/>
              </w:rPr>
              <w:t>Risk Factors................................................................</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3</w:t>
            </w:r>
          </w:p>
        </w:tc>
      </w:tr>
      <w:tr>
        <w:trPr>
          <w:trHeight w:val="336"/>
        </w:trPr>
        <w:tc>
          <w:tcPr>
            <w:tcW w:w="6560" w:type="dxa"/>
            <w:vAlign w:val="bottom"/>
          </w:tcPr>
          <w:p>
            <w:pPr>
              <w:spacing w:after="0"/>
              <w:rPr>
                <w:sz w:val="20"/>
                <w:szCs w:val="20"/>
                <w:color w:val="auto"/>
              </w:rPr>
            </w:pPr>
            <w:r>
              <w:rPr>
                <w:rFonts w:ascii="Courier New" w:cs="Courier New" w:eastAsia="Courier New" w:hAnsi="Courier New"/>
                <w:sz w:val="15"/>
                <w:szCs w:val="15"/>
                <w:color w:val="auto"/>
                <w:w w:val="95"/>
              </w:rPr>
              <w:t>Use Of Proceeds.............................................................</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3</w:t>
            </w:r>
          </w:p>
        </w:tc>
      </w:tr>
      <w:tr>
        <w:trPr>
          <w:trHeight w:val="336"/>
        </w:trPr>
        <w:tc>
          <w:tcPr>
            <w:tcW w:w="6560" w:type="dxa"/>
            <w:vAlign w:val="bottom"/>
          </w:tcPr>
          <w:p>
            <w:pPr>
              <w:spacing w:after="0"/>
              <w:rPr>
                <w:sz w:val="20"/>
                <w:szCs w:val="20"/>
                <w:color w:val="auto"/>
              </w:rPr>
            </w:pPr>
            <w:r>
              <w:rPr>
                <w:rFonts w:ascii="Courier New" w:cs="Courier New" w:eastAsia="Courier New" w:hAnsi="Courier New"/>
                <w:sz w:val="15"/>
                <w:szCs w:val="15"/>
                <w:color w:val="auto"/>
                <w:w w:val="95"/>
              </w:rPr>
              <w:t>Unaudited Pro Forma Condensed Combined Financial Information................</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4</w:t>
            </w:r>
          </w:p>
        </w:tc>
      </w:tr>
      <w:tr>
        <w:trPr>
          <w:trHeight w:val="336"/>
        </w:trPr>
        <w:tc>
          <w:tcPr>
            <w:tcW w:w="6560" w:type="dxa"/>
            <w:vAlign w:val="bottom"/>
          </w:tcPr>
          <w:p>
            <w:pPr>
              <w:spacing w:after="0"/>
              <w:rPr>
                <w:sz w:val="20"/>
                <w:szCs w:val="20"/>
                <w:color w:val="auto"/>
              </w:rPr>
            </w:pPr>
            <w:r>
              <w:rPr>
                <w:rFonts w:ascii="Courier New" w:cs="Courier New" w:eastAsia="Courier New" w:hAnsi="Courier New"/>
                <w:sz w:val="15"/>
                <w:szCs w:val="15"/>
                <w:color w:val="auto"/>
                <w:w w:val="95"/>
              </w:rPr>
              <w:t>Description Of Our Common Stock.............................................</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11</w:t>
            </w:r>
          </w:p>
        </w:tc>
      </w:tr>
      <w:tr>
        <w:trPr>
          <w:trHeight w:val="336"/>
        </w:trPr>
        <w:tc>
          <w:tcPr>
            <w:tcW w:w="6560" w:type="dxa"/>
            <w:vAlign w:val="bottom"/>
          </w:tcPr>
          <w:p>
            <w:pPr>
              <w:spacing w:after="0"/>
              <w:rPr>
                <w:sz w:val="20"/>
                <w:szCs w:val="20"/>
                <w:color w:val="auto"/>
              </w:rPr>
            </w:pPr>
            <w:r>
              <w:rPr>
                <w:rFonts w:ascii="Courier New" w:cs="Courier New" w:eastAsia="Courier New" w:hAnsi="Courier New"/>
                <w:sz w:val="15"/>
                <w:szCs w:val="15"/>
                <w:color w:val="auto"/>
                <w:w w:val="95"/>
              </w:rPr>
              <w:t>Selling Stockholders........................................................</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14</w:t>
            </w:r>
          </w:p>
        </w:tc>
      </w:tr>
      <w:tr>
        <w:trPr>
          <w:trHeight w:val="336"/>
        </w:trPr>
        <w:tc>
          <w:tcPr>
            <w:tcW w:w="6560" w:type="dxa"/>
            <w:vAlign w:val="bottom"/>
          </w:tcPr>
          <w:p>
            <w:pPr>
              <w:spacing w:after="0"/>
              <w:rPr>
                <w:sz w:val="20"/>
                <w:szCs w:val="20"/>
                <w:color w:val="auto"/>
              </w:rPr>
            </w:pPr>
            <w:r>
              <w:rPr>
                <w:rFonts w:ascii="Courier New" w:cs="Courier New" w:eastAsia="Courier New" w:hAnsi="Courier New"/>
                <w:sz w:val="15"/>
                <w:szCs w:val="15"/>
                <w:color w:val="auto"/>
                <w:w w:val="95"/>
              </w:rPr>
              <w:t>Plan Of Distribution........................................................</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15</w:t>
            </w:r>
          </w:p>
        </w:tc>
      </w:tr>
      <w:tr>
        <w:trPr>
          <w:trHeight w:val="336"/>
        </w:trPr>
        <w:tc>
          <w:tcPr>
            <w:tcW w:w="6560" w:type="dxa"/>
            <w:vAlign w:val="bottom"/>
          </w:tcPr>
          <w:p>
            <w:pPr>
              <w:spacing w:after="0"/>
              <w:rPr>
                <w:sz w:val="20"/>
                <w:szCs w:val="20"/>
                <w:color w:val="auto"/>
              </w:rPr>
            </w:pPr>
            <w:r>
              <w:rPr>
                <w:rFonts w:ascii="Courier New" w:cs="Courier New" w:eastAsia="Courier New" w:hAnsi="Courier New"/>
                <w:sz w:val="15"/>
                <w:szCs w:val="15"/>
                <w:color w:val="auto"/>
                <w:w w:val="95"/>
              </w:rPr>
              <w:t>Validity Of The Securities..................................................</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16</w:t>
            </w:r>
          </w:p>
        </w:tc>
      </w:tr>
      <w:tr>
        <w:trPr>
          <w:trHeight w:val="336"/>
        </w:trPr>
        <w:tc>
          <w:tcPr>
            <w:tcW w:w="6560" w:type="dxa"/>
            <w:vAlign w:val="bottom"/>
          </w:tcPr>
          <w:p>
            <w:pPr>
              <w:spacing w:after="0"/>
              <w:rPr>
                <w:sz w:val="20"/>
                <w:szCs w:val="20"/>
                <w:color w:val="auto"/>
              </w:rPr>
            </w:pPr>
            <w:r>
              <w:rPr>
                <w:rFonts w:ascii="Courier New" w:cs="Courier New" w:eastAsia="Courier New" w:hAnsi="Courier New"/>
                <w:sz w:val="15"/>
                <w:szCs w:val="15"/>
                <w:color w:val="auto"/>
                <w:w w:val="95"/>
              </w:rPr>
              <w:t>Experts.....................................................................</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16</w:t>
            </w:r>
          </w:p>
        </w:tc>
      </w:tr>
      <w:tr>
        <w:trPr>
          <w:trHeight w:val="336"/>
        </w:trPr>
        <w:tc>
          <w:tcPr>
            <w:tcW w:w="6560" w:type="dxa"/>
            <w:vAlign w:val="bottom"/>
          </w:tcPr>
          <w:p>
            <w:pPr>
              <w:jc w:val="right"/>
              <w:ind w:right="21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r>
    </w:tbl>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You should rely only on the information contained or incorporated by reference in this prospectus and any prospectus supplement. We have not authorized anyone else to provide you with different information. If anyone provides you with different or inconsistent information, you should not rely on it. We are offering to sell securities and soliciting offers to buy securities only in jurisdictions where offers and sales are permitted. You should assume that the information appearing in this prospectus and information incorporated by reference into this prospectus, is accurate only as of the date of the documents containing the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39"/>
          </w:cols>
          <w:pgMar w:left="220" w:top="617" w:right="1440" w:bottom="1440" w:gutter="0" w:footer="0" w:header="0"/>
        </w:sectPr>
      </w:pPr>
    </w:p>
    <w:bookmarkStart w:id="41" w:name="page42"/>
    <w:bookmarkEnd w:id="41"/>
    <w:p>
      <w:pPr>
        <w:ind w:left="2640"/>
        <w:spacing w:after="0"/>
        <w:rPr>
          <w:sz w:val="20"/>
          <w:szCs w:val="20"/>
          <w:color w:val="auto"/>
        </w:rPr>
      </w:pPr>
      <w:r>
        <w:rPr>
          <w:rFonts w:ascii="Courier New" w:cs="Courier New" w:eastAsia="Courier New" w:hAnsi="Courier New"/>
          <w:sz w:val="15"/>
          <w:szCs w:val="15"/>
          <w:color w:val="auto"/>
        </w:rPr>
        <w:t>ABOUT THIS PROSPECTUS</w:t>
      </w:r>
    </w:p>
    <w:p>
      <w:pPr>
        <w:spacing w:after="0" w:line="341"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This prospectus is part of a registration statement that we filed with the Securities and Exchange Commission, or the SEC, using the SEC's shelf registration rules. Under the shelf registration rules, using this prospectus, together with a prospectus supplement, we may sell from time to time, in one or more offerings, up to $100,000,000 of our common stock. The selling stockholders may sell up to 1,000,000 shares of our common stock.</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In this Prospectus we use the terms "ClearOne", "we", "us", and "our"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refer to ClearOne Communications, Inc., a Utah Corporation.</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This prospectus provides you with a general description of the common stock that we and the selling stockholders may sell. Each time we sell common stock under this prospectus, we will provide a prospectus supplement that will contain specific information about the terms of that offering. The prospectus supplement may also add, update or change information contained in this prospectus. If so, the prospectus supplement should be read as superseding this prospectus. You should read this prospectus, the applicable prospectus supplement and the additional information described below under "Where You Can Find More Information."</w:t>
      </w:r>
    </w:p>
    <w:p>
      <w:pPr>
        <w:spacing w:after="0" w:line="340"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341"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We file annual, quarterly and special reports, proxy statements and other information with the SEC. You may read and copy any reports, statements or other information we file with the SEC at its public reference room at 450 Fifth Street, N.W., Washington, D.C. 20549. Please call the SEC at 1-800-SEC-0330 for further information on the public reference room. Our filings are also available to the public on the Internet, through a database maintained by the SEC at http://www.sec.gov.</w:t>
      </w:r>
    </w:p>
    <w:p>
      <w:pPr>
        <w:spacing w:after="0" w:line="176"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We filed a registration statement on Form S-3 to register with the SEC the securities described in this prospectus. This prospectus is part of that registration statement. As permitted by SEC rules, this prospectus does not contain all the information contained in the registration statement or the exhibits to the registration statement. You may refer to the registration statement and accompanying exhibits for more information about us and our securities.</w:t>
      </w:r>
    </w:p>
    <w:p>
      <w:pPr>
        <w:spacing w:after="0" w:line="176"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The SEC allows us to incorporate by reference into this document the information we or other persons have filed, or will file, with the SEC. This means that we can disclose important business, financial and other information to you by referring you to other documents separately filed with the SEC. All information incorporated by reference is part of this document, unless and until that information is updated and superseded by the information contained in this document or any information incorporated later.</w:t>
      </w:r>
    </w:p>
    <w:p>
      <w:pPr>
        <w:spacing w:after="0" w:line="16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We incorporate by reference the documents listed below:</w:t>
      </w:r>
    </w:p>
    <w:p>
      <w:pPr>
        <w:spacing w:after="0" w:line="173" w:lineRule="exact"/>
        <w:rPr>
          <w:sz w:val="20"/>
          <w:szCs w:val="20"/>
          <w:color w:val="auto"/>
        </w:rPr>
      </w:pPr>
    </w:p>
    <w:p>
      <w:pPr>
        <w:ind w:left="1400" w:right="3399" w:hanging="603"/>
        <w:spacing w:after="0" w:line="256" w:lineRule="auto"/>
        <w:tabs>
          <w:tab w:leader="none" w:pos="140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current reports on Form 8-K filed on October 18, 2001, as amended on Forms 8-K/A filed on November 23, 2001, Form 8-K filed on February 1, 2002, February 6, 2002, March 21, 2002, April 10, 2002, April 23, 2002, May 29, 2002 and June 5, 2002;</w:t>
      </w:r>
    </w:p>
    <w:p>
      <w:pPr>
        <w:spacing w:after="0" w:line="164" w:lineRule="exact"/>
        <w:rPr>
          <w:rFonts w:ascii="Courier New" w:cs="Courier New" w:eastAsia="Courier New" w:hAnsi="Courier New"/>
          <w:sz w:val="14"/>
          <w:szCs w:val="14"/>
          <w:color w:val="auto"/>
        </w:rPr>
      </w:pPr>
    </w:p>
    <w:p>
      <w:pPr>
        <w:ind w:left="1400" w:right="3499" w:hanging="603"/>
        <w:spacing w:after="0" w:line="234" w:lineRule="auto"/>
        <w:tabs>
          <w:tab w:leader="none" w:pos="140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annual report on Form 10-K for the fiscal year ended June 30, 2001;</w:t>
      </w:r>
    </w:p>
    <w:p>
      <w:pPr>
        <w:spacing w:after="0" w:line="173" w:lineRule="exact"/>
        <w:rPr>
          <w:rFonts w:ascii="Courier New" w:cs="Courier New" w:eastAsia="Courier New" w:hAnsi="Courier New"/>
          <w:sz w:val="15"/>
          <w:szCs w:val="15"/>
          <w:color w:val="auto"/>
        </w:rPr>
      </w:pPr>
    </w:p>
    <w:p>
      <w:pPr>
        <w:ind w:left="1400" w:right="3239" w:hanging="603"/>
        <w:spacing w:after="0" w:line="261" w:lineRule="auto"/>
        <w:tabs>
          <w:tab w:leader="none" w:pos="140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quarterly reports on Form 10-Q for the fiscal quarters ended September 30, 2001, December 31, 2001 and March 31, 2002;</w:t>
      </w:r>
    </w:p>
    <w:p>
      <w:pPr>
        <w:spacing w:after="0" w:line="159" w:lineRule="exact"/>
        <w:rPr>
          <w:rFonts w:ascii="Courier New" w:cs="Courier New" w:eastAsia="Courier New" w:hAnsi="Courier New"/>
          <w:sz w:val="14"/>
          <w:szCs w:val="14"/>
          <w:color w:val="auto"/>
        </w:rPr>
      </w:pPr>
    </w:p>
    <w:p>
      <w:pPr>
        <w:ind w:left="1400" w:right="3399" w:hanging="603"/>
        <w:spacing w:after="0" w:line="256" w:lineRule="auto"/>
        <w:tabs>
          <w:tab w:leader="none" w:pos="140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description of our common stock contained in our registration statement on Form 10 filed pursuant to Section 12 of the Securities Exchange Act of 1934 on October 4, 1988 as amended on Form 8 on January 5, 1989 and February 15, 1989;</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617" w:right="1440" w:bottom="1440" w:gutter="0" w:footer="0" w:header="0"/>
        </w:sectPr>
      </w:pPr>
    </w:p>
    <w:bookmarkStart w:id="42" w:name="page43"/>
    <w:bookmarkEnd w:id="42"/>
    <w:p>
      <w:pPr>
        <w:ind w:left="1400" w:right="3399" w:hanging="603"/>
        <w:spacing w:after="0" w:line="236" w:lineRule="auto"/>
        <w:tabs>
          <w:tab w:leader="none" w:pos="140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section entitled "Management's Discussion and Analysis of Financial Condition and Results of Operations" and the audited financial statements of E.mergent contained in E.mergent's annual report on E.mergent's Form 10-KSB for the fiscal year ended December 31, 2001; and</w:t>
      </w:r>
    </w:p>
    <w:p>
      <w:pPr>
        <w:spacing w:after="0" w:line="173" w:lineRule="exact"/>
        <w:rPr>
          <w:rFonts w:ascii="Courier New" w:cs="Courier New" w:eastAsia="Courier New" w:hAnsi="Courier New"/>
          <w:sz w:val="15"/>
          <w:szCs w:val="15"/>
          <w:color w:val="auto"/>
        </w:rPr>
      </w:pPr>
    </w:p>
    <w:p>
      <w:pPr>
        <w:ind w:left="1400" w:right="3239" w:hanging="603"/>
        <w:spacing w:after="0" w:line="236" w:lineRule="auto"/>
        <w:tabs>
          <w:tab w:leader="none" w:pos="140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section entitled "Management's Discussion and Analysis of Financial Condition and Results of Operations" and the financial statements of E.mergent contained in E.mergent's quarterly report on E.mergent's Form 10-QSB for the fiscal quarter ended March 31, 2002.</w:t>
      </w:r>
    </w:p>
    <w:p>
      <w:pPr>
        <w:spacing w:after="0" w:line="174" w:lineRule="exact"/>
        <w:rPr>
          <w:sz w:val="20"/>
          <w:szCs w:val="20"/>
          <w:color w:val="auto"/>
        </w:rPr>
      </w:pPr>
    </w:p>
    <w:p>
      <w:pPr>
        <w:ind w:right="3679" w:firstLine="787"/>
        <w:spacing w:after="0" w:line="261" w:lineRule="auto"/>
        <w:rPr>
          <w:sz w:val="20"/>
          <w:szCs w:val="20"/>
          <w:color w:val="auto"/>
        </w:rPr>
      </w:pPr>
      <w:r>
        <w:rPr>
          <w:rFonts w:ascii="Courier New" w:cs="Courier New" w:eastAsia="Courier New" w:hAnsi="Courier New"/>
          <w:sz w:val="14"/>
          <w:szCs w:val="14"/>
          <w:color w:val="auto"/>
        </w:rPr>
        <w:t>You may request a copy of these filings, at no cost, by writing or telephoning our Investor Relations Department at the following address:</w:t>
      </w:r>
    </w:p>
    <w:p>
      <w:pPr>
        <w:spacing w:after="0" w:line="15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ClearOne Communications, Inc.</w:t>
      </w:r>
    </w:p>
    <w:p>
      <w:pPr>
        <w:ind w:left="800"/>
        <w:spacing w:after="0" w:line="237" w:lineRule="auto"/>
        <w:rPr>
          <w:sz w:val="20"/>
          <w:szCs w:val="20"/>
          <w:color w:val="auto"/>
        </w:rPr>
      </w:pPr>
      <w:r>
        <w:rPr>
          <w:rFonts w:ascii="Courier New" w:cs="Courier New" w:eastAsia="Courier New" w:hAnsi="Courier New"/>
          <w:sz w:val="15"/>
          <w:szCs w:val="15"/>
          <w:color w:val="auto"/>
        </w:rPr>
        <w:t>1825 Research Way</w:t>
      </w:r>
    </w:p>
    <w:p>
      <w:pPr>
        <w:ind w:left="800"/>
        <w:spacing w:after="0" w:line="238" w:lineRule="auto"/>
        <w:rPr>
          <w:sz w:val="20"/>
          <w:szCs w:val="20"/>
          <w:color w:val="auto"/>
        </w:rPr>
      </w:pPr>
      <w:r>
        <w:rPr>
          <w:rFonts w:ascii="Courier New" w:cs="Courier New" w:eastAsia="Courier New" w:hAnsi="Courier New"/>
          <w:sz w:val="15"/>
          <w:szCs w:val="15"/>
          <w:color w:val="auto"/>
        </w:rPr>
        <w:t>Salt Lake City, Utah 84119</w:t>
      </w:r>
    </w:p>
    <w:p>
      <w:pPr>
        <w:ind w:left="800"/>
        <w:spacing w:after="0" w:line="237" w:lineRule="auto"/>
        <w:rPr>
          <w:sz w:val="20"/>
          <w:szCs w:val="20"/>
          <w:color w:val="auto"/>
        </w:rPr>
      </w:pPr>
      <w:r>
        <w:rPr>
          <w:rFonts w:ascii="Courier New" w:cs="Courier New" w:eastAsia="Courier New" w:hAnsi="Courier New"/>
          <w:sz w:val="15"/>
          <w:szCs w:val="15"/>
          <w:color w:val="auto"/>
        </w:rPr>
        <w:t>Attention: Investor Relations</w:t>
      </w:r>
    </w:p>
    <w:p>
      <w:pPr>
        <w:ind w:left="800"/>
        <w:spacing w:after="0" w:line="238" w:lineRule="auto"/>
        <w:rPr>
          <w:sz w:val="20"/>
          <w:szCs w:val="20"/>
          <w:color w:val="auto"/>
        </w:rPr>
      </w:pPr>
      <w:r>
        <w:rPr>
          <w:rFonts w:ascii="Courier New" w:cs="Courier New" w:eastAsia="Courier New" w:hAnsi="Courier New"/>
          <w:sz w:val="15"/>
          <w:szCs w:val="15"/>
          <w:color w:val="auto"/>
        </w:rPr>
        <w:t>(801) 975-7200</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We also incorporate by reference all future filings we make with the SEC under Sections 13(a), 13(c), 14 or 15(d) of the Securities and Exchange Act of 1934 on or (1) after the date of the filing of the registration statement containing this prospectus and prior to the effectiveness of such registration statement and (2) after the date of this prospectus and prior to the termination of the offering made hereby.</w:t>
      </w:r>
    </w:p>
    <w:p>
      <w:pPr>
        <w:spacing w:after="0" w:line="17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You should only rely on the information contained or incorporated by reference in this prospectus and any prospectus supplement. We have not authorized any other person to provide you with different information. If anyone provides you with different or inconsistent information you should not rely on it. We are not making an offer to sell these securities in any jurisdiction where the offer and sale is not permitted. You should assume that the information appearing in this prospectus and information incorporated by reference into this prospectus is accurate only as of the date of the documents containing the information. Our business, financial condition, results of operation and prospects may have changed since that date.</w:t>
      </w:r>
    </w:p>
    <w:p>
      <w:pPr>
        <w:spacing w:after="0" w:line="327"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FORWARD-LOOKING STATEMENTS</w:t>
      </w:r>
    </w:p>
    <w:p>
      <w:pPr>
        <w:spacing w:after="0" w:line="341"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Some statements and disclosures in this prospectus, including the documents incorporated by reference, are forward-looking statements. Forward-looking statements include all statements that do not relate solely to historical or current facts and can often be identified by the use of words such as "may," "believe," "will," "expect," "project," "estimate," "anticipate," "plan" or "continue." These forward-looking statements are based on our current plans and expectations and are subject to a number of risks and uncertainties that could significantly cause our plans and expectations, including actual results, to differ materially from the forward-looking statements. The Private Securities Litigation Reform Act of 1995 provides a "safe harbor" for forward-looking statements to encourage companies to provide prospective information about their companies without fear of litigation.</w:t>
      </w:r>
    </w:p>
    <w:p>
      <w:pPr>
        <w:spacing w:after="0" w:line="16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We wish to take advantage of the "safe harbor" provisions of the Litigation Reform Act in connection with the forward-looking statements included in this prospectus, including the documents incorporated by reference. Investors are cautioned not to unduly rely on such forward-looking statements when evaluating the information presented in these documents. The factors that could cause our actual financial results to differ materially from those projected, forecasted or estimated by us in forward-looking statements are contained in the Forms 8-K, 10-K and 10-Q that we filed and Forms 10-KSB and 10-QSB that E.mergent filed. In addition, they will also be contained in the prospectus supplement.</w:t>
      </w:r>
    </w:p>
    <w:p>
      <w:pPr>
        <w:spacing w:after="0" w:line="200" w:lineRule="exact"/>
        <w:rPr>
          <w:sz w:val="20"/>
          <w:szCs w:val="20"/>
          <w:color w:val="auto"/>
        </w:rPr>
      </w:pP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4" w:right="1440" w:bottom="1440" w:gutter="0" w:footer="0" w:header="0"/>
        </w:sectPr>
      </w:pPr>
    </w:p>
    <w:bookmarkStart w:id="43" w:name="page44"/>
    <w:bookmarkEnd w:id="43"/>
    <w:p>
      <w:pPr>
        <w:ind w:left="2280"/>
        <w:spacing w:after="0"/>
        <w:rPr>
          <w:sz w:val="20"/>
          <w:szCs w:val="20"/>
          <w:color w:val="auto"/>
        </w:rPr>
      </w:pPr>
      <w:r>
        <w:rPr>
          <w:rFonts w:ascii="Courier New" w:cs="Courier New" w:eastAsia="Courier New" w:hAnsi="Courier New"/>
          <w:sz w:val="15"/>
          <w:szCs w:val="15"/>
          <w:color w:val="auto"/>
        </w:rPr>
        <w:t>CLEARONE COMMUNICATIONS, INC.</w:t>
      </w:r>
    </w:p>
    <w:p>
      <w:pPr>
        <w:spacing w:after="0" w:line="341"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We are a provider of multimedia conferencing products and service. Our product offerings include audio and video conferencing systems, peripherals and furniture and our services include a full suite of audio, video and data conferencing services, and business services such as training, field support, help desk and rent-a-tech.</w:t>
      </w:r>
    </w:p>
    <w:p>
      <w:pPr>
        <w:spacing w:after="0" w:line="174"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Our audio and video conferencing products are installed in conference rooms, courtrooms and distance learning facilities. Our sound reinforcement products target larger venues such as hotels, theaters, convention centers and houses of worship. Our products, together with our full suite of services, provide a solution to our customers who want to bring geographically dispersed people together.</w:t>
      </w:r>
    </w:p>
    <w:p>
      <w:pPr>
        <w:spacing w:after="0" w:line="175" w:lineRule="exact"/>
        <w:rPr>
          <w:sz w:val="20"/>
          <w:szCs w:val="20"/>
          <w:color w:val="auto"/>
        </w:rPr>
      </w:pPr>
    </w:p>
    <w:p>
      <w:pPr>
        <w:ind w:right="3399" w:firstLine="787"/>
        <w:spacing w:after="0" w:line="258" w:lineRule="auto"/>
        <w:rPr>
          <w:sz w:val="20"/>
          <w:szCs w:val="20"/>
          <w:color w:val="auto"/>
        </w:rPr>
      </w:pPr>
      <w:r>
        <w:rPr>
          <w:rFonts w:ascii="Courier New" w:cs="Courier New" w:eastAsia="Courier New" w:hAnsi="Courier New"/>
          <w:sz w:val="14"/>
          <w:szCs w:val="14"/>
          <w:color w:val="auto"/>
        </w:rPr>
        <w:t>Our principal office is located at 1825 Research Way, Salt lake City, UT 84119, our telephone number is (801) 975-7200. We have subsidiaries in Minneapolis, Minnesota; Dublin, Ireland; and Nuremberg, Germany.</w:t>
      </w:r>
    </w:p>
    <w:p>
      <w:pPr>
        <w:spacing w:after="0" w:line="32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RISK FACTORS</w:t>
      </w:r>
    </w:p>
    <w:p>
      <w:pPr>
        <w:spacing w:after="0" w:line="341"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The securities to be offered may involve a high degree of risk. These risks will be set forth in a prospectus supplement relating to the securities to be offered by that prospectus supplement. You should carefully consider the important factors set forth under the heading "Risk Factors" in the applicable supplement to this prospectus before investing in any securities that may be offered.</w:t>
      </w:r>
    </w:p>
    <w:p>
      <w:pPr>
        <w:spacing w:after="0" w:line="337"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USE OF PROCEEDS</w:t>
      </w:r>
    </w:p>
    <w:p>
      <w:pPr>
        <w:spacing w:after="0" w:line="341"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Unless indicated otherwise in the applicable prospectus supplement, we expect to use the net proceeds from the sale of our common stock for general corporate purposes, including, but not limited to, acquisitions, repayment or refinancing of borrowings, working capital or capital expenditures. Additional information on the use of net proceeds from the sale of common stock offered by this prospectus may be set forth in the prospectus supplement relating to such offering. We will not receive any proceeds from the sale of our common stock by the selling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449" w:right="1440" w:bottom="1440" w:gutter="0" w:footer="0" w:header="0"/>
        </w:sectPr>
      </w:pPr>
    </w:p>
    <w:bookmarkStart w:id="44" w:name="page45"/>
    <w:bookmarkEnd w:id="44"/>
    <w:p>
      <w:pPr>
        <w:ind w:left="880"/>
        <w:spacing w:after="0"/>
        <w:rPr>
          <w:sz w:val="20"/>
          <w:szCs w:val="20"/>
          <w:color w:val="auto"/>
        </w:rPr>
      </w:pPr>
      <w:r>
        <w:rPr>
          <w:rFonts w:ascii="Courier New" w:cs="Courier New" w:eastAsia="Courier New" w:hAnsi="Courier New"/>
          <w:sz w:val="15"/>
          <w:szCs w:val="15"/>
          <w:color w:val="auto"/>
        </w:rPr>
        <w:t>UNAUDITED PRO FORMA CONDENSED COMBINED FINANCIAL INFORMATION</w:t>
      </w:r>
    </w:p>
    <w:p>
      <w:pPr>
        <w:spacing w:after="0" w:line="341"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The following unaudited pro forma condensed combined financial information gives effect to the acquisitions of Ivron Systems, Ltd. and E.mergent by ClearOne and the December 2001 private placement of ClearOne common stock. Effective October 3, 2001, ClearOne, through a wholly owned subsidiary, acquired the shares of Ivron Systems for a combination of cash and stock. An amendment to the share purchase agreement dated October 3, 2001 was finalized April 8, 2002. Because the terms of the amendment had been negotiated as of March 31, 2002, the effects of such amendment were included in ClearOne's financial statements as of March 31, 2002. Effective December 11, 2001, ClearOne issued 1,500,000 shares of common stock under a private placement that was subsequently registered on Form S-3 with the SEC. The only impact of this stock offering on the pro forma statements of operations is the inclusion of 1,500,000 shares in the calculation of the weighted average shares outstanding. On January 21, 2002, ClearOne entered into a definitive agreement to acquire the stock of E.mergent for a combination of cash and stock. The E.mergent acquisition was completed on May 31, 2002. Both the E.mergent and Ivron Systems acquisitions have been accounted for under the purchase method of accounting. The unaudited pro forma condensed combined statements of operations for the year ended June 30, 2001 and the nine months ended March 31, 2002 have been prepared as if each transaction occurred on July 1, 2000. The pro forma condensed combined balance sheet as of March 31, 2002 has been prepared as if the E.mergent acquisition occurred on March 31, 2002. Because the financial results of Ivron Systems and the private placement are included in ClearOne's historical financial statements as of March 31, 2002, no adjustments have been made to the pro forma balance sheet related to these transactions. Please see the notes to these pro forma combined condensed statements regarding certain assumptions utilized in the preparation of these statements.</w:t>
      </w:r>
    </w:p>
    <w:p>
      <w:pPr>
        <w:spacing w:after="0" w:line="345"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ClearOne's fiscal year ends on June 30 while the fiscal years of Ivron Systems and E.mergent historically ended on December 31. Accordingly, ClearOne has combined its historical results from continuing operations for the year ended June 30, 2001 with the unaudited financial results of Ivron Systems and E.mergent for the twelve months ended June 30, 2001, comprising the last six months of operations of Ivron Systems and E.mergent for the year ended December 31, 2000 and the first six months of operations of Ivron Systems and E.mergent for the year ended December 31, 2001. The unaudited pro forma condensed combined statement of operations presented for the nine months ended March 31, 2002 includes the historical unaudited financial results from continuing operations of ClearOne and E.mergent for the nine months ended March 31, 2002. The historical unaudited financial results from continuing operations of Ivron Systems are included from July 1, 2000 to October 2, 2001, with the results from October 3, 2001 to March 31, 2002 already consolidated in ClearOne's operating results.</w:t>
      </w:r>
    </w:p>
    <w:p>
      <w:pPr>
        <w:spacing w:after="0" w:line="174" w:lineRule="exact"/>
        <w:rPr>
          <w:sz w:val="20"/>
          <w:szCs w:val="20"/>
          <w:color w:val="auto"/>
        </w:rPr>
      </w:pPr>
    </w:p>
    <w:p>
      <w:pPr>
        <w:ind w:right="3399" w:firstLine="787"/>
        <w:spacing w:after="0" w:line="237" w:lineRule="auto"/>
        <w:rPr>
          <w:sz w:val="20"/>
          <w:szCs w:val="20"/>
          <w:color w:val="auto"/>
        </w:rPr>
      </w:pPr>
      <w:r>
        <w:rPr>
          <w:rFonts w:ascii="Courier New" w:cs="Courier New" w:eastAsia="Courier New" w:hAnsi="Courier New"/>
          <w:sz w:val="15"/>
          <w:szCs w:val="15"/>
          <w:color w:val="auto"/>
        </w:rPr>
        <w:t>Unaudited pro forma condensed combined financial information is presented for illustrative purposes only and is not necessarily indicative of the financial position or results of operations that would have actually been reported had the transactions occurred on the dates indicated above, nor is it necessarily indicative of future financial position or results of operations. These unaudited pro forma condensed combined financial statements are based on the respective historical financial statements of ClearOne, Ivron Systems and E.mergent and do not incorporate, nor do they assume, any benefits from cost savings or synergies of operations of the combined company. The unaudited pro forma condensed combined financial information should be read together with ClearOne's historical financial statements and those of Ivron Systems and E.mergent, including the related notes, and "Management's Discussion and Analysis of Financial Condition and Results of Operations" of ClearOne and E.merent, all of which are incorporated by reference into this registration statement.</w:t>
      </w:r>
    </w:p>
    <w:p>
      <w:pPr>
        <w:spacing w:after="0" w:line="17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Pro forma results of operations include adjustments, which are based upon management's preliminary estimates, to reflect the allocation of the purchase consideration to the acquired assets and liabilities of E.mergent. The final allocation of the purchase consideration will be determined upon completion of a comprehensive final analysis of the fair value of E.mergent's tangible assets, liabilities and identifiable intangible assets. Accordingly, while ClearOne does not anticipate that the final valuation and related intangible asset allocation will differ significantly from the preliminary valuation, the final determination of tangible and intangible assets may result in depreciation and amortization expense that is higher than the preliminary estimates of these amounts.</w:t>
      </w:r>
    </w:p>
    <w:p>
      <w:pPr>
        <w:spacing w:after="0" w:line="200" w:lineRule="exact"/>
        <w:rPr>
          <w:sz w:val="20"/>
          <w:szCs w:val="20"/>
          <w:color w:val="auto"/>
        </w:rPr>
      </w:pPr>
    </w:p>
    <w:p>
      <w:pPr>
        <w:spacing w:after="0" w:line="31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17" w:right="1440" w:bottom="1440" w:gutter="0" w:footer="0" w:header="0"/>
        </w:sectPr>
      </w:pPr>
    </w:p>
    <w:bookmarkStart w:id="45" w:name="page46"/>
    <w:bookmarkEnd w:id="45"/>
    <w:p>
      <w:pPr>
        <w:jc w:val="center"/>
        <w:ind w:right="3139"/>
        <w:spacing w:after="0"/>
        <w:rPr>
          <w:sz w:val="20"/>
          <w:szCs w:val="20"/>
          <w:color w:val="auto"/>
        </w:rPr>
      </w:pPr>
      <w:r>
        <w:rPr>
          <w:rFonts w:ascii="Courier New" w:cs="Courier New" w:eastAsia="Courier New" w:hAnsi="Courier New"/>
          <w:sz w:val="15"/>
          <w:szCs w:val="15"/>
          <w:color w:val="auto"/>
        </w:rPr>
        <w:t>Unaudited Pro Forma Financial Information</w:t>
      </w:r>
    </w:p>
    <w:p>
      <w:pPr>
        <w:jc w:val="center"/>
        <w:ind w:right="3139"/>
        <w:spacing w:after="0" w:line="237" w:lineRule="auto"/>
        <w:rPr>
          <w:sz w:val="20"/>
          <w:szCs w:val="20"/>
          <w:color w:val="auto"/>
        </w:rPr>
      </w:pPr>
      <w:r>
        <w:rPr>
          <w:rFonts w:ascii="Courier New" w:cs="Courier New" w:eastAsia="Courier New" w:hAnsi="Courier New"/>
          <w:sz w:val="15"/>
          <w:szCs w:val="15"/>
          <w:color w:val="auto"/>
        </w:rPr>
        <w:t>Pro Forma Condensed Combined Balance Sheets</w:t>
      </w:r>
    </w:p>
    <w:p>
      <w:pPr>
        <w:jc w:val="center"/>
        <w:ind w:right="3219"/>
        <w:spacing w:after="0" w:line="238" w:lineRule="auto"/>
        <w:rPr>
          <w:sz w:val="20"/>
          <w:szCs w:val="20"/>
          <w:color w:val="auto"/>
        </w:rPr>
      </w:pPr>
      <w:r>
        <w:rPr>
          <w:rFonts w:ascii="Courier New" w:cs="Courier New" w:eastAsia="Courier New" w:hAnsi="Courier New"/>
          <w:sz w:val="15"/>
          <w:szCs w:val="15"/>
          <w:color w:val="auto"/>
        </w:rPr>
        <w:t>As of March 31, 2002</w:t>
      </w:r>
    </w:p>
    <w:p>
      <w:pPr>
        <w:jc w:val="center"/>
        <w:ind w:right="3219"/>
        <w:spacing w:after="0" w:line="237" w:lineRule="auto"/>
        <w:rPr>
          <w:sz w:val="20"/>
          <w:szCs w:val="20"/>
          <w:color w:val="auto"/>
        </w:rPr>
      </w:pPr>
      <w:r>
        <w:rPr>
          <w:rFonts w:ascii="Courier New" w:cs="Courier New" w:eastAsia="Courier New" w:hAnsi="Courier New"/>
          <w:sz w:val="15"/>
          <w:szCs w:val="15"/>
          <w:color w:val="auto"/>
        </w:rPr>
        <w:t>(in 000's)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Pro Forma</w:t>
            </w:r>
          </w:p>
        </w:tc>
        <w:tc>
          <w:tcPr>
            <w:tcW w:w="300" w:type="dxa"/>
            <w:vAlign w:val="bottom"/>
          </w:tcPr>
          <w:p>
            <w:pPr>
              <w:spacing w:after="0"/>
              <w:rPr>
                <w:sz w:val="14"/>
                <w:szCs w:val="14"/>
                <w:color w:val="auto"/>
              </w:rPr>
            </w:pPr>
          </w:p>
        </w:tc>
        <w:tc>
          <w:tcPr>
            <w:tcW w:w="166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6"/>
              </w:rPr>
              <w:t>Pro Forma</w:t>
            </w:r>
          </w:p>
        </w:tc>
      </w:tr>
      <w:tr>
        <w:trPr>
          <w:trHeight w:val="168"/>
        </w:trPr>
        <w:tc>
          <w:tcPr>
            <w:tcW w:w="39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Adjustments</w:t>
            </w:r>
          </w:p>
        </w:tc>
        <w:tc>
          <w:tcPr>
            <w:tcW w:w="300" w:type="dxa"/>
            <w:vAlign w:val="bottom"/>
          </w:tcPr>
          <w:p>
            <w:pPr>
              <w:spacing w:after="0"/>
              <w:rPr>
                <w:sz w:val="14"/>
                <w:szCs w:val="14"/>
                <w:color w:val="auto"/>
              </w:rPr>
            </w:pP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Combined for</w:t>
            </w:r>
          </w:p>
        </w:tc>
      </w:tr>
      <w:tr>
        <w:trPr>
          <w:trHeight w:val="168"/>
        </w:trPr>
        <w:tc>
          <w:tcPr>
            <w:tcW w:w="3940" w:type="dxa"/>
            <w:vAlign w:val="bottom"/>
          </w:tcPr>
          <w:p>
            <w:pPr>
              <w:spacing w:after="0"/>
              <w:rPr>
                <w:sz w:val="14"/>
                <w:szCs w:val="14"/>
                <w:color w:val="auto"/>
              </w:rPr>
            </w:pPr>
          </w:p>
        </w:tc>
        <w:tc>
          <w:tcPr>
            <w:tcW w:w="1400" w:type="dxa"/>
            <w:vAlign w:val="bottom"/>
          </w:tcPr>
          <w:p>
            <w:pPr>
              <w:jc w:val="right"/>
              <w:ind w:right="372"/>
              <w:spacing w:after="0" w:line="168" w:lineRule="exact"/>
              <w:rPr>
                <w:sz w:val="20"/>
                <w:szCs w:val="20"/>
                <w:color w:val="auto"/>
              </w:rPr>
            </w:pPr>
            <w:r>
              <w:rPr>
                <w:rFonts w:ascii="Courier New" w:cs="Courier New" w:eastAsia="Courier New" w:hAnsi="Courier New"/>
                <w:sz w:val="15"/>
                <w:szCs w:val="15"/>
                <w:color w:val="auto"/>
              </w:rPr>
              <w:t>ClearOne</w:t>
            </w:r>
          </w:p>
        </w:tc>
        <w:tc>
          <w:tcPr>
            <w:tcW w:w="11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E.mergent</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for E.mergent</w:t>
            </w:r>
          </w:p>
        </w:tc>
        <w:tc>
          <w:tcPr>
            <w:tcW w:w="300" w:type="dxa"/>
            <w:vAlign w:val="bottom"/>
          </w:tcPr>
          <w:p>
            <w:pPr>
              <w:spacing w:after="0"/>
              <w:rPr>
                <w:sz w:val="14"/>
                <w:szCs w:val="14"/>
                <w:color w:val="auto"/>
              </w:rPr>
            </w:pPr>
          </w:p>
        </w:tc>
        <w:tc>
          <w:tcPr>
            <w:tcW w:w="166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6"/>
              </w:rPr>
              <w:t>E.mergent</w:t>
            </w:r>
          </w:p>
        </w:tc>
      </w:tr>
      <w:tr>
        <w:trPr>
          <w:trHeight w:val="168"/>
        </w:trPr>
        <w:tc>
          <w:tcPr>
            <w:tcW w:w="3940" w:type="dxa"/>
            <w:vAlign w:val="bottom"/>
          </w:tcPr>
          <w:p>
            <w:pPr>
              <w:spacing w:after="0"/>
              <w:rPr>
                <w:sz w:val="14"/>
                <w:szCs w:val="14"/>
                <w:color w:val="auto"/>
              </w:rPr>
            </w:pPr>
          </w:p>
        </w:tc>
        <w:tc>
          <w:tcPr>
            <w:tcW w:w="1400" w:type="dxa"/>
            <w:vAlign w:val="bottom"/>
          </w:tcPr>
          <w:p>
            <w:pPr>
              <w:jc w:val="right"/>
              <w:ind w:right="192"/>
              <w:spacing w:after="0" w:line="168" w:lineRule="exact"/>
              <w:rPr>
                <w:sz w:val="20"/>
                <w:szCs w:val="20"/>
                <w:color w:val="auto"/>
              </w:rPr>
            </w:pPr>
            <w:r>
              <w:rPr>
                <w:rFonts w:ascii="Courier New" w:cs="Courier New" w:eastAsia="Courier New" w:hAnsi="Courier New"/>
                <w:sz w:val="15"/>
                <w:szCs w:val="15"/>
                <w:color w:val="auto"/>
              </w:rPr>
              <w:t>(Historical)</w:t>
            </w: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(Historical)</w:t>
            </w:r>
          </w:p>
        </w:tc>
        <w:tc>
          <w:tcPr>
            <w:tcW w:w="13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Acquisition</w:t>
            </w:r>
          </w:p>
        </w:tc>
        <w:tc>
          <w:tcPr>
            <w:tcW w:w="300" w:type="dxa"/>
            <w:vAlign w:val="bottom"/>
          </w:tcPr>
          <w:p>
            <w:pPr>
              <w:spacing w:after="0"/>
              <w:rPr>
                <w:sz w:val="14"/>
                <w:szCs w:val="14"/>
                <w:color w:val="auto"/>
              </w:rPr>
            </w:pPr>
          </w:p>
        </w:tc>
        <w:tc>
          <w:tcPr>
            <w:tcW w:w="16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Acquisition</w:t>
            </w:r>
          </w:p>
        </w:tc>
      </w:tr>
      <w:tr>
        <w:trPr>
          <w:trHeight w:val="168"/>
        </w:trPr>
        <w:tc>
          <w:tcPr>
            <w:tcW w:w="3940" w:type="dxa"/>
            <w:vAlign w:val="bottom"/>
          </w:tcPr>
          <w:p>
            <w:pPr>
              <w:spacing w:after="0"/>
              <w:rPr>
                <w:sz w:val="14"/>
                <w:szCs w:val="14"/>
                <w:color w:val="auto"/>
              </w:rPr>
            </w:pPr>
          </w:p>
        </w:tc>
        <w:tc>
          <w:tcPr>
            <w:tcW w:w="5860" w:type="dxa"/>
            <w:vAlign w:val="bottom"/>
            <w:gridSpan w:val="7"/>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1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1400" w:type="dxa"/>
            <w:vAlign w:val="bottom"/>
          </w:tcPr>
          <w:p>
            <w:pPr>
              <w:jc w:val="right"/>
              <w:ind w:right="452"/>
              <w:spacing w:after="0" w:line="168" w:lineRule="exact"/>
              <w:rPr>
                <w:sz w:val="20"/>
                <w:szCs w:val="20"/>
                <w:color w:val="auto"/>
              </w:rPr>
            </w:pPr>
            <w:r>
              <w:rPr>
                <w:rFonts w:ascii="Courier New" w:cs="Courier New" w:eastAsia="Courier New" w:hAnsi="Courier New"/>
                <w:sz w:val="15"/>
                <w:szCs w:val="15"/>
                <w:color w:val="auto"/>
              </w:rPr>
              <w:t>$ 23,168</w:t>
            </w:r>
          </w:p>
        </w:tc>
        <w:tc>
          <w:tcPr>
            <w:tcW w:w="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1,505</w:t>
            </w:r>
          </w:p>
        </w:tc>
        <w:tc>
          <w:tcPr>
            <w:tcW w:w="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(9,382)</w:t>
            </w: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$ 15,291</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receivable, net</w:t>
            </w:r>
          </w:p>
        </w:tc>
        <w:tc>
          <w:tcPr>
            <w:tcW w:w="1400" w:type="dxa"/>
            <w:vAlign w:val="bottom"/>
          </w:tcPr>
          <w:p>
            <w:pPr>
              <w:jc w:val="right"/>
              <w:ind w:right="452"/>
              <w:spacing w:after="0" w:line="168" w:lineRule="exact"/>
              <w:rPr>
                <w:sz w:val="20"/>
                <w:szCs w:val="20"/>
                <w:color w:val="auto"/>
              </w:rPr>
            </w:pPr>
            <w:r>
              <w:rPr>
                <w:rFonts w:ascii="Courier New" w:cs="Courier New" w:eastAsia="Courier New" w:hAnsi="Courier New"/>
                <w:sz w:val="15"/>
                <w:szCs w:val="15"/>
                <w:color w:val="auto"/>
              </w:rPr>
              <w:t>14,025</w:t>
            </w:r>
          </w:p>
        </w:tc>
        <w:tc>
          <w:tcPr>
            <w:tcW w:w="32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3,144</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17,169</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Note receivable - current portion</w:t>
            </w:r>
          </w:p>
        </w:tc>
        <w:tc>
          <w:tcPr>
            <w:tcW w:w="1400" w:type="dxa"/>
            <w:vAlign w:val="bottom"/>
          </w:tcPr>
          <w:p>
            <w:pPr>
              <w:jc w:val="right"/>
              <w:ind w:right="452"/>
              <w:spacing w:after="0" w:line="168" w:lineRule="exact"/>
              <w:rPr>
                <w:sz w:val="20"/>
                <w:szCs w:val="20"/>
                <w:color w:val="auto"/>
              </w:rPr>
            </w:pPr>
            <w:r>
              <w:rPr>
                <w:rFonts w:ascii="Courier New" w:cs="Courier New" w:eastAsia="Courier New" w:hAnsi="Courier New"/>
                <w:sz w:val="15"/>
                <w:szCs w:val="15"/>
                <w:color w:val="auto"/>
              </w:rPr>
              <w:t>167</w:t>
            </w: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167</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Inventory</w:t>
            </w:r>
          </w:p>
        </w:tc>
        <w:tc>
          <w:tcPr>
            <w:tcW w:w="1400" w:type="dxa"/>
            <w:vAlign w:val="bottom"/>
          </w:tcPr>
          <w:p>
            <w:pPr>
              <w:jc w:val="right"/>
              <w:ind w:right="452"/>
              <w:spacing w:after="0" w:line="168" w:lineRule="exact"/>
              <w:rPr>
                <w:sz w:val="20"/>
                <w:szCs w:val="20"/>
                <w:color w:val="auto"/>
              </w:rPr>
            </w:pPr>
            <w:r>
              <w:rPr>
                <w:rFonts w:ascii="Courier New" w:cs="Courier New" w:eastAsia="Courier New" w:hAnsi="Courier New"/>
                <w:sz w:val="15"/>
                <w:szCs w:val="15"/>
                <w:color w:val="auto"/>
              </w:rPr>
              <w:t>5,792</w:t>
            </w:r>
          </w:p>
        </w:tc>
        <w:tc>
          <w:tcPr>
            <w:tcW w:w="32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3,605</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9,397</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taxes</w:t>
            </w:r>
          </w:p>
        </w:tc>
        <w:tc>
          <w:tcPr>
            <w:tcW w:w="1400" w:type="dxa"/>
            <w:vAlign w:val="bottom"/>
          </w:tcPr>
          <w:p>
            <w:pPr>
              <w:jc w:val="right"/>
              <w:ind w:right="452"/>
              <w:spacing w:after="0" w:line="168" w:lineRule="exact"/>
              <w:rPr>
                <w:sz w:val="20"/>
                <w:szCs w:val="20"/>
                <w:color w:val="auto"/>
              </w:rPr>
            </w:pPr>
            <w:r>
              <w:rPr>
                <w:rFonts w:ascii="Courier New" w:cs="Courier New" w:eastAsia="Courier New" w:hAnsi="Courier New"/>
                <w:sz w:val="15"/>
                <w:szCs w:val="15"/>
                <w:color w:val="auto"/>
              </w:rPr>
              <w:t>247</w:t>
            </w:r>
          </w:p>
        </w:tc>
        <w:tc>
          <w:tcPr>
            <w:tcW w:w="32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425</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672</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1400" w:type="dxa"/>
            <w:vAlign w:val="bottom"/>
          </w:tcPr>
          <w:p>
            <w:pPr>
              <w:jc w:val="right"/>
              <w:ind w:right="452"/>
              <w:spacing w:after="0" w:line="168" w:lineRule="exact"/>
              <w:rPr>
                <w:sz w:val="20"/>
                <w:szCs w:val="20"/>
                <w:color w:val="auto"/>
              </w:rPr>
            </w:pPr>
            <w:r>
              <w:rPr>
                <w:rFonts w:ascii="Courier New" w:cs="Courier New" w:eastAsia="Courier New" w:hAnsi="Courier New"/>
                <w:sz w:val="15"/>
                <w:szCs w:val="15"/>
                <w:color w:val="auto"/>
              </w:rPr>
              <w:t>420</w:t>
            </w:r>
          </w:p>
        </w:tc>
        <w:tc>
          <w:tcPr>
            <w:tcW w:w="32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160</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580</w:t>
            </w:r>
          </w:p>
        </w:tc>
      </w:tr>
      <w:tr>
        <w:trPr>
          <w:trHeight w:val="168"/>
        </w:trPr>
        <w:tc>
          <w:tcPr>
            <w:tcW w:w="3940" w:type="dxa"/>
            <w:vAlign w:val="bottom"/>
          </w:tcPr>
          <w:p>
            <w:pPr>
              <w:spacing w:after="0"/>
              <w:rPr>
                <w:sz w:val="14"/>
                <w:szCs w:val="14"/>
                <w:color w:val="auto"/>
              </w:rPr>
            </w:pPr>
          </w:p>
        </w:tc>
        <w:tc>
          <w:tcPr>
            <w:tcW w:w="1720" w:type="dxa"/>
            <w:vAlign w:val="bottom"/>
            <w:gridSpan w:val="2"/>
          </w:tcPr>
          <w:p>
            <w:pPr>
              <w:ind w:left="100"/>
              <w:spacing w:after="0"/>
              <w:rPr>
                <w:sz w:val="20"/>
                <w:szCs w:val="20"/>
                <w:color w:val="auto"/>
              </w:rPr>
            </w:pPr>
            <w:r>
              <w:rPr>
                <w:rFonts w:ascii="Courier New" w:cs="Courier New" w:eastAsia="Courier New" w:hAnsi="Courier New"/>
                <w:sz w:val="8"/>
                <w:szCs w:val="8"/>
                <w:color w:val="auto"/>
                <w:w w:val="77"/>
              </w:rPr>
              <w:t>-------------------------------------------</w:t>
            </w: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1400" w:type="dxa"/>
            <w:vAlign w:val="bottom"/>
          </w:tcPr>
          <w:p>
            <w:pPr>
              <w:jc w:val="right"/>
              <w:ind w:right="452"/>
              <w:spacing w:after="0" w:line="168" w:lineRule="exact"/>
              <w:rPr>
                <w:sz w:val="20"/>
                <w:szCs w:val="20"/>
                <w:color w:val="auto"/>
              </w:rPr>
            </w:pPr>
            <w:r>
              <w:rPr>
                <w:rFonts w:ascii="Courier New" w:cs="Courier New" w:eastAsia="Courier New" w:hAnsi="Courier New"/>
                <w:sz w:val="15"/>
                <w:szCs w:val="15"/>
                <w:color w:val="auto"/>
              </w:rPr>
              <w:t>43,819</w:t>
            </w:r>
          </w:p>
        </w:tc>
        <w:tc>
          <w:tcPr>
            <w:tcW w:w="32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8,839</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(9,382)</w:t>
            </w:r>
          </w:p>
        </w:tc>
        <w:tc>
          <w:tcPr>
            <w:tcW w:w="300" w:type="dxa"/>
            <w:vAlign w:val="bottom"/>
          </w:tcPr>
          <w:p>
            <w:pPr>
              <w:spacing w:after="0"/>
              <w:rPr>
                <w:sz w:val="14"/>
                <w:szCs w:val="14"/>
                <w:color w:val="auto"/>
              </w:rPr>
            </w:pP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43,276</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1400" w:type="dxa"/>
            <w:vAlign w:val="bottom"/>
          </w:tcPr>
          <w:p>
            <w:pPr>
              <w:jc w:val="right"/>
              <w:ind w:right="452"/>
              <w:spacing w:after="0"/>
              <w:rPr>
                <w:sz w:val="20"/>
                <w:szCs w:val="20"/>
                <w:color w:val="auto"/>
              </w:rPr>
            </w:pPr>
            <w:r>
              <w:rPr>
                <w:rFonts w:ascii="Courier New" w:cs="Courier New" w:eastAsia="Courier New" w:hAnsi="Courier New"/>
                <w:sz w:val="15"/>
                <w:szCs w:val="15"/>
                <w:color w:val="auto"/>
              </w:rPr>
              <w:t>3,993</w:t>
            </w:r>
          </w:p>
        </w:tc>
        <w:tc>
          <w:tcPr>
            <w:tcW w:w="320" w:type="dxa"/>
            <w:vAlign w:val="bottom"/>
          </w:tcPr>
          <w:p>
            <w:pPr>
              <w:spacing w:after="0"/>
              <w:rPr>
                <w:sz w:val="24"/>
                <w:szCs w:val="24"/>
                <w:color w:val="auto"/>
              </w:rPr>
            </w:pPr>
          </w:p>
        </w:tc>
        <w:tc>
          <w:tcPr>
            <w:tcW w:w="8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443</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4,436</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 net</w:t>
            </w:r>
          </w:p>
        </w:tc>
        <w:tc>
          <w:tcPr>
            <w:tcW w:w="1400" w:type="dxa"/>
            <w:vAlign w:val="bottom"/>
          </w:tcPr>
          <w:p>
            <w:pPr>
              <w:jc w:val="right"/>
              <w:ind w:right="452"/>
              <w:spacing w:after="0" w:line="168" w:lineRule="exact"/>
              <w:rPr>
                <w:sz w:val="20"/>
                <w:szCs w:val="20"/>
                <w:color w:val="auto"/>
              </w:rPr>
            </w:pPr>
            <w:r>
              <w:rPr>
                <w:rFonts w:ascii="Courier New" w:cs="Courier New" w:eastAsia="Courier New" w:hAnsi="Courier New"/>
                <w:sz w:val="15"/>
                <w:szCs w:val="15"/>
                <w:color w:val="auto"/>
              </w:rPr>
              <w:t>2,898</w:t>
            </w:r>
          </w:p>
        </w:tc>
        <w:tc>
          <w:tcPr>
            <w:tcW w:w="32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999</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(999)</w:t>
            </w: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w:t>
            </w:r>
          </w:p>
        </w:tc>
        <w:tc>
          <w:tcPr>
            <w:tcW w:w="1660" w:type="dxa"/>
            <w:vAlign w:val="bottom"/>
          </w:tcPr>
          <w:p>
            <w:pPr>
              <w:spacing w:after="0"/>
              <w:rPr>
                <w:sz w:val="14"/>
                <w:szCs w:val="14"/>
                <w:color w:val="auto"/>
              </w:rPr>
            </w:pPr>
          </w:p>
        </w:tc>
      </w:tr>
      <w:tr>
        <w:trPr>
          <w:trHeight w:val="168"/>
        </w:trPr>
        <w:tc>
          <w:tcPr>
            <w:tcW w:w="39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18,024</w:t>
            </w: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20,922</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Note receivable, long-term portion</w:t>
            </w:r>
          </w:p>
        </w:tc>
        <w:tc>
          <w:tcPr>
            <w:tcW w:w="1400" w:type="dxa"/>
            <w:vAlign w:val="bottom"/>
          </w:tcPr>
          <w:p>
            <w:pPr>
              <w:jc w:val="right"/>
              <w:ind w:right="452"/>
              <w:spacing w:after="0" w:line="168" w:lineRule="exact"/>
              <w:rPr>
                <w:sz w:val="20"/>
                <w:szCs w:val="20"/>
                <w:color w:val="auto"/>
              </w:rPr>
            </w:pPr>
            <w:r>
              <w:rPr>
                <w:rFonts w:ascii="Courier New" w:cs="Courier New" w:eastAsia="Courier New" w:hAnsi="Courier New"/>
                <w:sz w:val="15"/>
                <w:szCs w:val="15"/>
                <w:color w:val="auto"/>
              </w:rPr>
              <w:t>1,549</w:t>
            </w:r>
          </w:p>
        </w:tc>
        <w:tc>
          <w:tcPr>
            <w:tcW w:w="32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33</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1,582</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intangible assets, net</w:t>
            </w:r>
          </w:p>
        </w:tc>
        <w:tc>
          <w:tcPr>
            <w:tcW w:w="1400" w:type="dxa"/>
            <w:vAlign w:val="bottom"/>
          </w:tcPr>
          <w:p>
            <w:pPr>
              <w:jc w:val="right"/>
              <w:ind w:right="452"/>
              <w:spacing w:after="0" w:line="168" w:lineRule="exact"/>
              <w:rPr>
                <w:sz w:val="20"/>
                <w:szCs w:val="20"/>
                <w:color w:val="auto"/>
              </w:rPr>
            </w:pPr>
            <w:r>
              <w:rPr>
                <w:rFonts w:ascii="Courier New" w:cs="Courier New" w:eastAsia="Courier New" w:hAnsi="Courier New"/>
                <w:sz w:val="15"/>
                <w:szCs w:val="15"/>
                <w:color w:val="auto"/>
              </w:rPr>
              <w:t>5,517</w:t>
            </w:r>
          </w:p>
        </w:tc>
        <w:tc>
          <w:tcPr>
            <w:tcW w:w="32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669</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(669)</w:t>
            </w: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5,517</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Deposits and other assets</w:t>
            </w:r>
          </w:p>
        </w:tc>
        <w:tc>
          <w:tcPr>
            <w:tcW w:w="1400" w:type="dxa"/>
            <w:vAlign w:val="bottom"/>
          </w:tcPr>
          <w:p>
            <w:pPr>
              <w:jc w:val="right"/>
              <w:ind w:right="452"/>
              <w:spacing w:after="0" w:line="168" w:lineRule="exact"/>
              <w:rPr>
                <w:sz w:val="20"/>
                <w:szCs w:val="20"/>
                <w:color w:val="auto"/>
              </w:rPr>
            </w:pPr>
            <w:r>
              <w:rPr>
                <w:rFonts w:ascii="Courier New" w:cs="Courier New" w:eastAsia="Courier New" w:hAnsi="Courier New"/>
                <w:sz w:val="15"/>
                <w:szCs w:val="15"/>
                <w:color w:val="auto"/>
              </w:rPr>
              <w:t>73</w:t>
            </w:r>
          </w:p>
        </w:tc>
        <w:tc>
          <w:tcPr>
            <w:tcW w:w="32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225</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(150)</w:t>
            </w: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148</w:t>
            </w:r>
          </w:p>
        </w:tc>
      </w:tr>
      <w:tr>
        <w:trPr>
          <w:trHeight w:val="168"/>
        </w:trPr>
        <w:tc>
          <w:tcPr>
            <w:tcW w:w="3940" w:type="dxa"/>
            <w:vAlign w:val="bottom"/>
          </w:tcPr>
          <w:p>
            <w:pPr>
              <w:spacing w:after="0"/>
              <w:rPr>
                <w:sz w:val="14"/>
                <w:szCs w:val="14"/>
                <w:color w:val="auto"/>
              </w:rPr>
            </w:pPr>
          </w:p>
        </w:tc>
        <w:tc>
          <w:tcPr>
            <w:tcW w:w="1720" w:type="dxa"/>
            <w:vAlign w:val="bottom"/>
            <w:gridSpan w:val="2"/>
          </w:tcPr>
          <w:p>
            <w:pPr>
              <w:ind w:left="100"/>
              <w:spacing w:after="0"/>
              <w:rPr>
                <w:sz w:val="20"/>
                <w:szCs w:val="20"/>
                <w:color w:val="auto"/>
              </w:rPr>
            </w:pPr>
            <w:r>
              <w:rPr>
                <w:rFonts w:ascii="Courier New" w:cs="Courier New" w:eastAsia="Courier New" w:hAnsi="Courier New"/>
                <w:sz w:val="8"/>
                <w:szCs w:val="8"/>
                <w:color w:val="auto"/>
                <w:w w:val="77"/>
              </w:rPr>
              <w:t>-------------------------------------------</w:t>
            </w: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1400" w:type="dxa"/>
            <w:vAlign w:val="bottom"/>
          </w:tcPr>
          <w:p>
            <w:pPr>
              <w:jc w:val="right"/>
              <w:ind w:right="452"/>
              <w:spacing w:after="0" w:line="168" w:lineRule="exact"/>
              <w:rPr>
                <w:sz w:val="20"/>
                <w:szCs w:val="20"/>
                <w:color w:val="auto"/>
              </w:rPr>
            </w:pPr>
            <w:r>
              <w:rPr>
                <w:rFonts w:ascii="Courier New" w:cs="Courier New" w:eastAsia="Courier New" w:hAnsi="Courier New"/>
                <w:sz w:val="15"/>
                <w:szCs w:val="15"/>
                <w:color w:val="auto"/>
              </w:rPr>
              <w:t>$57,849</w:t>
            </w:r>
          </w:p>
        </w:tc>
        <w:tc>
          <w:tcPr>
            <w:tcW w:w="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9"/>
              </w:rPr>
              <w:t>11,208</w:t>
            </w:r>
          </w:p>
        </w:tc>
        <w:tc>
          <w:tcPr>
            <w:tcW w:w="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6,824</w:t>
            </w:r>
          </w:p>
        </w:tc>
        <w:tc>
          <w:tcPr>
            <w:tcW w:w="300" w:type="dxa"/>
            <w:vAlign w:val="bottom"/>
          </w:tcPr>
          <w:p>
            <w:pPr>
              <w:spacing w:after="0"/>
              <w:rPr>
                <w:sz w:val="14"/>
                <w:szCs w:val="14"/>
                <w:color w:val="auto"/>
              </w:rPr>
            </w:pP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$ 75,881</w:t>
            </w:r>
          </w:p>
        </w:tc>
      </w:tr>
      <w:tr>
        <w:trPr>
          <w:trHeight w:val="168"/>
        </w:trPr>
        <w:tc>
          <w:tcPr>
            <w:tcW w:w="3940" w:type="dxa"/>
            <w:vAlign w:val="bottom"/>
          </w:tcPr>
          <w:p>
            <w:pPr>
              <w:spacing w:after="0"/>
              <w:rPr>
                <w:sz w:val="14"/>
                <w:szCs w:val="14"/>
                <w:color w:val="auto"/>
              </w:rPr>
            </w:pPr>
          </w:p>
        </w:tc>
        <w:tc>
          <w:tcPr>
            <w:tcW w:w="3900" w:type="dxa"/>
            <w:vAlign w:val="bottom"/>
            <w:gridSpan w:val="5"/>
          </w:tcPr>
          <w:p>
            <w:pPr>
              <w:ind w:left="100"/>
              <w:spacing w:after="0" w:line="168" w:lineRule="exact"/>
              <w:rPr>
                <w:sz w:val="20"/>
                <w:szCs w:val="20"/>
                <w:color w:val="auto"/>
              </w:rPr>
            </w:pPr>
            <w:r>
              <w:rPr>
                <w:rFonts w:ascii="Courier New" w:cs="Courier New" w:eastAsia="Courier New" w:hAnsi="Courier New"/>
                <w:sz w:val="15"/>
                <w:szCs w:val="15"/>
                <w:color w:val="auto"/>
                <w:w w:val="97"/>
              </w:rPr>
              <w:t>===========================================</w:t>
            </w:r>
          </w:p>
        </w:tc>
        <w:tc>
          <w:tcPr>
            <w:tcW w:w="300" w:type="dxa"/>
            <w:vAlign w:val="bottom"/>
          </w:tcPr>
          <w:p>
            <w:pPr>
              <w:spacing w:after="0"/>
              <w:rPr>
                <w:sz w:val="14"/>
                <w:szCs w:val="14"/>
                <w:color w:val="auto"/>
              </w:rPr>
            </w:pP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1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payable</w:t>
            </w:r>
          </w:p>
        </w:tc>
        <w:tc>
          <w:tcPr>
            <w:tcW w:w="1400" w:type="dxa"/>
            <w:vAlign w:val="bottom"/>
          </w:tcPr>
          <w:p>
            <w:pPr>
              <w:jc w:val="right"/>
              <w:ind w:right="452"/>
              <w:spacing w:after="0" w:line="168" w:lineRule="exact"/>
              <w:rPr>
                <w:sz w:val="20"/>
                <w:szCs w:val="20"/>
                <w:color w:val="auto"/>
              </w:rPr>
            </w:pPr>
            <w:r>
              <w:rPr>
                <w:rFonts w:ascii="Courier New" w:cs="Courier New" w:eastAsia="Courier New" w:hAnsi="Courier New"/>
                <w:sz w:val="15"/>
                <w:szCs w:val="15"/>
                <w:color w:val="auto"/>
              </w:rPr>
              <w:t>$  1,579</w:t>
            </w:r>
          </w:p>
        </w:tc>
        <w:tc>
          <w:tcPr>
            <w:tcW w:w="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1,548</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3,127</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expenses</w:t>
            </w:r>
          </w:p>
        </w:tc>
        <w:tc>
          <w:tcPr>
            <w:tcW w:w="1400" w:type="dxa"/>
            <w:vAlign w:val="bottom"/>
          </w:tcPr>
          <w:p>
            <w:pPr>
              <w:jc w:val="right"/>
              <w:ind w:right="452"/>
              <w:spacing w:after="0" w:line="168" w:lineRule="exact"/>
              <w:rPr>
                <w:sz w:val="20"/>
                <w:szCs w:val="20"/>
                <w:color w:val="auto"/>
              </w:rPr>
            </w:pPr>
            <w:r>
              <w:rPr>
                <w:rFonts w:ascii="Courier New" w:cs="Courier New" w:eastAsia="Courier New" w:hAnsi="Courier New"/>
                <w:sz w:val="15"/>
                <w:szCs w:val="15"/>
                <w:color w:val="auto"/>
              </w:rPr>
              <w:t>1,791</w:t>
            </w:r>
          </w:p>
        </w:tc>
        <w:tc>
          <w:tcPr>
            <w:tcW w:w="32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473</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2,264</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portion of unearned maintenance</w:t>
            </w:r>
          </w:p>
        </w:tc>
        <w:tc>
          <w:tcPr>
            <w:tcW w:w="1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contracts</w:t>
            </w:r>
          </w:p>
        </w:tc>
        <w:tc>
          <w:tcPr>
            <w:tcW w:w="1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688</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688</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portion of capital lease and</w:t>
            </w:r>
          </w:p>
        </w:tc>
        <w:tc>
          <w:tcPr>
            <w:tcW w:w="1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long-term debt obligations</w:t>
            </w:r>
          </w:p>
        </w:tc>
        <w:tc>
          <w:tcPr>
            <w:tcW w:w="1400" w:type="dxa"/>
            <w:vAlign w:val="bottom"/>
          </w:tcPr>
          <w:p>
            <w:pPr>
              <w:jc w:val="right"/>
              <w:ind w:right="452"/>
              <w:spacing w:after="0" w:line="168" w:lineRule="exact"/>
              <w:rPr>
                <w:sz w:val="20"/>
                <w:szCs w:val="20"/>
                <w:color w:val="auto"/>
              </w:rPr>
            </w:pPr>
            <w:r>
              <w:rPr>
                <w:rFonts w:ascii="Courier New" w:cs="Courier New" w:eastAsia="Courier New" w:hAnsi="Courier New"/>
                <w:sz w:val="15"/>
                <w:szCs w:val="15"/>
                <w:color w:val="auto"/>
              </w:rPr>
              <w:t>61</w:t>
            </w:r>
          </w:p>
        </w:tc>
        <w:tc>
          <w:tcPr>
            <w:tcW w:w="32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238</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299</w:t>
            </w:r>
          </w:p>
        </w:tc>
      </w:tr>
      <w:tr>
        <w:trPr>
          <w:trHeight w:val="168"/>
        </w:trPr>
        <w:tc>
          <w:tcPr>
            <w:tcW w:w="3940" w:type="dxa"/>
            <w:vAlign w:val="bottom"/>
          </w:tcPr>
          <w:p>
            <w:pPr>
              <w:spacing w:after="0"/>
              <w:rPr>
                <w:sz w:val="14"/>
                <w:szCs w:val="14"/>
                <w:color w:val="auto"/>
              </w:rPr>
            </w:pPr>
          </w:p>
        </w:tc>
        <w:tc>
          <w:tcPr>
            <w:tcW w:w="1720" w:type="dxa"/>
            <w:vAlign w:val="bottom"/>
            <w:gridSpan w:val="2"/>
          </w:tcPr>
          <w:p>
            <w:pPr>
              <w:ind w:left="100"/>
              <w:spacing w:after="0"/>
              <w:rPr>
                <w:sz w:val="20"/>
                <w:szCs w:val="20"/>
                <w:color w:val="auto"/>
              </w:rPr>
            </w:pPr>
            <w:r>
              <w:rPr>
                <w:rFonts w:ascii="Courier New" w:cs="Courier New" w:eastAsia="Courier New" w:hAnsi="Courier New"/>
                <w:sz w:val="8"/>
                <w:szCs w:val="8"/>
                <w:color w:val="auto"/>
                <w:w w:val="77"/>
              </w:rPr>
              <w:t>-------------------------------------------</w:t>
            </w: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1400" w:type="dxa"/>
            <w:vAlign w:val="bottom"/>
          </w:tcPr>
          <w:p>
            <w:pPr>
              <w:jc w:val="right"/>
              <w:ind w:right="452"/>
              <w:spacing w:after="0" w:line="168" w:lineRule="exact"/>
              <w:rPr>
                <w:sz w:val="20"/>
                <w:szCs w:val="20"/>
                <w:color w:val="auto"/>
              </w:rPr>
            </w:pPr>
            <w:r>
              <w:rPr>
                <w:rFonts w:ascii="Courier New" w:cs="Courier New" w:eastAsia="Courier New" w:hAnsi="Courier New"/>
                <w:sz w:val="15"/>
                <w:szCs w:val="15"/>
                <w:color w:val="auto"/>
              </w:rPr>
              <w:t>3,431</w:t>
            </w:r>
          </w:p>
        </w:tc>
        <w:tc>
          <w:tcPr>
            <w:tcW w:w="32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2,947</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6,378</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Unearned maintenance contracts</w:t>
            </w: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319</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319</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Long-term debt and capital lease obligations</w:t>
            </w:r>
          </w:p>
        </w:tc>
        <w:tc>
          <w:tcPr>
            <w:tcW w:w="1400" w:type="dxa"/>
            <w:vAlign w:val="bottom"/>
          </w:tcPr>
          <w:p>
            <w:pPr>
              <w:jc w:val="right"/>
              <w:ind w:right="452"/>
              <w:spacing w:after="0" w:line="168" w:lineRule="exact"/>
              <w:rPr>
                <w:sz w:val="20"/>
                <w:szCs w:val="20"/>
                <w:color w:val="auto"/>
              </w:rPr>
            </w:pPr>
            <w:r>
              <w:rPr>
                <w:rFonts w:ascii="Courier New" w:cs="Courier New" w:eastAsia="Courier New" w:hAnsi="Courier New"/>
                <w:sz w:val="15"/>
                <w:szCs w:val="15"/>
                <w:color w:val="auto"/>
              </w:rPr>
              <w:t>16</w:t>
            </w:r>
          </w:p>
        </w:tc>
        <w:tc>
          <w:tcPr>
            <w:tcW w:w="32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340</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356</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tax liability</w:t>
            </w:r>
          </w:p>
        </w:tc>
        <w:tc>
          <w:tcPr>
            <w:tcW w:w="1400" w:type="dxa"/>
            <w:vAlign w:val="bottom"/>
          </w:tcPr>
          <w:p>
            <w:pPr>
              <w:jc w:val="right"/>
              <w:ind w:right="452"/>
              <w:spacing w:after="0" w:line="168" w:lineRule="exact"/>
              <w:rPr>
                <w:sz w:val="20"/>
                <w:szCs w:val="20"/>
                <w:color w:val="auto"/>
              </w:rPr>
            </w:pPr>
            <w:r>
              <w:rPr>
                <w:rFonts w:ascii="Courier New" w:cs="Courier New" w:eastAsia="Courier New" w:hAnsi="Courier New"/>
                <w:sz w:val="15"/>
                <w:szCs w:val="15"/>
                <w:color w:val="auto"/>
              </w:rPr>
              <w:t>746</w:t>
            </w: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746</w:t>
            </w:r>
          </w:p>
        </w:tc>
      </w:tr>
      <w:tr>
        <w:trPr>
          <w:trHeight w:val="168"/>
        </w:trPr>
        <w:tc>
          <w:tcPr>
            <w:tcW w:w="3940" w:type="dxa"/>
            <w:vAlign w:val="bottom"/>
          </w:tcPr>
          <w:p>
            <w:pPr>
              <w:spacing w:after="0"/>
              <w:rPr>
                <w:sz w:val="14"/>
                <w:szCs w:val="14"/>
                <w:color w:val="auto"/>
              </w:rPr>
            </w:pPr>
          </w:p>
        </w:tc>
        <w:tc>
          <w:tcPr>
            <w:tcW w:w="1720" w:type="dxa"/>
            <w:vAlign w:val="bottom"/>
            <w:gridSpan w:val="2"/>
          </w:tcPr>
          <w:p>
            <w:pPr>
              <w:ind w:left="100"/>
              <w:spacing w:after="0"/>
              <w:rPr>
                <w:sz w:val="20"/>
                <w:szCs w:val="20"/>
                <w:color w:val="auto"/>
              </w:rPr>
            </w:pPr>
            <w:r>
              <w:rPr>
                <w:rFonts w:ascii="Courier New" w:cs="Courier New" w:eastAsia="Courier New" w:hAnsi="Courier New"/>
                <w:sz w:val="8"/>
                <w:szCs w:val="8"/>
                <w:color w:val="auto"/>
                <w:w w:val="77"/>
              </w:rPr>
              <w:t>-------------------------------------------</w:t>
            </w: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liabilities</w:t>
            </w:r>
          </w:p>
        </w:tc>
        <w:tc>
          <w:tcPr>
            <w:tcW w:w="1400" w:type="dxa"/>
            <w:vAlign w:val="bottom"/>
          </w:tcPr>
          <w:p>
            <w:pPr>
              <w:jc w:val="right"/>
              <w:ind w:right="452"/>
              <w:spacing w:after="0" w:line="168" w:lineRule="exact"/>
              <w:rPr>
                <w:sz w:val="20"/>
                <w:szCs w:val="20"/>
                <w:color w:val="auto"/>
              </w:rPr>
            </w:pPr>
            <w:r>
              <w:rPr>
                <w:rFonts w:ascii="Courier New" w:cs="Courier New" w:eastAsia="Courier New" w:hAnsi="Courier New"/>
                <w:sz w:val="15"/>
                <w:szCs w:val="15"/>
                <w:color w:val="auto"/>
              </w:rPr>
              <w:t>4,193</w:t>
            </w:r>
          </w:p>
        </w:tc>
        <w:tc>
          <w:tcPr>
            <w:tcW w:w="32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3,606</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7,799</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w:t>
            </w:r>
          </w:p>
        </w:tc>
        <w:tc>
          <w:tcPr>
            <w:tcW w:w="1400" w:type="dxa"/>
            <w:vAlign w:val="bottom"/>
          </w:tcPr>
          <w:p>
            <w:pPr>
              <w:jc w:val="right"/>
              <w:ind w:right="452"/>
              <w:spacing w:after="0" w:line="168" w:lineRule="exact"/>
              <w:rPr>
                <w:sz w:val="20"/>
                <w:szCs w:val="20"/>
                <w:color w:val="auto"/>
              </w:rPr>
            </w:pPr>
            <w:r>
              <w:rPr>
                <w:rFonts w:ascii="Courier New" w:cs="Courier New" w:eastAsia="Courier New" w:hAnsi="Courier New"/>
                <w:sz w:val="15"/>
                <w:szCs w:val="15"/>
                <w:color w:val="auto"/>
              </w:rPr>
              <w:t>10</w:t>
            </w:r>
          </w:p>
        </w:tc>
        <w:tc>
          <w:tcPr>
            <w:tcW w:w="32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59</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(59)</w:t>
            </w: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H</w:t>
            </w:r>
          </w:p>
        </w:tc>
        <w:tc>
          <w:tcPr>
            <w:tcW w:w="1660" w:type="dxa"/>
            <w:vAlign w:val="bottom"/>
          </w:tcPr>
          <w:p>
            <w:pPr>
              <w:spacing w:after="0"/>
              <w:rPr>
                <w:sz w:val="14"/>
                <w:szCs w:val="14"/>
                <w:color w:val="auto"/>
              </w:rPr>
            </w:pPr>
          </w:p>
        </w:tc>
      </w:tr>
      <w:tr>
        <w:trPr>
          <w:trHeight w:val="168"/>
        </w:trPr>
        <w:tc>
          <w:tcPr>
            <w:tcW w:w="39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w:t>
            </w: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J</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Additional paid in capital</w:t>
            </w:r>
          </w:p>
        </w:tc>
        <w:tc>
          <w:tcPr>
            <w:tcW w:w="1400" w:type="dxa"/>
            <w:vAlign w:val="bottom"/>
          </w:tcPr>
          <w:p>
            <w:pPr>
              <w:jc w:val="right"/>
              <w:ind w:right="452"/>
              <w:spacing w:after="0" w:line="168" w:lineRule="exact"/>
              <w:rPr>
                <w:sz w:val="20"/>
                <w:szCs w:val="20"/>
                <w:color w:val="auto"/>
              </w:rPr>
            </w:pPr>
            <w:r>
              <w:rPr>
                <w:rFonts w:ascii="Courier New" w:cs="Courier New" w:eastAsia="Courier New" w:hAnsi="Courier New"/>
                <w:sz w:val="15"/>
                <w:szCs w:val="15"/>
                <w:color w:val="auto"/>
              </w:rPr>
              <w:t>33,141</w:t>
            </w:r>
          </w:p>
        </w:tc>
        <w:tc>
          <w:tcPr>
            <w:tcW w:w="32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7,867</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(7,867)</w:t>
            </w: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H</w:t>
            </w:r>
          </w:p>
        </w:tc>
        <w:tc>
          <w:tcPr>
            <w:tcW w:w="1660" w:type="dxa"/>
            <w:vAlign w:val="bottom"/>
          </w:tcPr>
          <w:p>
            <w:pPr>
              <w:spacing w:after="0"/>
              <w:rPr>
                <w:sz w:val="14"/>
                <w:szCs w:val="14"/>
                <w:color w:val="auto"/>
              </w:rPr>
            </w:pPr>
          </w:p>
        </w:tc>
      </w:tr>
      <w:tr>
        <w:trPr>
          <w:trHeight w:val="168"/>
        </w:trPr>
        <w:tc>
          <w:tcPr>
            <w:tcW w:w="39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14,370</w:t>
            </w: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J</w:t>
            </w:r>
          </w:p>
        </w:tc>
        <w:tc>
          <w:tcPr>
            <w:tcW w:w="1660" w:type="dxa"/>
            <w:vAlign w:val="bottom"/>
          </w:tcPr>
          <w:p>
            <w:pPr>
              <w:spacing w:after="0"/>
              <w:rPr>
                <w:sz w:val="14"/>
                <w:szCs w:val="14"/>
                <w:color w:val="auto"/>
              </w:rPr>
            </w:pPr>
          </w:p>
        </w:tc>
      </w:tr>
      <w:tr>
        <w:trPr>
          <w:trHeight w:val="168"/>
        </w:trPr>
        <w:tc>
          <w:tcPr>
            <w:tcW w:w="39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47</w:t>
            </w: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G</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47,558</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Treasury stock</w:t>
            </w:r>
          </w:p>
        </w:tc>
        <w:tc>
          <w:tcPr>
            <w:tcW w:w="1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(73)</w:t>
            </w:r>
          </w:p>
        </w:tc>
        <w:tc>
          <w:tcPr>
            <w:tcW w:w="3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73</w:t>
            </w: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w:t>
            </w:r>
          </w:p>
        </w:tc>
        <w:tc>
          <w:tcPr>
            <w:tcW w:w="1660" w:type="dxa"/>
            <w:vAlign w:val="bottom"/>
          </w:tcPr>
          <w:p>
            <w:pPr>
              <w:spacing w:after="0"/>
              <w:rPr>
                <w:sz w:val="14"/>
                <w:szCs w:val="1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Note receivable from shareholder</w:t>
            </w:r>
          </w:p>
        </w:tc>
        <w:tc>
          <w:tcPr>
            <w:tcW w:w="1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(122)</w:t>
            </w:r>
          </w:p>
        </w:tc>
        <w:tc>
          <w:tcPr>
            <w:tcW w:w="3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122</w:t>
            </w: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w:t>
            </w:r>
          </w:p>
        </w:tc>
        <w:tc>
          <w:tcPr>
            <w:tcW w:w="1660" w:type="dxa"/>
            <w:vAlign w:val="bottom"/>
          </w:tcPr>
          <w:p>
            <w:pPr>
              <w:spacing w:after="0"/>
              <w:rPr>
                <w:sz w:val="14"/>
                <w:szCs w:val="1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Retained earnings (accumulated deficit)</w:t>
            </w:r>
          </w:p>
        </w:tc>
        <w:tc>
          <w:tcPr>
            <w:tcW w:w="1400" w:type="dxa"/>
            <w:vAlign w:val="bottom"/>
          </w:tcPr>
          <w:p>
            <w:pPr>
              <w:jc w:val="right"/>
              <w:ind w:right="452"/>
              <w:spacing w:after="0" w:line="168" w:lineRule="exact"/>
              <w:rPr>
                <w:sz w:val="20"/>
                <w:szCs w:val="20"/>
                <w:color w:val="auto"/>
              </w:rPr>
            </w:pPr>
            <w:r>
              <w:rPr>
                <w:rFonts w:ascii="Courier New" w:cs="Courier New" w:eastAsia="Courier New" w:hAnsi="Courier New"/>
                <w:sz w:val="15"/>
                <w:szCs w:val="15"/>
                <w:color w:val="auto"/>
              </w:rPr>
              <w:t>20,505</w:t>
            </w:r>
          </w:p>
        </w:tc>
        <w:tc>
          <w:tcPr>
            <w:tcW w:w="32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(129)</w:t>
            </w:r>
          </w:p>
        </w:tc>
        <w:tc>
          <w:tcPr>
            <w:tcW w:w="3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129</w:t>
            </w: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H</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20,505</w:t>
            </w:r>
          </w:p>
        </w:tc>
      </w:tr>
      <w:tr>
        <w:trPr>
          <w:trHeight w:val="168"/>
        </w:trPr>
        <w:tc>
          <w:tcPr>
            <w:tcW w:w="3940" w:type="dxa"/>
            <w:vAlign w:val="bottom"/>
          </w:tcPr>
          <w:p>
            <w:pPr>
              <w:spacing w:after="0"/>
              <w:rPr>
                <w:sz w:val="14"/>
                <w:szCs w:val="14"/>
                <w:color w:val="auto"/>
              </w:rPr>
            </w:pPr>
          </w:p>
        </w:tc>
        <w:tc>
          <w:tcPr>
            <w:tcW w:w="1720" w:type="dxa"/>
            <w:vAlign w:val="bottom"/>
            <w:gridSpan w:val="2"/>
          </w:tcPr>
          <w:p>
            <w:pPr>
              <w:ind w:left="100"/>
              <w:spacing w:after="0"/>
              <w:rPr>
                <w:sz w:val="20"/>
                <w:szCs w:val="20"/>
                <w:color w:val="auto"/>
              </w:rPr>
            </w:pPr>
            <w:r>
              <w:rPr>
                <w:rFonts w:ascii="Courier New" w:cs="Courier New" w:eastAsia="Courier New" w:hAnsi="Courier New"/>
                <w:sz w:val="8"/>
                <w:szCs w:val="8"/>
                <w:color w:val="auto"/>
                <w:w w:val="77"/>
              </w:rPr>
              <w:t>-------------------------------------------</w:t>
            </w: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shareholders' equity</w:t>
            </w:r>
          </w:p>
        </w:tc>
        <w:tc>
          <w:tcPr>
            <w:tcW w:w="1400" w:type="dxa"/>
            <w:vAlign w:val="bottom"/>
          </w:tcPr>
          <w:p>
            <w:pPr>
              <w:jc w:val="right"/>
              <w:ind w:right="452"/>
              <w:spacing w:after="0" w:line="168" w:lineRule="exact"/>
              <w:rPr>
                <w:sz w:val="20"/>
                <w:szCs w:val="20"/>
                <w:color w:val="auto"/>
              </w:rPr>
            </w:pPr>
            <w:r>
              <w:rPr>
                <w:rFonts w:ascii="Courier New" w:cs="Courier New" w:eastAsia="Courier New" w:hAnsi="Courier New"/>
                <w:sz w:val="15"/>
                <w:szCs w:val="15"/>
                <w:color w:val="auto"/>
              </w:rPr>
              <w:t>53,656</w:t>
            </w:r>
          </w:p>
        </w:tc>
        <w:tc>
          <w:tcPr>
            <w:tcW w:w="32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7,602</w:t>
            </w:r>
          </w:p>
        </w:tc>
        <w:tc>
          <w:tcPr>
            <w:tcW w:w="3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6,824</w:t>
            </w:r>
          </w:p>
        </w:tc>
        <w:tc>
          <w:tcPr>
            <w:tcW w:w="300" w:type="dxa"/>
            <w:vAlign w:val="bottom"/>
          </w:tcPr>
          <w:p>
            <w:pPr>
              <w:spacing w:after="0"/>
              <w:rPr>
                <w:sz w:val="14"/>
                <w:szCs w:val="14"/>
                <w:color w:val="auto"/>
              </w:rPr>
            </w:pP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68,082</w:t>
            </w:r>
          </w:p>
        </w:tc>
      </w:tr>
      <w:tr>
        <w:trPr>
          <w:trHeight w:val="168"/>
        </w:trPr>
        <w:tc>
          <w:tcPr>
            <w:tcW w:w="3940" w:type="dxa"/>
            <w:vAlign w:val="bottom"/>
          </w:tcPr>
          <w:p>
            <w:pPr>
              <w:spacing w:after="0"/>
              <w:rPr>
                <w:sz w:val="14"/>
                <w:szCs w:val="14"/>
                <w:color w:val="auto"/>
              </w:rPr>
            </w:pPr>
          </w:p>
        </w:tc>
        <w:tc>
          <w:tcPr>
            <w:tcW w:w="1720" w:type="dxa"/>
            <w:vAlign w:val="bottom"/>
            <w:gridSpan w:val="2"/>
          </w:tcPr>
          <w:p>
            <w:pPr>
              <w:ind w:left="100"/>
              <w:spacing w:after="0"/>
              <w:rPr>
                <w:sz w:val="20"/>
                <w:szCs w:val="20"/>
                <w:color w:val="auto"/>
              </w:rPr>
            </w:pPr>
            <w:r>
              <w:rPr>
                <w:rFonts w:ascii="Courier New" w:cs="Courier New" w:eastAsia="Courier New" w:hAnsi="Courier New"/>
                <w:sz w:val="8"/>
                <w:szCs w:val="8"/>
                <w:color w:val="auto"/>
                <w:w w:val="77"/>
              </w:rPr>
              <w:t>-------------------------------------------</w:t>
            </w: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liabilities and shareholders' equity</w:t>
            </w:r>
          </w:p>
        </w:tc>
        <w:tc>
          <w:tcPr>
            <w:tcW w:w="1400" w:type="dxa"/>
            <w:vAlign w:val="bottom"/>
          </w:tcPr>
          <w:p>
            <w:pPr>
              <w:jc w:val="right"/>
              <w:ind w:right="452"/>
              <w:spacing w:after="0" w:line="168" w:lineRule="exact"/>
              <w:rPr>
                <w:sz w:val="20"/>
                <w:szCs w:val="20"/>
                <w:color w:val="auto"/>
              </w:rPr>
            </w:pPr>
            <w:r>
              <w:rPr>
                <w:rFonts w:ascii="Courier New" w:cs="Courier New" w:eastAsia="Courier New" w:hAnsi="Courier New"/>
                <w:sz w:val="15"/>
                <w:szCs w:val="15"/>
                <w:color w:val="auto"/>
              </w:rPr>
              <w:t>$ 57,849</w:t>
            </w:r>
          </w:p>
        </w:tc>
        <w:tc>
          <w:tcPr>
            <w:tcW w:w="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9"/>
              </w:rPr>
              <w:t>11,208</w:t>
            </w:r>
          </w:p>
        </w:tc>
        <w:tc>
          <w:tcPr>
            <w:tcW w:w="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6,824</w:t>
            </w:r>
          </w:p>
        </w:tc>
        <w:tc>
          <w:tcPr>
            <w:tcW w:w="300" w:type="dxa"/>
            <w:vAlign w:val="bottom"/>
          </w:tcPr>
          <w:p>
            <w:pPr>
              <w:spacing w:after="0"/>
              <w:rPr>
                <w:sz w:val="14"/>
                <w:szCs w:val="14"/>
                <w:color w:val="auto"/>
              </w:rPr>
            </w:pP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$ 75,881</w:t>
            </w:r>
          </w:p>
        </w:tc>
      </w:tr>
      <w:tr>
        <w:trPr>
          <w:trHeight w:val="168"/>
        </w:trPr>
        <w:tc>
          <w:tcPr>
            <w:tcW w:w="3940" w:type="dxa"/>
            <w:vAlign w:val="bottom"/>
          </w:tcPr>
          <w:p>
            <w:pPr>
              <w:spacing w:after="0"/>
              <w:rPr>
                <w:sz w:val="14"/>
                <w:szCs w:val="14"/>
                <w:color w:val="auto"/>
              </w:rPr>
            </w:pPr>
          </w:p>
        </w:tc>
        <w:tc>
          <w:tcPr>
            <w:tcW w:w="3900" w:type="dxa"/>
            <w:vAlign w:val="bottom"/>
            <w:gridSpan w:val="5"/>
          </w:tcPr>
          <w:p>
            <w:pPr>
              <w:ind w:left="100"/>
              <w:spacing w:after="0" w:line="168" w:lineRule="exact"/>
              <w:rPr>
                <w:sz w:val="20"/>
                <w:szCs w:val="20"/>
                <w:color w:val="auto"/>
              </w:rPr>
            </w:pPr>
            <w:r>
              <w:rPr>
                <w:rFonts w:ascii="Courier New" w:cs="Courier New" w:eastAsia="Courier New" w:hAnsi="Courier New"/>
                <w:sz w:val="15"/>
                <w:szCs w:val="15"/>
                <w:color w:val="auto"/>
                <w:w w:val="97"/>
              </w:rPr>
              <w:t>===========================================</w:t>
            </w:r>
          </w:p>
        </w:tc>
        <w:tc>
          <w:tcPr>
            <w:tcW w:w="300" w:type="dxa"/>
            <w:vAlign w:val="bottom"/>
          </w:tcPr>
          <w:p>
            <w:pPr>
              <w:spacing w:after="0"/>
              <w:rPr>
                <w:sz w:val="14"/>
                <w:szCs w:val="14"/>
                <w:color w:val="auto"/>
              </w:rPr>
            </w:pP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See accompanying notes to unaudited pro forma condensed</w:t>
      </w:r>
    </w:p>
    <w:p>
      <w:pPr>
        <w:jc w:val="center"/>
        <w:ind w:right="3219"/>
        <w:spacing w:after="0" w:line="237" w:lineRule="auto"/>
        <w:rPr>
          <w:sz w:val="20"/>
          <w:szCs w:val="20"/>
          <w:color w:val="auto"/>
        </w:rPr>
      </w:pPr>
      <w:r>
        <w:rPr>
          <w:rFonts w:ascii="Courier New" w:cs="Courier New" w:eastAsia="Courier New" w:hAnsi="Courier New"/>
          <w:sz w:val="15"/>
          <w:szCs w:val="15"/>
          <w:color w:val="auto"/>
        </w:rPr>
        <w:t>combined financial statements.</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785" w:right="1440" w:bottom="1440" w:gutter="0" w:footer="0" w:header="0"/>
        </w:sectPr>
      </w:pPr>
    </w:p>
    <w:bookmarkStart w:id="46" w:name="page47"/>
    <w:bookmarkEnd w:id="46"/>
    <w:p>
      <w:pPr>
        <w:ind w:left="2460"/>
        <w:spacing w:after="0"/>
        <w:rPr>
          <w:sz w:val="20"/>
          <w:szCs w:val="20"/>
          <w:color w:val="auto"/>
        </w:rPr>
      </w:pPr>
      <w:r>
        <w:rPr>
          <w:rFonts w:ascii="Courier New" w:cs="Courier New" w:eastAsia="Courier New" w:hAnsi="Courier New"/>
          <w:sz w:val="15"/>
          <w:szCs w:val="15"/>
          <w:color w:val="auto"/>
        </w:rPr>
        <w:t>Unaudited Pro Forma Condensed Combined Statements of Operations</w:t>
      </w:r>
    </w:p>
    <w:p>
      <w:pPr>
        <w:ind w:left="3340"/>
        <w:spacing w:after="0" w:line="237" w:lineRule="auto"/>
        <w:rPr>
          <w:sz w:val="20"/>
          <w:szCs w:val="20"/>
          <w:color w:val="auto"/>
        </w:rPr>
      </w:pPr>
      <w:r>
        <w:rPr>
          <w:rFonts w:ascii="Courier New" w:cs="Courier New" w:eastAsia="Courier New" w:hAnsi="Courier New"/>
          <w:sz w:val="15"/>
          <w:szCs w:val="15"/>
          <w:color w:val="auto"/>
        </w:rPr>
        <w:t>For the nine months ended March 31, 2002</w:t>
      </w:r>
    </w:p>
    <w:tbl>
      <w:tblPr>
        <w:tblLayout w:type="fixed"/>
        <w:tblInd w:w="0" w:type="dxa"/>
        <w:tblCellMar>
          <w:top w:w="0" w:type="dxa"/>
          <w:left w:w="0" w:type="dxa"/>
          <w:bottom w:w="0" w:type="dxa"/>
          <w:right w:w="0" w:type="dxa"/>
        </w:tblCellMar>
      </w:tblPr>
      <w:tr>
        <w:trPr>
          <w:trHeight w:val="169"/>
        </w:trPr>
        <w:tc>
          <w:tcPr>
            <w:tcW w:w="2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40" w:type="dxa"/>
            <w:vAlign w:val="bottom"/>
            <w:gridSpan w:val="3"/>
          </w:tcPr>
          <w:p>
            <w:pPr>
              <w:jc w:val="right"/>
              <w:ind w:right="587"/>
              <w:spacing w:after="0" w:line="169" w:lineRule="exact"/>
              <w:rPr>
                <w:sz w:val="20"/>
                <w:szCs w:val="20"/>
                <w:color w:val="auto"/>
              </w:rPr>
            </w:pPr>
            <w:r>
              <w:rPr>
                <w:rFonts w:ascii="Courier New" w:cs="Courier New" w:eastAsia="Courier New" w:hAnsi="Courier New"/>
                <w:sz w:val="15"/>
                <w:szCs w:val="15"/>
                <w:color w:val="auto"/>
              </w:rPr>
              <w:t>(in 000's)</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2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jc w:val="center"/>
              <w:ind w:left="27"/>
              <w:spacing w:after="0"/>
              <w:rPr>
                <w:sz w:val="20"/>
                <w:szCs w:val="20"/>
                <w:color w:val="auto"/>
              </w:rPr>
            </w:pPr>
            <w:r>
              <w:rPr>
                <w:rFonts w:ascii="Courier New" w:cs="Courier New" w:eastAsia="Courier New" w:hAnsi="Courier New"/>
                <w:sz w:val="15"/>
                <w:szCs w:val="15"/>
                <w:color w:val="auto"/>
                <w:w w:val="96"/>
              </w:rPr>
              <w:t>Pro Forma</w:t>
            </w:r>
          </w:p>
        </w:tc>
      </w:tr>
      <w:tr>
        <w:trPr>
          <w:trHeight w:val="168"/>
        </w:trPr>
        <w:tc>
          <w:tcPr>
            <w:tcW w:w="2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right"/>
              <w:ind w:right="167"/>
              <w:spacing w:after="0" w:line="168" w:lineRule="exact"/>
              <w:rPr>
                <w:sz w:val="20"/>
                <w:szCs w:val="20"/>
                <w:color w:val="auto"/>
              </w:rPr>
            </w:pPr>
            <w:r>
              <w:rPr>
                <w:rFonts w:ascii="Courier New" w:cs="Courier New" w:eastAsia="Courier New" w:hAnsi="Courier New"/>
                <w:sz w:val="15"/>
                <w:szCs w:val="15"/>
                <w:color w:val="auto"/>
              </w:rPr>
              <w:t>Combined</w:t>
            </w:r>
          </w:p>
        </w:tc>
      </w:tr>
      <w:tr>
        <w:trPr>
          <w:trHeight w:val="168"/>
        </w:trPr>
        <w:tc>
          <w:tcPr>
            <w:tcW w:w="2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gridSpan w:val="2"/>
          </w:tcPr>
          <w:p>
            <w:pPr>
              <w:jc w:val="center"/>
              <w:ind w:right="47"/>
              <w:spacing w:after="0" w:line="168" w:lineRule="exact"/>
              <w:rPr>
                <w:sz w:val="20"/>
                <w:szCs w:val="20"/>
                <w:color w:val="auto"/>
              </w:rPr>
            </w:pPr>
            <w:r>
              <w:rPr>
                <w:rFonts w:ascii="Courier New" w:cs="Courier New" w:eastAsia="Courier New" w:hAnsi="Courier New"/>
                <w:sz w:val="15"/>
                <w:szCs w:val="15"/>
                <w:color w:val="auto"/>
                <w:w w:val="96"/>
              </w:rPr>
              <w:t>Pro Forma</w:t>
            </w:r>
          </w:p>
        </w:tc>
        <w:tc>
          <w:tcPr>
            <w:tcW w:w="180" w:type="dxa"/>
            <w:vAlign w:val="bottom"/>
          </w:tcPr>
          <w:p>
            <w:pPr>
              <w:spacing w:after="0"/>
              <w:rPr>
                <w:sz w:val="14"/>
                <w:szCs w:val="14"/>
                <w:color w:val="auto"/>
              </w:rPr>
            </w:pP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Pro Forma</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Pro Forma</w:t>
            </w:r>
          </w:p>
        </w:tc>
        <w:tc>
          <w:tcPr>
            <w:tcW w:w="220" w:type="dxa"/>
            <w:vAlign w:val="bottom"/>
          </w:tcPr>
          <w:p>
            <w:pPr>
              <w:spacing w:after="0"/>
              <w:rPr>
                <w:sz w:val="14"/>
                <w:szCs w:val="14"/>
                <w:color w:val="auto"/>
              </w:rPr>
            </w:pPr>
          </w:p>
        </w:tc>
        <w:tc>
          <w:tcPr>
            <w:tcW w:w="1200" w:type="dxa"/>
            <w:vAlign w:val="bottom"/>
            <w:gridSpan w:val="2"/>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for Ivron</w:t>
            </w:r>
          </w:p>
        </w:tc>
      </w:tr>
      <w:tr>
        <w:trPr>
          <w:trHeight w:val="168"/>
        </w:trPr>
        <w:tc>
          <w:tcPr>
            <w:tcW w:w="2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gridSpan w:val="2"/>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Adjustments</w:t>
            </w:r>
          </w:p>
        </w:tc>
        <w:tc>
          <w:tcPr>
            <w:tcW w:w="180" w:type="dxa"/>
            <w:vAlign w:val="bottom"/>
          </w:tcPr>
          <w:p>
            <w:pPr>
              <w:spacing w:after="0"/>
              <w:rPr>
                <w:sz w:val="14"/>
                <w:szCs w:val="14"/>
                <w:color w:val="auto"/>
              </w:rPr>
            </w:pPr>
          </w:p>
        </w:tc>
        <w:tc>
          <w:tcPr>
            <w:tcW w:w="1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Combined for</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Adjustments</w:t>
            </w:r>
          </w:p>
        </w:tc>
        <w:tc>
          <w:tcPr>
            <w:tcW w:w="220" w:type="dxa"/>
            <w:vAlign w:val="bottom"/>
          </w:tcPr>
          <w:p>
            <w:pPr>
              <w:spacing w:after="0"/>
              <w:rPr>
                <w:sz w:val="14"/>
                <w:szCs w:val="14"/>
                <w:color w:val="auto"/>
              </w:rPr>
            </w:pPr>
          </w:p>
        </w:tc>
        <w:tc>
          <w:tcPr>
            <w:tcW w:w="1200" w:type="dxa"/>
            <w:vAlign w:val="bottom"/>
            <w:gridSpan w:val="2"/>
          </w:tcPr>
          <w:p>
            <w:pPr>
              <w:jc w:val="center"/>
              <w:ind w:left="27"/>
              <w:spacing w:after="0" w:line="168" w:lineRule="exact"/>
              <w:rPr>
                <w:sz w:val="20"/>
                <w:szCs w:val="20"/>
                <w:color w:val="auto"/>
              </w:rPr>
            </w:pPr>
            <w:r>
              <w:rPr>
                <w:rFonts w:ascii="Courier New" w:cs="Courier New" w:eastAsia="Courier New" w:hAnsi="Courier New"/>
                <w:sz w:val="15"/>
                <w:szCs w:val="15"/>
                <w:color w:val="auto"/>
                <w:w w:val="98"/>
              </w:rPr>
              <w:t>Systems</w:t>
            </w:r>
          </w:p>
        </w:tc>
      </w:tr>
      <w:tr>
        <w:trPr>
          <w:trHeight w:val="168"/>
        </w:trPr>
        <w:tc>
          <w:tcPr>
            <w:tcW w:w="2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Ivron</w:t>
            </w:r>
          </w:p>
        </w:tc>
        <w:tc>
          <w:tcPr>
            <w:tcW w:w="1260" w:type="dxa"/>
            <w:vAlign w:val="bottom"/>
            <w:gridSpan w:val="2"/>
          </w:tcPr>
          <w:p>
            <w:pPr>
              <w:jc w:val="center"/>
              <w:ind w:right="47"/>
              <w:spacing w:after="0" w:line="168" w:lineRule="exact"/>
              <w:rPr>
                <w:sz w:val="20"/>
                <w:szCs w:val="20"/>
                <w:color w:val="auto"/>
              </w:rPr>
            </w:pPr>
            <w:r>
              <w:rPr>
                <w:rFonts w:ascii="Courier New" w:cs="Courier New" w:eastAsia="Courier New" w:hAnsi="Courier New"/>
                <w:sz w:val="15"/>
                <w:szCs w:val="15"/>
                <w:color w:val="auto"/>
                <w:w w:val="96"/>
              </w:rPr>
              <w:t>for Ivron</w:t>
            </w:r>
          </w:p>
        </w:tc>
        <w:tc>
          <w:tcPr>
            <w:tcW w:w="180" w:type="dxa"/>
            <w:vAlign w:val="bottom"/>
          </w:tcPr>
          <w:p>
            <w:pPr>
              <w:spacing w:after="0"/>
              <w:rPr>
                <w:sz w:val="14"/>
                <w:szCs w:val="14"/>
                <w:color w:val="auto"/>
              </w:rPr>
            </w:pP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3"/>
              </w:rPr>
              <w:t>Ivron</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for</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jc w:val="center"/>
              <w:ind w:right="247"/>
              <w:spacing w:after="0" w:line="168" w:lineRule="exact"/>
              <w:rPr>
                <w:sz w:val="20"/>
                <w:szCs w:val="20"/>
                <w:color w:val="auto"/>
              </w:rPr>
            </w:pPr>
            <w:r>
              <w:rPr>
                <w:rFonts w:ascii="Courier New" w:cs="Courier New" w:eastAsia="Courier New" w:hAnsi="Courier New"/>
                <w:sz w:val="15"/>
                <w:szCs w:val="15"/>
                <w:color w:val="auto"/>
                <w:w w:val="96"/>
              </w:rPr>
              <w:t>and</w:t>
            </w:r>
          </w:p>
        </w:tc>
      </w:tr>
      <w:tr>
        <w:trPr>
          <w:trHeight w:val="168"/>
        </w:trPr>
        <w:tc>
          <w:tcPr>
            <w:tcW w:w="2540" w:type="dxa"/>
            <w:vAlign w:val="bottom"/>
          </w:tcPr>
          <w:p>
            <w:pPr>
              <w:spacing w:after="0"/>
              <w:rPr>
                <w:sz w:val="14"/>
                <w:szCs w:val="14"/>
                <w:color w:val="auto"/>
              </w:rPr>
            </w:pP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ClearOne</w:t>
            </w:r>
          </w:p>
        </w:tc>
        <w:tc>
          <w:tcPr>
            <w:tcW w:w="11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Systems</w:t>
            </w:r>
          </w:p>
        </w:tc>
        <w:tc>
          <w:tcPr>
            <w:tcW w:w="260" w:type="dxa"/>
            <w:vAlign w:val="bottom"/>
          </w:tcPr>
          <w:p>
            <w:pPr>
              <w:spacing w:after="0"/>
              <w:rPr>
                <w:sz w:val="14"/>
                <w:szCs w:val="14"/>
                <w:color w:val="auto"/>
              </w:rPr>
            </w:pPr>
          </w:p>
        </w:tc>
        <w:tc>
          <w:tcPr>
            <w:tcW w:w="100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5"/>
              </w:rPr>
              <w:t>Systems</w:t>
            </w:r>
          </w:p>
        </w:tc>
        <w:tc>
          <w:tcPr>
            <w:tcW w:w="180" w:type="dxa"/>
            <w:vAlign w:val="bottom"/>
          </w:tcPr>
          <w:p>
            <w:pPr>
              <w:spacing w:after="0"/>
              <w:rPr>
                <w:sz w:val="14"/>
                <w:szCs w:val="14"/>
                <w:color w:val="auto"/>
              </w:rPr>
            </w:pP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Systems</w:t>
            </w:r>
          </w:p>
        </w:tc>
        <w:tc>
          <w:tcPr>
            <w:tcW w:w="12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E.mergent</w:t>
            </w:r>
          </w:p>
        </w:tc>
        <w:tc>
          <w:tcPr>
            <w:tcW w:w="1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E.mergent</w:t>
            </w:r>
          </w:p>
        </w:tc>
        <w:tc>
          <w:tcPr>
            <w:tcW w:w="220" w:type="dxa"/>
            <w:vAlign w:val="bottom"/>
          </w:tcPr>
          <w:p>
            <w:pPr>
              <w:spacing w:after="0"/>
              <w:rPr>
                <w:sz w:val="14"/>
                <w:szCs w:val="14"/>
                <w:color w:val="auto"/>
              </w:rPr>
            </w:pPr>
          </w:p>
        </w:tc>
        <w:tc>
          <w:tcPr>
            <w:tcW w:w="1200" w:type="dxa"/>
            <w:vAlign w:val="bottom"/>
            <w:gridSpan w:val="2"/>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E.mergent</w:t>
            </w:r>
          </w:p>
        </w:tc>
      </w:tr>
      <w:tr>
        <w:trPr>
          <w:trHeight w:val="168"/>
        </w:trPr>
        <w:tc>
          <w:tcPr>
            <w:tcW w:w="2540" w:type="dxa"/>
            <w:vAlign w:val="bottom"/>
          </w:tcPr>
          <w:p>
            <w:pPr>
              <w:spacing w:after="0"/>
              <w:rPr>
                <w:sz w:val="14"/>
                <w:szCs w:val="14"/>
                <w:color w:val="auto"/>
              </w:rPr>
            </w:pPr>
          </w:p>
        </w:tc>
        <w:tc>
          <w:tcPr>
            <w:tcW w:w="246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rPr>
              <w:t>(Historical) (Historical)</w:t>
            </w:r>
          </w:p>
        </w:tc>
        <w:tc>
          <w:tcPr>
            <w:tcW w:w="1260" w:type="dxa"/>
            <w:vAlign w:val="bottom"/>
            <w:gridSpan w:val="2"/>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Acquisition</w:t>
            </w:r>
          </w:p>
        </w:tc>
        <w:tc>
          <w:tcPr>
            <w:tcW w:w="180" w:type="dxa"/>
            <w:vAlign w:val="bottom"/>
          </w:tcPr>
          <w:p>
            <w:pPr>
              <w:spacing w:after="0"/>
              <w:rPr>
                <w:sz w:val="14"/>
                <w:szCs w:val="14"/>
                <w:color w:val="auto"/>
              </w:rPr>
            </w:pP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Acquisition</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(Historical)</w:t>
            </w:r>
          </w:p>
        </w:tc>
        <w:tc>
          <w:tcPr>
            <w:tcW w:w="11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Acquisition</w:t>
            </w:r>
          </w:p>
        </w:tc>
        <w:tc>
          <w:tcPr>
            <w:tcW w:w="220" w:type="dxa"/>
            <w:vAlign w:val="bottom"/>
          </w:tcPr>
          <w:p>
            <w:pPr>
              <w:spacing w:after="0"/>
              <w:rPr>
                <w:sz w:val="14"/>
                <w:szCs w:val="14"/>
                <w:color w:val="auto"/>
              </w:rPr>
            </w:pPr>
          </w:p>
        </w:tc>
        <w:tc>
          <w:tcPr>
            <w:tcW w:w="12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Acquisitions</w:t>
            </w:r>
          </w:p>
        </w:tc>
      </w:tr>
      <w:tr>
        <w:trPr>
          <w:trHeight w:val="168"/>
        </w:trPr>
        <w:tc>
          <w:tcPr>
            <w:tcW w:w="2540" w:type="dxa"/>
            <w:vAlign w:val="bottom"/>
          </w:tcPr>
          <w:p>
            <w:pPr>
              <w:spacing w:after="0"/>
              <w:rPr>
                <w:sz w:val="14"/>
                <w:szCs w:val="14"/>
                <w:color w:val="auto"/>
              </w:rPr>
            </w:pPr>
          </w:p>
        </w:tc>
        <w:tc>
          <w:tcPr>
            <w:tcW w:w="9000" w:type="dxa"/>
            <w:vAlign w:val="bottom"/>
            <w:gridSpan w:val="15"/>
          </w:tcPr>
          <w:p>
            <w:pPr>
              <w:ind w:left="1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505"/>
        </w:trPr>
        <w:tc>
          <w:tcPr>
            <w:tcW w:w="25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$37,974</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47</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$38,021</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2"/>
              </w:rPr>
              <w:t>17,055</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jc w:val="right"/>
              <w:ind w:right="167"/>
              <w:spacing w:after="0"/>
              <w:rPr>
                <w:sz w:val="20"/>
                <w:szCs w:val="20"/>
                <w:color w:val="auto"/>
              </w:rPr>
            </w:pPr>
            <w:r>
              <w:rPr>
                <w:rFonts w:ascii="Courier New" w:cs="Courier New" w:eastAsia="Courier New" w:hAnsi="Courier New"/>
                <w:sz w:val="15"/>
                <w:szCs w:val="15"/>
                <w:color w:val="auto"/>
              </w:rPr>
              <w:t>$55,076</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goods sold</w:t>
            </w:r>
          </w:p>
        </w:tc>
        <w:tc>
          <w:tcPr>
            <w:tcW w:w="5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2"/>
              </w:rPr>
              <w:t>15,226</w:t>
            </w:r>
          </w:p>
        </w:tc>
        <w:tc>
          <w:tcPr>
            <w:tcW w:w="30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343</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15,569</w:t>
            </w:r>
          </w:p>
        </w:tc>
        <w:tc>
          <w:tcPr>
            <w:tcW w:w="40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2"/>
              </w:rPr>
              <w:t>10,963</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w w:val="96"/>
              </w:rPr>
              <w:t>26,532</w:t>
            </w:r>
          </w:p>
        </w:tc>
      </w:tr>
      <w:tr>
        <w:trPr>
          <w:trHeight w:val="168"/>
        </w:trPr>
        <w:tc>
          <w:tcPr>
            <w:tcW w:w="254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Courier New" w:cs="Courier New" w:eastAsia="Courier New" w:hAnsi="Courier New"/>
                <w:sz w:val="6"/>
                <w:szCs w:val="6"/>
                <w:color w:val="auto"/>
                <w:w w:val="74"/>
              </w:rPr>
              <w:t>----------------------------------------</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8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8"/>
              </w:rPr>
              <w:t>-----------------------------------------</w:t>
            </w:r>
          </w:p>
        </w:tc>
        <w:tc>
          <w:tcPr>
            <w:tcW w:w="220" w:type="dxa"/>
            <w:vAlign w:val="bottom"/>
          </w:tcPr>
          <w:p>
            <w:pPr>
              <w:spacing w:after="0"/>
              <w:rPr>
                <w:sz w:val="14"/>
                <w:szCs w:val="14"/>
                <w:color w:val="auto"/>
              </w:rPr>
            </w:pPr>
          </w:p>
        </w:tc>
        <w:tc>
          <w:tcPr>
            <w:tcW w:w="12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 (loss)</w:t>
            </w:r>
          </w:p>
        </w:tc>
        <w:tc>
          <w:tcPr>
            <w:tcW w:w="5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2"/>
              </w:rPr>
              <w:t>22,748</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(296)</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22,452</w:t>
            </w:r>
          </w:p>
        </w:tc>
        <w:tc>
          <w:tcPr>
            <w:tcW w:w="40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6,092</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w w:val="96"/>
              </w:rPr>
              <w:t>28,544</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Marketing and selling</w:t>
            </w:r>
          </w:p>
        </w:tc>
        <w:tc>
          <w:tcPr>
            <w:tcW w:w="5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7,996</w:t>
            </w:r>
          </w:p>
        </w:tc>
        <w:tc>
          <w:tcPr>
            <w:tcW w:w="30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304</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8,300</w:t>
            </w:r>
          </w:p>
        </w:tc>
        <w:tc>
          <w:tcPr>
            <w:tcW w:w="40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2,376</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w w:val="96"/>
              </w:rPr>
              <w:t>10,676</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5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4,102</w:t>
            </w:r>
          </w:p>
        </w:tc>
        <w:tc>
          <w:tcPr>
            <w:tcW w:w="30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695</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4,751</w:t>
            </w:r>
          </w:p>
        </w:tc>
        <w:tc>
          <w:tcPr>
            <w:tcW w:w="40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2,490</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(112)</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w:t>
            </w:r>
          </w:p>
        </w:tc>
        <w:tc>
          <w:tcPr>
            <w:tcW w:w="420" w:type="dxa"/>
            <w:vAlign w:val="bottom"/>
          </w:tcPr>
          <w:p>
            <w:pPr>
              <w:spacing w:after="0"/>
              <w:rPr>
                <w:sz w:val="14"/>
                <w:szCs w:val="14"/>
                <w:color w:val="auto"/>
              </w:rPr>
            </w:pPr>
          </w:p>
        </w:tc>
        <w:tc>
          <w:tcPr>
            <w:tcW w:w="78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7,129</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Research and product</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development</w:t>
            </w:r>
          </w:p>
        </w:tc>
        <w:tc>
          <w:tcPr>
            <w:tcW w:w="5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3,044</w:t>
            </w:r>
          </w:p>
        </w:tc>
        <w:tc>
          <w:tcPr>
            <w:tcW w:w="30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116</w:t>
            </w:r>
          </w:p>
        </w:tc>
        <w:tc>
          <w:tcPr>
            <w:tcW w:w="26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139</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3,299</w:t>
            </w:r>
          </w:p>
        </w:tc>
        <w:tc>
          <w:tcPr>
            <w:tcW w:w="40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504</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3,803</w:t>
            </w:r>
          </w:p>
        </w:tc>
      </w:tr>
      <w:tr>
        <w:trPr>
          <w:trHeight w:val="168"/>
        </w:trPr>
        <w:tc>
          <w:tcPr>
            <w:tcW w:w="254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Courier New" w:cs="Courier New" w:eastAsia="Courier New" w:hAnsi="Courier New"/>
                <w:sz w:val="6"/>
                <w:szCs w:val="6"/>
                <w:color w:val="auto"/>
                <w:w w:val="74"/>
              </w:rPr>
              <w:t>----------------------------------------</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8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8"/>
              </w:rPr>
              <w:t>-----------------------------------------</w:t>
            </w:r>
          </w:p>
        </w:tc>
        <w:tc>
          <w:tcPr>
            <w:tcW w:w="220" w:type="dxa"/>
            <w:vAlign w:val="bottom"/>
          </w:tcPr>
          <w:p>
            <w:pPr>
              <w:spacing w:after="0"/>
              <w:rPr>
                <w:sz w:val="14"/>
                <w:szCs w:val="14"/>
                <w:color w:val="auto"/>
              </w:rPr>
            </w:pPr>
          </w:p>
        </w:tc>
        <w:tc>
          <w:tcPr>
            <w:tcW w:w="12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operating expenses</w:t>
            </w:r>
          </w:p>
        </w:tc>
        <w:tc>
          <w:tcPr>
            <w:tcW w:w="5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2"/>
              </w:rPr>
              <w:t>15,142</w:t>
            </w:r>
          </w:p>
        </w:tc>
        <w:tc>
          <w:tcPr>
            <w:tcW w:w="30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1,115</w:t>
            </w:r>
          </w:p>
        </w:tc>
        <w:tc>
          <w:tcPr>
            <w:tcW w:w="26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93</w:t>
            </w:r>
          </w:p>
        </w:tc>
        <w:tc>
          <w:tcPr>
            <w:tcW w:w="180" w:type="dxa"/>
            <w:vAlign w:val="bottom"/>
          </w:tcPr>
          <w:p>
            <w:pPr>
              <w:spacing w:after="0"/>
              <w:rPr>
                <w:sz w:val="14"/>
                <w:szCs w:val="14"/>
                <w:color w:val="auto"/>
              </w:rPr>
            </w:pP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16,350</w:t>
            </w:r>
          </w:p>
        </w:tc>
        <w:tc>
          <w:tcPr>
            <w:tcW w:w="40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5,370</w:t>
            </w:r>
          </w:p>
        </w:tc>
        <w:tc>
          <w:tcPr>
            <w:tcW w:w="16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(112)</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w w:val="96"/>
              </w:rPr>
              <w:t>21,608</w:t>
            </w:r>
          </w:p>
        </w:tc>
      </w:tr>
      <w:tr>
        <w:trPr>
          <w:trHeight w:val="168"/>
        </w:trPr>
        <w:tc>
          <w:tcPr>
            <w:tcW w:w="254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Courier New" w:cs="Courier New" w:eastAsia="Courier New" w:hAnsi="Courier New"/>
                <w:sz w:val="6"/>
                <w:szCs w:val="6"/>
                <w:color w:val="auto"/>
                <w:w w:val="74"/>
              </w:rPr>
              <w:t>----------------------------------------</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8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8"/>
              </w:rPr>
              <w:t>-----------------------------------------</w:t>
            </w:r>
          </w:p>
        </w:tc>
        <w:tc>
          <w:tcPr>
            <w:tcW w:w="220" w:type="dxa"/>
            <w:vAlign w:val="bottom"/>
          </w:tcPr>
          <w:p>
            <w:pPr>
              <w:spacing w:after="0"/>
              <w:rPr>
                <w:sz w:val="14"/>
                <w:szCs w:val="14"/>
                <w:color w:val="auto"/>
              </w:rPr>
            </w:pPr>
          </w:p>
        </w:tc>
        <w:tc>
          <w:tcPr>
            <w:tcW w:w="12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 (loss)</w:t>
            </w:r>
          </w:p>
        </w:tc>
        <w:tc>
          <w:tcPr>
            <w:tcW w:w="5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7,606</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(1,411)</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(93)</w:t>
            </w:r>
          </w:p>
        </w:tc>
        <w:tc>
          <w:tcPr>
            <w:tcW w:w="180" w:type="dxa"/>
            <w:vAlign w:val="bottom"/>
          </w:tcPr>
          <w:p>
            <w:pPr>
              <w:spacing w:after="0"/>
              <w:rPr>
                <w:sz w:val="14"/>
                <w:szCs w:val="14"/>
                <w:color w:val="auto"/>
              </w:rPr>
            </w:pP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6,102</w:t>
            </w:r>
          </w:p>
        </w:tc>
        <w:tc>
          <w:tcPr>
            <w:tcW w:w="40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722</w:t>
            </w:r>
          </w:p>
        </w:tc>
        <w:tc>
          <w:tcPr>
            <w:tcW w:w="16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112</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6,936</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540" w:type="dxa"/>
            <w:vAlign w:val="bottom"/>
          </w:tcPr>
          <w:p>
            <w:pPr>
              <w:spacing w:after="0"/>
              <w:rPr>
                <w:sz w:val="24"/>
                <w:szCs w:val="2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139</w:t>
            </w:r>
          </w:p>
        </w:tc>
        <w:tc>
          <w:tcPr>
            <w:tcW w:w="30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(126)</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w:t>
            </w:r>
          </w:p>
        </w:tc>
        <w:tc>
          <w:tcPr>
            <w:tcW w:w="400" w:type="dxa"/>
            <w:vAlign w:val="bottom"/>
          </w:tcPr>
          <w:p>
            <w:pPr>
              <w:spacing w:after="0"/>
              <w:rPr>
                <w:sz w:val="24"/>
                <w:szCs w:val="2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(21)</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w:t>
            </w:r>
          </w:p>
        </w:tc>
      </w:tr>
      <w:tr>
        <w:trPr>
          <w:trHeight w:val="168"/>
        </w:trPr>
        <w:tc>
          <w:tcPr>
            <w:tcW w:w="254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Courier New" w:cs="Courier New" w:eastAsia="Courier New" w:hAnsi="Courier New"/>
                <w:sz w:val="6"/>
                <w:szCs w:val="6"/>
                <w:color w:val="auto"/>
                <w:w w:val="74"/>
              </w:rPr>
              <w:t>----------------------------------------</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8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8"/>
              </w:rPr>
              <w:t>-----------------------------------------</w:t>
            </w:r>
          </w:p>
        </w:tc>
        <w:tc>
          <w:tcPr>
            <w:tcW w:w="220" w:type="dxa"/>
            <w:vAlign w:val="bottom"/>
          </w:tcPr>
          <w:p>
            <w:pPr>
              <w:spacing w:after="0"/>
              <w:rPr>
                <w:sz w:val="14"/>
                <w:szCs w:val="14"/>
                <w:color w:val="auto"/>
              </w:rPr>
            </w:pPr>
          </w:p>
        </w:tc>
        <w:tc>
          <w:tcPr>
            <w:tcW w:w="12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from</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before income taxes</w:t>
            </w:r>
          </w:p>
        </w:tc>
        <w:tc>
          <w:tcPr>
            <w:tcW w:w="5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7,745</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(1,537)</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(93)</w:t>
            </w:r>
          </w:p>
        </w:tc>
        <w:tc>
          <w:tcPr>
            <w:tcW w:w="180" w:type="dxa"/>
            <w:vAlign w:val="bottom"/>
          </w:tcPr>
          <w:p>
            <w:pPr>
              <w:spacing w:after="0"/>
              <w:rPr>
                <w:sz w:val="14"/>
                <w:szCs w:val="14"/>
                <w:color w:val="auto"/>
              </w:rPr>
            </w:pP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6,115</w:t>
            </w:r>
          </w:p>
        </w:tc>
        <w:tc>
          <w:tcPr>
            <w:tcW w:w="40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701</w:t>
            </w:r>
          </w:p>
        </w:tc>
        <w:tc>
          <w:tcPr>
            <w:tcW w:w="16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112</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6,928</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(benefit) for</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taxes</w:t>
            </w:r>
          </w:p>
        </w:tc>
        <w:tc>
          <w:tcPr>
            <w:tcW w:w="5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2,771</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2,736</w:t>
            </w:r>
          </w:p>
        </w:tc>
        <w:tc>
          <w:tcPr>
            <w:tcW w:w="40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269</w:t>
            </w:r>
          </w:p>
        </w:tc>
        <w:tc>
          <w:tcPr>
            <w:tcW w:w="16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42</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w:t>
            </w:r>
          </w:p>
        </w:tc>
        <w:tc>
          <w:tcPr>
            <w:tcW w:w="420" w:type="dxa"/>
            <w:vAlign w:val="bottom"/>
          </w:tcPr>
          <w:p>
            <w:pPr>
              <w:spacing w:after="0"/>
              <w:rPr>
                <w:sz w:val="14"/>
                <w:szCs w:val="14"/>
                <w:color w:val="auto"/>
              </w:rPr>
            </w:pPr>
          </w:p>
        </w:tc>
        <w:tc>
          <w:tcPr>
            <w:tcW w:w="78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3,047</w:t>
            </w:r>
          </w:p>
        </w:tc>
      </w:tr>
      <w:tr>
        <w:trPr>
          <w:trHeight w:val="168"/>
        </w:trPr>
        <w:tc>
          <w:tcPr>
            <w:tcW w:w="254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Courier New" w:cs="Courier New" w:eastAsia="Courier New" w:hAnsi="Courier New"/>
                <w:sz w:val="6"/>
                <w:szCs w:val="6"/>
                <w:color w:val="auto"/>
                <w:w w:val="74"/>
              </w:rPr>
              <w:t>----------------------------------------</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8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8"/>
              </w:rPr>
              <w:t>-----------------------------------------</w:t>
            </w:r>
          </w:p>
        </w:tc>
        <w:tc>
          <w:tcPr>
            <w:tcW w:w="220" w:type="dxa"/>
            <w:vAlign w:val="bottom"/>
          </w:tcPr>
          <w:p>
            <w:pPr>
              <w:spacing w:after="0"/>
              <w:rPr>
                <w:sz w:val="14"/>
                <w:szCs w:val="14"/>
                <w:color w:val="auto"/>
              </w:rPr>
            </w:pPr>
          </w:p>
        </w:tc>
        <w:tc>
          <w:tcPr>
            <w:tcW w:w="12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from</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$ 4,974</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(1,537)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w:t>
            </w:r>
          </w:p>
        </w:tc>
        <w:tc>
          <w:tcPr>
            <w:tcW w:w="180" w:type="dxa"/>
            <w:vAlign w:val="bottom"/>
          </w:tcPr>
          <w:p>
            <w:pPr>
              <w:spacing w:after="0"/>
              <w:rPr>
                <w:sz w:val="14"/>
                <w:szCs w:val="14"/>
                <w:color w:val="auto"/>
              </w:rPr>
            </w:pP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$ 3,379</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432</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70</w:t>
            </w:r>
          </w:p>
        </w:tc>
        <w:tc>
          <w:tcPr>
            <w:tcW w:w="220" w:type="dxa"/>
            <w:vAlign w:val="bottom"/>
          </w:tcPr>
          <w:p>
            <w:pPr>
              <w:spacing w:after="0"/>
              <w:rPr>
                <w:sz w:val="14"/>
                <w:szCs w:val="14"/>
                <w:color w:val="auto"/>
              </w:rPr>
            </w:pPr>
          </w:p>
        </w:tc>
        <w:tc>
          <w:tcPr>
            <w:tcW w:w="1200" w:type="dxa"/>
            <w:vAlign w:val="bottom"/>
            <w:gridSpan w:val="2"/>
          </w:tcPr>
          <w:p>
            <w:pPr>
              <w:jc w:val="right"/>
              <w:ind w:right="167"/>
              <w:spacing w:after="0" w:line="168" w:lineRule="exact"/>
              <w:rPr>
                <w:sz w:val="20"/>
                <w:szCs w:val="20"/>
                <w:color w:val="auto"/>
              </w:rPr>
            </w:pPr>
            <w:r>
              <w:rPr>
                <w:rFonts w:ascii="Courier New" w:cs="Courier New" w:eastAsia="Courier New" w:hAnsi="Courier New"/>
                <w:sz w:val="15"/>
                <w:szCs w:val="15"/>
                <w:color w:val="auto"/>
              </w:rPr>
              <w:t>$ 3,881</w:t>
            </w:r>
          </w:p>
        </w:tc>
      </w:tr>
      <w:tr>
        <w:trPr>
          <w:trHeight w:val="168"/>
        </w:trPr>
        <w:tc>
          <w:tcPr>
            <w:tcW w:w="2540" w:type="dxa"/>
            <w:vAlign w:val="bottom"/>
          </w:tcPr>
          <w:p>
            <w:pPr>
              <w:spacing w:after="0"/>
              <w:rPr>
                <w:sz w:val="14"/>
                <w:szCs w:val="14"/>
                <w:color w:val="auto"/>
              </w:rPr>
            </w:pPr>
          </w:p>
        </w:tc>
        <w:tc>
          <w:tcPr>
            <w:tcW w:w="3720" w:type="dxa"/>
            <w:vAlign w:val="bottom"/>
            <w:gridSpan w:val="6"/>
          </w:tcPr>
          <w:p>
            <w:pPr>
              <w:ind w:left="180"/>
              <w:spacing w:after="0" w:line="168" w:lineRule="exact"/>
              <w:rPr>
                <w:sz w:val="20"/>
                <w:szCs w:val="20"/>
                <w:color w:val="auto"/>
              </w:rPr>
            </w:pPr>
            <w:r>
              <w:rPr>
                <w:rFonts w:ascii="Courier New" w:cs="Courier New" w:eastAsia="Courier New" w:hAnsi="Courier New"/>
                <w:sz w:val="15"/>
                <w:szCs w:val="15"/>
                <w:color w:val="auto"/>
                <w:w w:val="97"/>
              </w:rPr>
              <w:t>========================================</w:t>
            </w:r>
          </w:p>
        </w:tc>
        <w:tc>
          <w:tcPr>
            <w:tcW w:w="180" w:type="dxa"/>
            <w:vAlign w:val="bottom"/>
          </w:tcPr>
          <w:p>
            <w:pPr>
              <w:spacing w:after="0"/>
              <w:rPr>
                <w:sz w:val="14"/>
                <w:szCs w:val="14"/>
                <w:color w:val="auto"/>
              </w:rPr>
            </w:pPr>
          </w:p>
        </w:tc>
        <w:tc>
          <w:tcPr>
            <w:tcW w:w="368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8"/>
              </w:rPr>
              <w:t>=========================================</w:t>
            </w:r>
          </w:p>
        </w:tc>
        <w:tc>
          <w:tcPr>
            <w:tcW w:w="220" w:type="dxa"/>
            <w:vAlign w:val="bottom"/>
          </w:tcPr>
          <w:p>
            <w:pPr>
              <w:spacing w:after="0"/>
              <w:rPr>
                <w:sz w:val="14"/>
                <w:szCs w:val="14"/>
                <w:color w:val="auto"/>
              </w:rPr>
            </w:pPr>
          </w:p>
        </w:tc>
        <w:tc>
          <w:tcPr>
            <w:tcW w:w="12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Basic earnings per common</w:t>
            </w: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w:t>
            </w:r>
          </w:p>
        </w:tc>
        <w:tc>
          <w:tcPr>
            <w:tcW w:w="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0.54</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0.35</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per common</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w:t>
            </w:r>
          </w:p>
        </w:tc>
        <w:tc>
          <w:tcPr>
            <w:tcW w:w="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0.51</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0.34</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shares</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outstanding:</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5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Basic</w:t>
            </w:r>
          </w:p>
        </w:tc>
        <w:tc>
          <w:tcPr>
            <w:tcW w:w="5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9,247</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w w:val="96"/>
              </w:rPr>
              <w:t>11,005</w:t>
            </w:r>
          </w:p>
        </w:tc>
      </w:tr>
      <w:tr>
        <w:trPr>
          <w:trHeight w:val="168"/>
        </w:trPr>
        <w:tc>
          <w:tcPr>
            <w:tcW w:w="25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Diluted</w:t>
            </w:r>
          </w:p>
        </w:tc>
        <w:tc>
          <w:tcPr>
            <w:tcW w:w="5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9,756</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w w:val="96"/>
              </w:rPr>
              <w:t>11,462</w:t>
            </w:r>
          </w:p>
        </w:tc>
      </w:tr>
    </w:tbl>
    <w:p>
      <w:pPr>
        <w:spacing w:after="0" w:line="335"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5"/>
          <w:szCs w:val="15"/>
          <w:color w:val="auto"/>
        </w:rPr>
        <w:t>See accompanying notes to unaudited pro forma condensed</w:t>
      </w:r>
    </w:p>
    <w:p>
      <w:pPr>
        <w:jc w:val="center"/>
        <w:ind w:right="4520"/>
        <w:spacing w:after="0" w:line="237" w:lineRule="auto"/>
        <w:rPr>
          <w:sz w:val="20"/>
          <w:szCs w:val="20"/>
          <w:color w:val="auto"/>
        </w:rPr>
      </w:pPr>
      <w:r>
        <w:rPr>
          <w:rFonts w:ascii="Courier New" w:cs="Courier New" w:eastAsia="Courier New" w:hAnsi="Courier New"/>
          <w:sz w:val="15"/>
          <w:szCs w:val="15"/>
          <w:color w:val="auto"/>
        </w:rPr>
        <w:t>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1540"/>
          </w:cols>
          <w:pgMar w:left="220" w:top="785" w:right="139" w:bottom="1440" w:gutter="0" w:footer="0" w:header="0"/>
        </w:sectPr>
      </w:pPr>
    </w:p>
    <w:bookmarkStart w:id="47" w:name="page48"/>
    <w:bookmarkEnd w:id="47"/>
    <w:p>
      <w:pPr>
        <w:ind w:left="2460"/>
        <w:spacing w:after="0"/>
        <w:rPr>
          <w:sz w:val="20"/>
          <w:szCs w:val="20"/>
          <w:color w:val="auto"/>
        </w:rPr>
      </w:pPr>
      <w:r>
        <w:rPr>
          <w:rFonts w:ascii="Courier New" w:cs="Courier New" w:eastAsia="Courier New" w:hAnsi="Courier New"/>
          <w:sz w:val="15"/>
          <w:szCs w:val="15"/>
          <w:color w:val="auto"/>
        </w:rPr>
        <w:t>Unaudited Pro Forma Condensed Combined Statements of Operations</w:t>
      </w:r>
    </w:p>
    <w:p>
      <w:pPr>
        <w:ind w:left="3340"/>
        <w:spacing w:after="0" w:line="237" w:lineRule="auto"/>
        <w:rPr>
          <w:sz w:val="20"/>
          <w:szCs w:val="20"/>
          <w:color w:val="auto"/>
        </w:rPr>
      </w:pPr>
      <w:r>
        <w:rPr>
          <w:rFonts w:ascii="Courier New" w:cs="Courier New" w:eastAsia="Courier New" w:hAnsi="Courier New"/>
          <w:sz w:val="15"/>
          <w:szCs w:val="15"/>
          <w:color w:val="auto"/>
        </w:rPr>
        <w:t>For the fiscal year ended June 30, 2001</w:t>
      </w:r>
    </w:p>
    <w:tbl>
      <w:tblPr>
        <w:tblLayout w:type="fixed"/>
        <w:tblInd w:w="0" w:type="dxa"/>
        <w:tblCellMar>
          <w:top w:w="0" w:type="dxa"/>
          <w:left w:w="0" w:type="dxa"/>
          <w:bottom w:w="0" w:type="dxa"/>
          <w:right w:w="0" w:type="dxa"/>
        </w:tblCellMar>
      </w:tblPr>
      <w:tr>
        <w:trPr>
          <w:trHeight w:val="169"/>
        </w:trPr>
        <w:tc>
          <w:tcPr>
            <w:tcW w:w="2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gridSpan w:val="2"/>
          </w:tcPr>
          <w:p>
            <w:pPr>
              <w:jc w:val="right"/>
              <w:spacing w:after="0" w:line="169" w:lineRule="exact"/>
              <w:rPr>
                <w:sz w:val="20"/>
                <w:szCs w:val="20"/>
                <w:color w:val="auto"/>
              </w:rPr>
            </w:pPr>
            <w:r>
              <w:rPr>
                <w:rFonts w:ascii="Courier New" w:cs="Courier New" w:eastAsia="Courier New" w:hAnsi="Courier New"/>
                <w:sz w:val="15"/>
                <w:szCs w:val="15"/>
                <w:color w:val="auto"/>
              </w:rPr>
              <w:t>(in `000s)</w:t>
            </w: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505"/>
        </w:trPr>
        <w:tc>
          <w:tcPr>
            <w:tcW w:w="2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jc w:val="right"/>
              <w:ind w:right="167"/>
              <w:spacing w:after="0"/>
              <w:rPr>
                <w:sz w:val="20"/>
                <w:szCs w:val="20"/>
                <w:color w:val="auto"/>
              </w:rPr>
            </w:pPr>
            <w:r>
              <w:rPr>
                <w:rFonts w:ascii="Courier New" w:cs="Courier New" w:eastAsia="Courier New" w:hAnsi="Courier New"/>
                <w:sz w:val="15"/>
                <w:szCs w:val="15"/>
                <w:color w:val="auto"/>
              </w:rPr>
              <w:t>Pro Forma</w:t>
            </w:r>
          </w:p>
        </w:tc>
      </w:tr>
      <w:tr>
        <w:trPr>
          <w:trHeight w:val="168"/>
        </w:trPr>
        <w:tc>
          <w:tcPr>
            <w:tcW w:w="2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gridSpan w:val="2"/>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Pro Forma</w:t>
            </w:r>
          </w:p>
        </w:tc>
        <w:tc>
          <w:tcPr>
            <w:tcW w:w="260" w:type="dxa"/>
            <w:vAlign w:val="bottom"/>
          </w:tcPr>
          <w:p>
            <w:pPr>
              <w:spacing w:after="0"/>
              <w:rPr>
                <w:sz w:val="14"/>
                <w:szCs w:val="14"/>
                <w:color w:val="auto"/>
              </w:rPr>
            </w:pP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Pro Forma</w:t>
            </w: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Pro Forma</w:t>
            </w:r>
          </w:p>
        </w:tc>
        <w:tc>
          <w:tcPr>
            <w:tcW w:w="220" w:type="dxa"/>
            <w:vAlign w:val="bottom"/>
          </w:tcPr>
          <w:p>
            <w:pPr>
              <w:spacing w:after="0"/>
              <w:rPr>
                <w:sz w:val="14"/>
                <w:szCs w:val="14"/>
                <w:color w:val="auto"/>
              </w:rPr>
            </w:pPr>
          </w:p>
        </w:tc>
        <w:tc>
          <w:tcPr>
            <w:tcW w:w="1200" w:type="dxa"/>
            <w:vAlign w:val="bottom"/>
            <w:gridSpan w:val="2"/>
          </w:tcPr>
          <w:p>
            <w:pPr>
              <w:jc w:val="right"/>
              <w:ind w:right="167"/>
              <w:spacing w:after="0" w:line="168" w:lineRule="exact"/>
              <w:rPr>
                <w:sz w:val="20"/>
                <w:szCs w:val="20"/>
                <w:color w:val="auto"/>
              </w:rPr>
            </w:pPr>
            <w:r>
              <w:rPr>
                <w:rFonts w:ascii="Courier New" w:cs="Courier New" w:eastAsia="Courier New" w:hAnsi="Courier New"/>
                <w:sz w:val="15"/>
                <w:szCs w:val="15"/>
                <w:color w:val="auto"/>
              </w:rPr>
              <w:t>Combined</w:t>
            </w:r>
          </w:p>
        </w:tc>
      </w:tr>
      <w:tr>
        <w:trPr>
          <w:trHeight w:val="168"/>
        </w:trPr>
        <w:tc>
          <w:tcPr>
            <w:tcW w:w="2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gridSpan w:val="2"/>
          </w:tcPr>
          <w:p>
            <w:pPr>
              <w:jc w:val="center"/>
              <w:ind w:right="47"/>
              <w:spacing w:after="0" w:line="168" w:lineRule="exact"/>
              <w:rPr>
                <w:sz w:val="20"/>
                <w:szCs w:val="20"/>
                <w:color w:val="auto"/>
              </w:rPr>
            </w:pPr>
            <w:r>
              <w:rPr>
                <w:rFonts w:ascii="Courier New" w:cs="Courier New" w:eastAsia="Courier New" w:hAnsi="Courier New"/>
                <w:sz w:val="15"/>
                <w:szCs w:val="15"/>
                <w:color w:val="auto"/>
                <w:w w:val="96"/>
              </w:rPr>
              <w:t>Adjustments</w:t>
            </w:r>
          </w:p>
        </w:tc>
        <w:tc>
          <w:tcPr>
            <w:tcW w:w="260" w:type="dxa"/>
            <w:vAlign w:val="bottom"/>
          </w:tcPr>
          <w:p>
            <w:pPr>
              <w:spacing w:after="0"/>
              <w:rPr>
                <w:sz w:val="14"/>
                <w:szCs w:val="14"/>
                <w:color w:val="auto"/>
              </w:rPr>
            </w:pP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Combined</w:t>
            </w: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Adjustments</w:t>
            </w:r>
          </w:p>
        </w:tc>
        <w:tc>
          <w:tcPr>
            <w:tcW w:w="220" w:type="dxa"/>
            <w:vAlign w:val="bottom"/>
          </w:tcPr>
          <w:p>
            <w:pPr>
              <w:spacing w:after="0"/>
              <w:rPr>
                <w:sz w:val="14"/>
                <w:szCs w:val="14"/>
                <w:color w:val="auto"/>
              </w:rPr>
            </w:pPr>
          </w:p>
        </w:tc>
        <w:tc>
          <w:tcPr>
            <w:tcW w:w="1200" w:type="dxa"/>
            <w:vAlign w:val="bottom"/>
            <w:gridSpan w:val="2"/>
          </w:tcPr>
          <w:p>
            <w:pPr>
              <w:jc w:val="right"/>
              <w:ind w:right="167"/>
              <w:spacing w:after="0" w:line="168" w:lineRule="exact"/>
              <w:rPr>
                <w:sz w:val="20"/>
                <w:szCs w:val="20"/>
                <w:color w:val="auto"/>
              </w:rPr>
            </w:pPr>
            <w:r>
              <w:rPr>
                <w:rFonts w:ascii="Courier New" w:cs="Courier New" w:eastAsia="Courier New" w:hAnsi="Courier New"/>
                <w:sz w:val="15"/>
                <w:szCs w:val="15"/>
                <w:color w:val="auto"/>
              </w:rPr>
              <w:t>for Ivron</w:t>
            </w:r>
          </w:p>
        </w:tc>
      </w:tr>
      <w:tr>
        <w:trPr>
          <w:trHeight w:val="168"/>
        </w:trPr>
        <w:tc>
          <w:tcPr>
            <w:tcW w:w="2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gridSpan w:val="2"/>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for Ivron</w:t>
            </w:r>
          </w:p>
        </w:tc>
        <w:tc>
          <w:tcPr>
            <w:tcW w:w="260" w:type="dxa"/>
            <w:vAlign w:val="bottom"/>
          </w:tcPr>
          <w:p>
            <w:pPr>
              <w:spacing w:after="0"/>
              <w:rPr>
                <w:sz w:val="14"/>
                <w:szCs w:val="14"/>
                <w:color w:val="auto"/>
              </w:rPr>
            </w:pP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for Ivron</w:t>
            </w: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jc w:val="center"/>
              <w:ind w:right="407"/>
              <w:spacing w:after="0" w:line="168" w:lineRule="exact"/>
              <w:rPr>
                <w:sz w:val="20"/>
                <w:szCs w:val="20"/>
                <w:color w:val="auto"/>
              </w:rPr>
            </w:pPr>
            <w:r>
              <w:rPr>
                <w:rFonts w:ascii="Courier New" w:cs="Courier New" w:eastAsia="Courier New" w:hAnsi="Courier New"/>
                <w:sz w:val="15"/>
                <w:szCs w:val="15"/>
                <w:color w:val="auto"/>
              </w:rPr>
              <w:t>for</w:t>
            </w:r>
          </w:p>
        </w:tc>
        <w:tc>
          <w:tcPr>
            <w:tcW w:w="220" w:type="dxa"/>
            <w:vAlign w:val="bottom"/>
          </w:tcPr>
          <w:p>
            <w:pPr>
              <w:spacing w:after="0"/>
              <w:rPr>
                <w:sz w:val="14"/>
                <w:szCs w:val="14"/>
                <w:color w:val="auto"/>
              </w:rPr>
            </w:pPr>
          </w:p>
        </w:tc>
        <w:tc>
          <w:tcPr>
            <w:tcW w:w="12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Systems and</w:t>
            </w:r>
          </w:p>
        </w:tc>
      </w:tr>
      <w:tr>
        <w:trPr>
          <w:trHeight w:val="168"/>
        </w:trPr>
        <w:tc>
          <w:tcPr>
            <w:tcW w:w="2540" w:type="dxa"/>
            <w:vAlign w:val="bottom"/>
          </w:tcPr>
          <w:p>
            <w:pPr>
              <w:spacing w:after="0"/>
              <w:rPr>
                <w:sz w:val="14"/>
                <w:szCs w:val="14"/>
                <w:color w:val="auto"/>
              </w:rPr>
            </w:pPr>
          </w:p>
        </w:tc>
        <w:tc>
          <w:tcPr>
            <w:tcW w:w="132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ClearOne</w:t>
            </w:r>
          </w:p>
        </w:tc>
        <w:tc>
          <w:tcPr>
            <w:tcW w:w="34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Ivron</w:t>
            </w:r>
          </w:p>
        </w:tc>
        <w:tc>
          <w:tcPr>
            <w:tcW w:w="260" w:type="dxa"/>
            <w:vAlign w:val="bottom"/>
          </w:tcPr>
          <w:p>
            <w:pPr>
              <w:spacing w:after="0"/>
              <w:rPr>
                <w:sz w:val="14"/>
                <w:szCs w:val="14"/>
                <w:color w:val="auto"/>
              </w:rPr>
            </w:pPr>
          </w:p>
        </w:tc>
        <w:tc>
          <w:tcPr>
            <w:tcW w:w="102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8"/>
              </w:rPr>
              <w:t>Systems</w:t>
            </w:r>
          </w:p>
        </w:tc>
        <w:tc>
          <w:tcPr>
            <w:tcW w:w="26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Systems</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E.mergent</w:t>
            </w:r>
          </w:p>
        </w:tc>
        <w:tc>
          <w:tcPr>
            <w:tcW w:w="11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E.mergent</w:t>
            </w:r>
          </w:p>
        </w:tc>
        <w:tc>
          <w:tcPr>
            <w:tcW w:w="220" w:type="dxa"/>
            <w:vAlign w:val="bottom"/>
          </w:tcPr>
          <w:p>
            <w:pPr>
              <w:spacing w:after="0"/>
              <w:rPr>
                <w:sz w:val="14"/>
                <w:szCs w:val="14"/>
                <w:color w:val="auto"/>
              </w:rPr>
            </w:pPr>
          </w:p>
        </w:tc>
        <w:tc>
          <w:tcPr>
            <w:tcW w:w="1200" w:type="dxa"/>
            <w:vAlign w:val="bottom"/>
            <w:gridSpan w:val="2"/>
          </w:tcPr>
          <w:p>
            <w:pPr>
              <w:jc w:val="right"/>
              <w:ind w:right="167"/>
              <w:spacing w:after="0" w:line="168" w:lineRule="exact"/>
              <w:rPr>
                <w:sz w:val="20"/>
                <w:szCs w:val="20"/>
                <w:color w:val="auto"/>
              </w:rPr>
            </w:pPr>
            <w:r>
              <w:rPr>
                <w:rFonts w:ascii="Courier New" w:cs="Courier New" w:eastAsia="Courier New" w:hAnsi="Courier New"/>
                <w:sz w:val="15"/>
                <w:szCs w:val="15"/>
                <w:color w:val="auto"/>
              </w:rPr>
              <w:t>E.mergent</w:t>
            </w:r>
          </w:p>
        </w:tc>
      </w:tr>
      <w:tr>
        <w:trPr>
          <w:trHeight w:val="168"/>
        </w:trPr>
        <w:tc>
          <w:tcPr>
            <w:tcW w:w="2540" w:type="dxa"/>
            <w:vAlign w:val="bottom"/>
          </w:tcPr>
          <w:p>
            <w:pPr>
              <w:spacing w:after="0"/>
              <w:rPr>
                <w:sz w:val="14"/>
                <w:szCs w:val="14"/>
                <w:color w:val="auto"/>
              </w:rPr>
            </w:pPr>
          </w:p>
        </w:tc>
        <w:tc>
          <w:tcPr>
            <w:tcW w:w="1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(Historical)</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(Historical)</w:t>
            </w:r>
          </w:p>
        </w:tc>
        <w:tc>
          <w:tcPr>
            <w:tcW w:w="1280" w:type="dxa"/>
            <w:vAlign w:val="bottom"/>
            <w:gridSpan w:val="2"/>
          </w:tcPr>
          <w:p>
            <w:pPr>
              <w:jc w:val="center"/>
              <w:ind w:right="47"/>
              <w:spacing w:after="0" w:line="168" w:lineRule="exact"/>
              <w:rPr>
                <w:sz w:val="20"/>
                <w:szCs w:val="20"/>
                <w:color w:val="auto"/>
              </w:rPr>
            </w:pPr>
            <w:r>
              <w:rPr>
                <w:rFonts w:ascii="Courier New" w:cs="Courier New" w:eastAsia="Courier New" w:hAnsi="Courier New"/>
                <w:sz w:val="15"/>
                <w:szCs w:val="15"/>
                <w:color w:val="auto"/>
                <w:w w:val="96"/>
              </w:rPr>
              <w:t>Acquisition</w:t>
            </w:r>
          </w:p>
        </w:tc>
        <w:tc>
          <w:tcPr>
            <w:tcW w:w="260" w:type="dxa"/>
            <w:vAlign w:val="bottom"/>
          </w:tcPr>
          <w:p>
            <w:pPr>
              <w:spacing w:after="0"/>
              <w:rPr>
                <w:sz w:val="14"/>
                <w:szCs w:val="14"/>
                <w:color w:val="auto"/>
              </w:rPr>
            </w:pPr>
          </w:p>
        </w:tc>
        <w:tc>
          <w:tcPr>
            <w:tcW w:w="11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Acquisition</w:t>
            </w:r>
          </w:p>
        </w:tc>
        <w:tc>
          <w:tcPr>
            <w:tcW w:w="2320" w:type="dxa"/>
            <w:vAlign w:val="bottom"/>
            <w:gridSpan w:val="4"/>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(Historical) Acquisition</w:t>
            </w:r>
          </w:p>
        </w:tc>
        <w:tc>
          <w:tcPr>
            <w:tcW w:w="220" w:type="dxa"/>
            <w:vAlign w:val="bottom"/>
          </w:tcPr>
          <w:p>
            <w:pPr>
              <w:spacing w:after="0"/>
              <w:rPr>
                <w:sz w:val="14"/>
                <w:szCs w:val="14"/>
                <w:color w:val="auto"/>
              </w:rPr>
            </w:pPr>
          </w:p>
        </w:tc>
        <w:tc>
          <w:tcPr>
            <w:tcW w:w="12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Acquisitions</w:t>
            </w:r>
          </w:p>
        </w:tc>
      </w:tr>
      <w:tr>
        <w:trPr>
          <w:trHeight w:val="168"/>
        </w:trPr>
        <w:tc>
          <w:tcPr>
            <w:tcW w:w="2540" w:type="dxa"/>
            <w:vAlign w:val="bottom"/>
          </w:tcPr>
          <w:p>
            <w:pPr>
              <w:spacing w:after="0"/>
              <w:rPr>
                <w:sz w:val="14"/>
                <w:szCs w:val="14"/>
                <w:color w:val="auto"/>
              </w:rPr>
            </w:pPr>
          </w:p>
        </w:tc>
        <w:tc>
          <w:tcPr>
            <w:tcW w:w="9000" w:type="dxa"/>
            <w:vAlign w:val="bottom"/>
            <w:gridSpan w:val="15"/>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505"/>
        </w:trPr>
        <w:tc>
          <w:tcPr>
            <w:tcW w:w="25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$ 39,878</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608</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$ 40,486</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22,503</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(188)</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K</w:t>
            </w:r>
          </w:p>
        </w:tc>
        <w:tc>
          <w:tcPr>
            <w:tcW w:w="1200" w:type="dxa"/>
            <w:vAlign w:val="bottom"/>
            <w:gridSpan w:val="2"/>
          </w:tcPr>
          <w:p>
            <w:pPr>
              <w:jc w:val="right"/>
              <w:ind w:right="167"/>
              <w:spacing w:after="0"/>
              <w:rPr>
                <w:sz w:val="20"/>
                <w:szCs w:val="20"/>
                <w:color w:val="auto"/>
              </w:rPr>
            </w:pPr>
            <w:r>
              <w:rPr>
                <w:rFonts w:ascii="Courier New" w:cs="Courier New" w:eastAsia="Courier New" w:hAnsi="Courier New"/>
                <w:sz w:val="15"/>
                <w:szCs w:val="15"/>
                <w:color w:val="auto"/>
              </w:rPr>
              <w:t>$ 62,801</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goods sold</w:t>
            </w:r>
          </w:p>
        </w:tc>
        <w:tc>
          <w:tcPr>
            <w:tcW w:w="5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16,503</w:t>
            </w:r>
          </w:p>
        </w:tc>
        <w:tc>
          <w:tcPr>
            <w:tcW w:w="34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798</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17,301</w:t>
            </w:r>
          </w:p>
        </w:tc>
        <w:tc>
          <w:tcPr>
            <w:tcW w:w="38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14,270</w:t>
            </w:r>
          </w:p>
        </w:tc>
        <w:tc>
          <w:tcPr>
            <w:tcW w:w="42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(188)</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K</w:t>
            </w:r>
          </w:p>
        </w:tc>
        <w:tc>
          <w:tcPr>
            <w:tcW w:w="380" w:type="dxa"/>
            <w:vAlign w:val="bottom"/>
          </w:tcPr>
          <w:p>
            <w:pPr>
              <w:spacing w:after="0"/>
              <w:rPr>
                <w:sz w:val="14"/>
                <w:szCs w:val="14"/>
                <w:color w:val="auto"/>
              </w:rPr>
            </w:pPr>
          </w:p>
        </w:tc>
        <w:tc>
          <w:tcPr>
            <w:tcW w:w="82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31,383</w:t>
            </w:r>
          </w:p>
        </w:tc>
      </w:tr>
      <w:tr>
        <w:trPr>
          <w:trHeight w:val="168"/>
        </w:trPr>
        <w:tc>
          <w:tcPr>
            <w:tcW w:w="2540" w:type="dxa"/>
            <w:vAlign w:val="bottom"/>
          </w:tcPr>
          <w:p>
            <w:pPr>
              <w:spacing w:after="0"/>
              <w:rPr>
                <w:sz w:val="14"/>
                <w:szCs w:val="14"/>
                <w:color w:val="auto"/>
              </w:rPr>
            </w:pPr>
          </w:p>
        </w:tc>
        <w:tc>
          <w:tcPr>
            <w:tcW w:w="1320" w:type="dxa"/>
            <w:vAlign w:val="bottom"/>
            <w:gridSpan w:val="2"/>
          </w:tcPr>
          <w:p>
            <w:pPr>
              <w:ind w:left="180"/>
              <w:spacing w:after="0"/>
              <w:rPr>
                <w:sz w:val="20"/>
                <w:szCs w:val="20"/>
                <w:color w:val="auto"/>
              </w:rPr>
            </w:pPr>
            <w:r>
              <w:rPr>
                <w:rFonts w:ascii="Courier New" w:cs="Courier New" w:eastAsia="Courier New" w:hAnsi="Courier New"/>
                <w:sz w:val="6"/>
                <w:szCs w:val="6"/>
                <w:color w:val="auto"/>
                <w:w w:val="75"/>
              </w:rPr>
              <w:t>-----------------------------------------</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500" w:type="dxa"/>
            <w:vAlign w:val="bottom"/>
            <w:gridSpan w:val="5"/>
          </w:tcPr>
          <w:p>
            <w:pPr>
              <w:ind w:left="120"/>
              <w:spacing w:after="0" w:line="168" w:lineRule="exact"/>
              <w:rPr>
                <w:sz w:val="20"/>
                <w:szCs w:val="20"/>
                <w:color w:val="auto"/>
              </w:rPr>
            </w:pPr>
            <w:r>
              <w:rPr>
                <w:rFonts w:ascii="Courier New" w:cs="Courier New" w:eastAsia="Courier New" w:hAnsi="Courier New"/>
                <w:sz w:val="15"/>
                <w:szCs w:val="15"/>
                <w:color w:val="auto"/>
                <w:w w:val="98"/>
              </w:rPr>
              <w:t>--------------------------------------</w:t>
            </w:r>
          </w:p>
        </w:tc>
        <w:tc>
          <w:tcPr>
            <w:tcW w:w="220" w:type="dxa"/>
            <w:vAlign w:val="bottom"/>
          </w:tcPr>
          <w:p>
            <w:pPr>
              <w:spacing w:after="0"/>
              <w:rPr>
                <w:sz w:val="14"/>
                <w:szCs w:val="14"/>
                <w:color w:val="auto"/>
              </w:rPr>
            </w:pPr>
          </w:p>
        </w:tc>
        <w:tc>
          <w:tcPr>
            <w:tcW w:w="12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 (loss)</w:t>
            </w:r>
          </w:p>
        </w:tc>
        <w:tc>
          <w:tcPr>
            <w:tcW w:w="5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23,375</w:t>
            </w:r>
          </w:p>
        </w:tc>
        <w:tc>
          <w:tcPr>
            <w:tcW w:w="3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(190)</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23,185</w:t>
            </w:r>
          </w:p>
        </w:tc>
        <w:tc>
          <w:tcPr>
            <w:tcW w:w="38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8,233</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31,418</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Marketing and selling</w:t>
            </w:r>
          </w:p>
        </w:tc>
        <w:tc>
          <w:tcPr>
            <w:tcW w:w="5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7,753</w:t>
            </w:r>
          </w:p>
        </w:tc>
        <w:tc>
          <w:tcPr>
            <w:tcW w:w="34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1,588</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9,341</w:t>
            </w:r>
          </w:p>
        </w:tc>
        <w:tc>
          <w:tcPr>
            <w:tcW w:w="38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3,449</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12,790</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5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4,649</w:t>
            </w:r>
          </w:p>
        </w:tc>
        <w:tc>
          <w:tcPr>
            <w:tcW w:w="34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555</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(182)</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5,022</w:t>
            </w:r>
          </w:p>
        </w:tc>
        <w:tc>
          <w:tcPr>
            <w:tcW w:w="38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3,276</w:t>
            </w:r>
          </w:p>
        </w:tc>
        <w:tc>
          <w:tcPr>
            <w:tcW w:w="42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(224)</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w:t>
            </w:r>
          </w:p>
        </w:tc>
        <w:tc>
          <w:tcPr>
            <w:tcW w:w="380" w:type="dxa"/>
            <w:vAlign w:val="bottom"/>
          </w:tcPr>
          <w:p>
            <w:pPr>
              <w:spacing w:after="0"/>
              <w:rPr>
                <w:sz w:val="14"/>
                <w:szCs w:val="14"/>
                <w:color w:val="auto"/>
              </w:rPr>
            </w:pPr>
          </w:p>
        </w:tc>
        <w:tc>
          <w:tcPr>
            <w:tcW w:w="82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8,074</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Research and product</w:t>
            </w: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development</w:t>
            </w:r>
          </w:p>
        </w:tc>
        <w:tc>
          <w:tcPr>
            <w:tcW w:w="5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2,502</w:t>
            </w:r>
          </w:p>
        </w:tc>
        <w:tc>
          <w:tcPr>
            <w:tcW w:w="34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732</w:t>
            </w:r>
          </w:p>
        </w:tc>
        <w:tc>
          <w:tcPr>
            <w:tcW w:w="26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555</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3,789</w:t>
            </w:r>
          </w:p>
        </w:tc>
        <w:tc>
          <w:tcPr>
            <w:tcW w:w="38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689</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4,478</w:t>
            </w:r>
          </w:p>
        </w:tc>
      </w:tr>
      <w:tr>
        <w:trPr>
          <w:trHeight w:val="168"/>
        </w:trPr>
        <w:tc>
          <w:tcPr>
            <w:tcW w:w="2540" w:type="dxa"/>
            <w:vAlign w:val="bottom"/>
          </w:tcPr>
          <w:p>
            <w:pPr>
              <w:spacing w:after="0"/>
              <w:rPr>
                <w:sz w:val="14"/>
                <w:szCs w:val="14"/>
                <w:color w:val="auto"/>
              </w:rPr>
            </w:pPr>
          </w:p>
        </w:tc>
        <w:tc>
          <w:tcPr>
            <w:tcW w:w="1320" w:type="dxa"/>
            <w:vAlign w:val="bottom"/>
            <w:gridSpan w:val="2"/>
          </w:tcPr>
          <w:p>
            <w:pPr>
              <w:ind w:left="180"/>
              <w:spacing w:after="0"/>
              <w:rPr>
                <w:sz w:val="20"/>
                <w:szCs w:val="20"/>
                <w:color w:val="auto"/>
              </w:rPr>
            </w:pPr>
            <w:r>
              <w:rPr>
                <w:rFonts w:ascii="Courier New" w:cs="Courier New" w:eastAsia="Courier New" w:hAnsi="Courier New"/>
                <w:sz w:val="6"/>
                <w:szCs w:val="6"/>
                <w:color w:val="auto"/>
                <w:w w:val="75"/>
              </w:rPr>
              <w:t>-----------------------------------------</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500" w:type="dxa"/>
            <w:vAlign w:val="bottom"/>
            <w:gridSpan w:val="5"/>
          </w:tcPr>
          <w:p>
            <w:pPr>
              <w:ind w:left="120"/>
              <w:spacing w:after="0" w:line="168" w:lineRule="exact"/>
              <w:rPr>
                <w:sz w:val="20"/>
                <w:szCs w:val="20"/>
                <w:color w:val="auto"/>
              </w:rPr>
            </w:pPr>
            <w:r>
              <w:rPr>
                <w:rFonts w:ascii="Courier New" w:cs="Courier New" w:eastAsia="Courier New" w:hAnsi="Courier New"/>
                <w:sz w:val="15"/>
                <w:szCs w:val="15"/>
                <w:color w:val="auto"/>
                <w:w w:val="98"/>
              </w:rPr>
              <w:t>--------------------------------------</w:t>
            </w:r>
          </w:p>
        </w:tc>
        <w:tc>
          <w:tcPr>
            <w:tcW w:w="220" w:type="dxa"/>
            <w:vAlign w:val="bottom"/>
          </w:tcPr>
          <w:p>
            <w:pPr>
              <w:spacing w:after="0"/>
              <w:rPr>
                <w:sz w:val="14"/>
                <w:szCs w:val="14"/>
                <w:color w:val="auto"/>
              </w:rPr>
            </w:pPr>
          </w:p>
        </w:tc>
        <w:tc>
          <w:tcPr>
            <w:tcW w:w="12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operating expenses</w:t>
            </w:r>
          </w:p>
        </w:tc>
        <w:tc>
          <w:tcPr>
            <w:tcW w:w="5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14,904</w:t>
            </w:r>
          </w:p>
        </w:tc>
        <w:tc>
          <w:tcPr>
            <w:tcW w:w="34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2,875</w:t>
            </w:r>
          </w:p>
        </w:tc>
        <w:tc>
          <w:tcPr>
            <w:tcW w:w="26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373</w:t>
            </w:r>
          </w:p>
        </w:tc>
        <w:tc>
          <w:tcPr>
            <w:tcW w:w="26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18,152</w:t>
            </w:r>
          </w:p>
        </w:tc>
        <w:tc>
          <w:tcPr>
            <w:tcW w:w="38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7,414</w:t>
            </w:r>
          </w:p>
        </w:tc>
        <w:tc>
          <w:tcPr>
            <w:tcW w:w="42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(224)</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25,342</w:t>
            </w:r>
          </w:p>
        </w:tc>
      </w:tr>
      <w:tr>
        <w:trPr>
          <w:trHeight w:val="168"/>
        </w:trPr>
        <w:tc>
          <w:tcPr>
            <w:tcW w:w="2540" w:type="dxa"/>
            <w:vAlign w:val="bottom"/>
          </w:tcPr>
          <w:p>
            <w:pPr>
              <w:spacing w:after="0"/>
              <w:rPr>
                <w:sz w:val="14"/>
                <w:szCs w:val="14"/>
                <w:color w:val="auto"/>
              </w:rPr>
            </w:pPr>
          </w:p>
        </w:tc>
        <w:tc>
          <w:tcPr>
            <w:tcW w:w="1320" w:type="dxa"/>
            <w:vAlign w:val="bottom"/>
            <w:gridSpan w:val="2"/>
          </w:tcPr>
          <w:p>
            <w:pPr>
              <w:ind w:left="180"/>
              <w:spacing w:after="0"/>
              <w:rPr>
                <w:sz w:val="20"/>
                <w:szCs w:val="20"/>
                <w:color w:val="auto"/>
              </w:rPr>
            </w:pPr>
            <w:r>
              <w:rPr>
                <w:rFonts w:ascii="Courier New" w:cs="Courier New" w:eastAsia="Courier New" w:hAnsi="Courier New"/>
                <w:sz w:val="6"/>
                <w:szCs w:val="6"/>
                <w:color w:val="auto"/>
                <w:w w:val="75"/>
              </w:rPr>
              <w:t>-----------------------------------------</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500" w:type="dxa"/>
            <w:vAlign w:val="bottom"/>
            <w:gridSpan w:val="5"/>
          </w:tcPr>
          <w:p>
            <w:pPr>
              <w:ind w:left="120"/>
              <w:spacing w:after="0" w:line="168" w:lineRule="exact"/>
              <w:rPr>
                <w:sz w:val="20"/>
                <w:szCs w:val="20"/>
                <w:color w:val="auto"/>
              </w:rPr>
            </w:pPr>
            <w:r>
              <w:rPr>
                <w:rFonts w:ascii="Courier New" w:cs="Courier New" w:eastAsia="Courier New" w:hAnsi="Courier New"/>
                <w:sz w:val="15"/>
                <w:szCs w:val="15"/>
                <w:color w:val="auto"/>
                <w:w w:val="98"/>
              </w:rPr>
              <w:t>--------------------------------------</w:t>
            </w:r>
          </w:p>
        </w:tc>
        <w:tc>
          <w:tcPr>
            <w:tcW w:w="220" w:type="dxa"/>
            <w:vAlign w:val="bottom"/>
          </w:tcPr>
          <w:p>
            <w:pPr>
              <w:spacing w:after="0"/>
              <w:rPr>
                <w:sz w:val="14"/>
                <w:szCs w:val="14"/>
                <w:color w:val="auto"/>
              </w:rPr>
            </w:pPr>
          </w:p>
        </w:tc>
        <w:tc>
          <w:tcPr>
            <w:tcW w:w="12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 (loss)</w:t>
            </w:r>
          </w:p>
        </w:tc>
        <w:tc>
          <w:tcPr>
            <w:tcW w:w="5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8,471</w:t>
            </w:r>
          </w:p>
        </w:tc>
        <w:tc>
          <w:tcPr>
            <w:tcW w:w="3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(3,065)</w:t>
            </w:r>
          </w:p>
        </w:tc>
        <w:tc>
          <w:tcPr>
            <w:tcW w:w="2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(373)</w:t>
            </w:r>
          </w:p>
        </w:tc>
        <w:tc>
          <w:tcPr>
            <w:tcW w:w="26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5,033</w:t>
            </w:r>
          </w:p>
        </w:tc>
        <w:tc>
          <w:tcPr>
            <w:tcW w:w="38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819</w:t>
            </w:r>
          </w:p>
        </w:tc>
        <w:tc>
          <w:tcPr>
            <w:tcW w:w="42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224</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6,076</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540" w:type="dxa"/>
            <w:vAlign w:val="bottom"/>
          </w:tcPr>
          <w:p>
            <w:pPr>
              <w:spacing w:after="0"/>
              <w:rPr>
                <w:sz w:val="24"/>
                <w:szCs w:val="2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373</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373</w:t>
            </w:r>
          </w:p>
        </w:tc>
        <w:tc>
          <w:tcPr>
            <w:tcW w:w="380" w:type="dxa"/>
            <w:vAlign w:val="bottom"/>
          </w:tcPr>
          <w:p>
            <w:pPr>
              <w:spacing w:after="0"/>
              <w:rPr>
                <w:sz w:val="24"/>
                <w:szCs w:val="2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(151)</w:t>
            </w: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222</w:t>
            </w:r>
          </w:p>
        </w:tc>
      </w:tr>
      <w:tr>
        <w:trPr>
          <w:trHeight w:val="168"/>
        </w:trPr>
        <w:tc>
          <w:tcPr>
            <w:tcW w:w="2540" w:type="dxa"/>
            <w:vAlign w:val="bottom"/>
          </w:tcPr>
          <w:p>
            <w:pPr>
              <w:spacing w:after="0"/>
              <w:rPr>
                <w:sz w:val="14"/>
                <w:szCs w:val="14"/>
                <w:color w:val="auto"/>
              </w:rPr>
            </w:pPr>
          </w:p>
        </w:tc>
        <w:tc>
          <w:tcPr>
            <w:tcW w:w="1320" w:type="dxa"/>
            <w:vAlign w:val="bottom"/>
            <w:gridSpan w:val="2"/>
          </w:tcPr>
          <w:p>
            <w:pPr>
              <w:ind w:left="180"/>
              <w:spacing w:after="0"/>
              <w:rPr>
                <w:sz w:val="20"/>
                <w:szCs w:val="20"/>
                <w:color w:val="auto"/>
              </w:rPr>
            </w:pPr>
            <w:r>
              <w:rPr>
                <w:rFonts w:ascii="Courier New" w:cs="Courier New" w:eastAsia="Courier New" w:hAnsi="Courier New"/>
                <w:sz w:val="6"/>
                <w:szCs w:val="6"/>
                <w:color w:val="auto"/>
                <w:w w:val="75"/>
              </w:rPr>
              <w:t>-----------------------------------------</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500" w:type="dxa"/>
            <w:vAlign w:val="bottom"/>
            <w:gridSpan w:val="5"/>
          </w:tcPr>
          <w:p>
            <w:pPr>
              <w:ind w:left="120"/>
              <w:spacing w:after="0" w:line="168" w:lineRule="exact"/>
              <w:rPr>
                <w:sz w:val="20"/>
                <w:szCs w:val="20"/>
                <w:color w:val="auto"/>
              </w:rPr>
            </w:pPr>
            <w:r>
              <w:rPr>
                <w:rFonts w:ascii="Courier New" w:cs="Courier New" w:eastAsia="Courier New" w:hAnsi="Courier New"/>
                <w:sz w:val="15"/>
                <w:szCs w:val="15"/>
                <w:color w:val="auto"/>
                <w:w w:val="98"/>
              </w:rPr>
              <w:t>--------------------------------------</w:t>
            </w:r>
          </w:p>
        </w:tc>
        <w:tc>
          <w:tcPr>
            <w:tcW w:w="220" w:type="dxa"/>
            <w:vAlign w:val="bottom"/>
          </w:tcPr>
          <w:p>
            <w:pPr>
              <w:spacing w:after="0"/>
              <w:rPr>
                <w:sz w:val="14"/>
                <w:szCs w:val="14"/>
                <w:color w:val="auto"/>
              </w:rPr>
            </w:pPr>
          </w:p>
        </w:tc>
        <w:tc>
          <w:tcPr>
            <w:tcW w:w="12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from</w:t>
            </w: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before income taxes</w:t>
            </w:r>
          </w:p>
        </w:tc>
        <w:tc>
          <w:tcPr>
            <w:tcW w:w="5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8,844</w:t>
            </w:r>
          </w:p>
        </w:tc>
        <w:tc>
          <w:tcPr>
            <w:tcW w:w="3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(3,065)</w:t>
            </w:r>
          </w:p>
        </w:tc>
        <w:tc>
          <w:tcPr>
            <w:tcW w:w="2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(373)</w:t>
            </w:r>
          </w:p>
        </w:tc>
        <w:tc>
          <w:tcPr>
            <w:tcW w:w="26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5,406</w:t>
            </w:r>
          </w:p>
        </w:tc>
        <w:tc>
          <w:tcPr>
            <w:tcW w:w="38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668</w:t>
            </w:r>
          </w:p>
        </w:tc>
        <w:tc>
          <w:tcPr>
            <w:tcW w:w="42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224</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6,298</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(benefit) for</w:t>
            </w: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taxes</w:t>
            </w:r>
          </w:p>
        </w:tc>
        <w:tc>
          <w:tcPr>
            <w:tcW w:w="5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3,319</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(139)</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3,180</w:t>
            </w:r>
          </w:p>
        </w:tc>
        <w:tc>
          <w:tcPr>
            <w:tcW w:w="38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(70)</w:t>
            </w:r>
          </w:p>
        </w:tc>
        <w:tc>
          <w:tcPr>
            <w:tcW w:w="42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83</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w:t>
            </w:r>
          </w:p>
        </w:tc>
        <w:tc>
          <w:tcPr>
            <w:tcW w:w="380" w:type="dxa"/>
            <w:vAlign w:val="bottom"/>
          </w:tcPr>
          <w:p>
            <w:pPr>
              <w:spacing w:after="0"/>
              <w:rPr>
                <w:sz w:val="14"/>
                <w:szCs w:val="14"/>
                <w:color w:val="auto"/>
              </w:rPr>
            </w:pPr>
          </w:p>
        </w:tc>
        <w:tc>
          <w:tcPr>
            <w:tcW w:w="82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3,193</w:t>
            </w:r>
          </w:p>
        </w:tc>
      </w:tr>
      <w:tr>
        <w:trPr>
          <w:trHeight w:val="168"/>
        </w:trPr>
        <w:tc>
          <w:tcPr>
            <w:tcW w:w="2540" w:type="dxa"/>
            <w:vAlign w:val="bottom"/>
          </w:tcPr>
          <w:p>
            <w:pPr>
              <w:spacing w:after="0"/>
              <w:rPr>
                <w:sz w:val="14"/>
                <w:szCs w:val="14"/>
                <w:color w:val="auto"/>
              </w:rPr>
            </w:pPr>
          </w:p>
        </w:tc>
        <w:tc>
          <w:tcPr>
            <w:tcW w:w="1320" w:type="dxa"/>
            <w:vAlign w:val="bottom"/>
            <w:gridSpan w:val="2"/>
          </w:tcPr>
          <w:p>
            <w:pPr>
              <w:ind w:left="180"/>
              <w:spacing w:after="0"/>
              <w:rPr>
                <w:sz w:val="20"/>
                <w:szCs w:val="20"/>
                <w:color w:val="auto"/>
              </w:rPr>
            </w:pPr>
            <w:r>
              <w:rPr>
                <w:rFonts w:ascii="Courier New" w:cs="Courier New" w:eastAsia="Courier New" w:hAnsi="Courier New"/>
                <w:sz w:val="6"/>
                <w:szCs w:val="6"/>
                <w:color w:val="auto"/>
                <w:w w:val="75"/>
              </w:rPr>
              <w:t>-----------------------------------------</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500" w:type="dxa"/>
            <w:vAlign w:val="bottom"/>
            <w:gridSpan w:val="5"/>
          </w:tcPr>
          <w:p>
            <w:pPr>
              <w:ind w:left="120"/>
              <w:spacing w:after="0" w:line="168" w:lineRule="exact"/>
              <w:rPr>
                <w:sz w:val="20"/>
                <w:szCs w:val="20"/>
                <w:color w:val="auto"/>
              </w:rPr>
            </w:pPr>
            <w:r>
              <w:rPr>
                <w:rFonts w:ascii="Courier New" w:cs="Courier New" w:eastAsia="Courier New" w:hAnsi="Courier New"/>
                <w:sz w:val="15"/>
                <w:szCs w:val="15"/>
                <w:color w:val="auto"/>
                <w:w w:val="98"/>
              </w:rPr>
              <w:t>--------------------------------------</w:t>
            </w:r>
          </w:p>
        </w:tc>
        <w:tc>
          <w:tcPr>
            <w:tcW w:w="220" w:type="dxa"/>
            <w:vAlign w:val="bottom"/>
          </w:tcPr>
          <w:p>
            <w:pPr>
              <w:spacing w:after="0"/>
              <w:rPr>
                <w:sz w:val="14"/>
                <w:szCs w:val="14"/>
                <w:color w:val="auto"/>
              </w:rPr>
            </w:pPr>
          </w:p>
        </w:tc>
        <w:tc>
          <w:tcPr>
            <w:tcW w:w="12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from</w:t>
            </w: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5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5,525</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(3,065)</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(234)</w:t>
            </w:r>
          </w:p>
        </w:tc>
        <w:tc>
          <w:tcPr>
            <w:tcW w:w="26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2,226</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738</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141</w:t>
            </w:r>
          </w:p>
        </w:tc>
        <w:tc>
          <w:tcPr>
            <w:tcW w:w="220" w:type="dxa"/>
            <w:vAlign w:val="bottom"/>
          </w:tcPr>
          <w:p>
            <w:pPr>
              <w:spacing w:after="0"/>
              <w:rPr>
                <w:sz w:val="14"/>
                <w:szCs w:val="14"/>
                <w:color w:val="auto"/>
              </w:rPr>
            </w:pP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3,105</w:t>
            </w:r>
          </w:p>
        </w:tc>
      </w:tr>
      <w:tr>
        <w:trPr>
          <w:trHeight w:val="168"/>
        </w:trPr>
        <w:tc>
          <w:tcPr>
            <w:tcW w:w="2540" w:type="dxa"/>
            <w:vAlign w:val="bottom"/>
          </w:tcPr>
          <w:p>
            <w:pPr>
              <w:spacing w:after="0"/>
              <w:rPr>
                <w:sz w:val="14"/>
                <w:szCs w:val="14"/>
                <w:color w:val="auto"/>
              </w:rPr>
            </w:pPr>
          </w:p>
        </w:tc>
        <w:tc>
          <w:tcPr>
            <w:tcW w:w="3820" w:type="dxa"/>
            <w:vAlign w:val="bottom"/>
            <w:gridSpan w:val="6"/>
          </w:tcPr>
          <w:p>
            <w:pPr>
              <w:ind w:left="180"/>
              <w:spacing w:after="0" w:line="168" w:lineRule="exact"/>
              <w:rPr>
                <w:sz w:val="20"/>
                <w:szCs w:val="20"/>
                <w:color w:val="auto"/>
              </w:rPr>
            </w:pPr>
            <w:r>
              <w:rPr>
                <w:rFonts w:ascii="Courier New" w:cs="Courier New" w:eastAsia="Courier New" w:hAnsi="Courier New"/>
                <w:sz w:val="15"/>
                <w:szCs w:val="15"/>
                <w:color w:val="auto"/>
                <w:w w:val="98"/>
              </w:rPr>
              <w:t>=========================================</w:t>
            </w:r>
          </w:p>
        </w:tc>
        <w:tc>
          <w:tcPr>
            <w:tcW w:w="260" w:type="dxa"/>
            <w:vAlign w:val="bottom"/>
          </w:tcPr>
          <w:p>
            <w:pPr>
              <w:spacing w:after="0"/>
              <w:rPr>
                <w:sz w:val="14"/>
                <w:szCs w:val="14"/>
                <w:color w:val="auto"/>
              </w:rPr>
            </w:pPr>
          </w:p>
        </w:tc>
        <w:tc>
          <w:tcPr>
            <w:tcW w:w="3500" w:type="dxa"/>
            <w:vAlign w:val="bottom"/>
            <w:gridSpan w:val="5"/>
          </w:tcPr>
          <w:p>
            <w:pPr>
              <w:ind w:left="120"/>
              <w:spacing w:after="0" w:line="168" w:lineRule="exact"/>
              <w:rPr>
                <w:sz w:val="20"/>
                <w:szCs w:val="20"/>
                <w:color w:val="auto"/>
              </w:rPr>
            </w:pPr>
            <w:r>
              <w:rPr>
                <w:rFonts w:ascii="Courier New" w:cs="Courier New" w:eastAsia="Courier New" w:hAnsi="Courier New"/>
                <w:sz w:val="15"/>
                <w:szCs w:val="15"/>
                <w:color w:val="auto"/>
                <w:w w:val="98"/>
              </w:rPr>
              <w:t>======================================</w:t>
            </w:r>
          </w:p>
        </w:tc>
        <w:tc>
          <w:tcPr>
            <w:tcW w:w="220" w:type="dxa"/>
            <w:vAlign w:val="bottom"/>
          </w:tcPr>
          <w:p>
            <w:pPr>
              <w:spacing w:after="0"/>
              <w:rPr>
                <w:sz w:val="14"/>
                <w:szCs w:val="14"/>
                <w:color w:val="auto"/>
              </w:rPr>
            </w:pPr>
          </w:p>
        </w:tc>
        <w:tc>
          <w:tcPr>
            <w:tcW w:w="12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Basic earnings per common</w:t>
            </w: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w:t>
            </w:r>
          </w:p>
        </w:tc>
        <w:tc>
          <w:tcPr>
            <w:tcW w:w="5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0.64</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0.28</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per common</w:t>
            </w: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w:t>
            </w:r>
          </w:p>
        </w:tc>
        <w:tc>
          <w:tcPr>
            <w:tcW w:w="5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0.61</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0.27</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shares</w:t>
            </w: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outstanding:</w:t>
            </w: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5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Basic</w:t>
            </w:r>
          </w:p>
        </w:tc>
        <w:tc>
          <w:tcPr>
            <w:tcW w:w="5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8,594</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10,960</w:t>
            </w:r>
          </w:p>
        </w:tc>
      </w:tr>
      <w:tr>
        <w:trPr>
          <w:trHeight w:val="168"/>
        </w:trPr>
        <w:tc>
          <w:tcPr>
            <w:tcW w:w="25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Diluted</w:t>
            </w:r>
          </w:p>
        </w:tc>
        <w:tc>
          <w:tcPr>
            <w:tcW w:w="5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9,016</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11,383</w:t>
            </w:r>
          </w:p>
        </w:tc>
      </w:tr>
    </w:tbl>
    <w:p>
      <w:pPr>
        <w:spacing w:after="0" w:line="335"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5"/>
          <w:szCs w:val="15"/>
          <w:color w:val="auto"/>
        </w:rPr>
        <w:t>See accompanying notes to unaudited pro forma condensed</w:t>
      </w:r>
    </w:p>
    <w:p>
      <w:pPr>
        <w:jc w:val="center"/>
        <w:ind w:right="4520"/>
        <w:spacing w:after="0" w:line="237" w:lineRule="auto"/>
        <w:rPr>
          <w:sz w:val="20"/>
          <w:szCs w:val="20"/>
          <w:color w:val="auto"/>
        </w:rPr>
      </w:pPr>
      <w:r>
        <w:rPr>
          <w:rFonts w:ascii="Courier New" w:cs="Courier New" w:eastAsia="Courier New" w:hAnsi="Courier New"/>
          <w:sz w:val="15"/>
          <w:szCs w:val="15"/>
          <w:color w:val="auto"/>
        </w:rPr>
        <w:t>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1540"/>
          </w:cols>
          <w:pgMar w:left="220" w:top="785" w:right="139" w:bottom="1440" w:gutter="0" w:footer="0" w:header="0"/>
        </w:sectPr>
      </w:pPr>
    </w:p>
    <w:bookmarkStart w:id="48" w:name="page49"/>
    <w:bookmarkEnd w:id="48"/>
    <w:p>
      <w:pPr>
        <w:ind w:left="540"/>
        <w:spacing w:after="0"/>
        <w:rPr>
          <w:sz w:val="20"/>
          <w:szCs w:val="20"/>
          <w:color w:val="auto"/>
        </w:rPr>
      </w:pPr>
      <w:r>
        <w:rPr>
          <w:rFonts w:ascii="Courier New" w:cs="Courier New" w:eastAsia="Courier New" w:hAnsi="Courier New"/>
          <w:sz w:val="15"/>
          <w:szCs w:val="15"/>
          <w:color w:val="auto"/>
        </w:rPr>
        <w:t>Notes to Unaudited Pro Forma Condensed Combined Financial Information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October 3, 2001, ClearOne executed a share purchase agreement, for which an amendment was finalized on April 8, 2002, with the shareholders of Ivron Systems. ClearOne paid cash of $6,000,000 for all of the issued and outstanding shares of Ivron Systems, cash of $650,000 for all outstanding options to purchase common shares of Ivron Systems, and incurred acquisition costs of $274,000 in the transaction. Additional consideration may be issued to Ivron Systems' shareholders if certain contingencies related to future earnings targets as defined in the share purchase agreement are met. The following is a summary of the purchase price allocation using the October 3, 2001 balance sheet of Ivron Systems (in 000's):</w:t>
      </w:r>
    </w:p>
    <w:p>
      <w:pPr>
        <w:spacing w:after="0" w:line="173"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3540" w:type="dxa"/>
            <w:vAlign w:val="bottom"/>
          </w:tcPr>
          <w:p>
            <w:pPr>
              <w:spacing w:after="0"/>
              <w:rPr>
                <w:sz w:val="20"/>
                <w:szCs w:val="20"/>
                <w:color w:val="auto"/>
              </w:rPr>
            </w:pPr>
            <w:r>
              <w:rPr>
                <w:rFonts w:ascii="Courier New" w:cs="Courier New" w:eastAsia="Courier New" w:hAnsi="Courier New"/>
                <w:sz w:val="15"/>
                <w:szCs w:val="15"/>
                <w:color w:val="auto"/>
              </w:rPr>
              <w:t>Cash</w:t>
            </w:r>
          </w:p>
        </w:tc>
        <w:tc>
          <w:tcPr>
            <w:tcW w:w="15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460</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132</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Inventory</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608</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Fixed assets</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 and other intangible assets</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6,144</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payable</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(175)</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expenses</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(266)</w:t>
            </w:r>
          </w:p>
        </w:tc>
      </w:tr>
      <w:tr>
        <w:trPr>
          <w:trHeight w:val="168"/>
        </w:trPr>
        <w:tc>
          <w:tcPr>
            <w:tcW w:w="3540" w:type="dxa"/>
            <w:vAlign w:val="bottom"/>
          </w:tcPr>
          <w:p>
            <w:pPr>
              <w:spacing w:after="0"/>
              <w:rPr>
                <w:sz w:val="14"/>
                <w:szCs w:val="14"/>
                <w:color w:val="auto"/>
              </w:rPr>
            </w:pP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4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Total</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$6,924</w:t>
            </w:r>
          </w:p>
        </w:tc>
      </w:tr>
      <w:tr>
        <w:trPr>
          <w:trHeight w:val="168"/>
        </w:trPr>
        <w:tc>
          <w:tcPr>
            <w:tcW w:w="3540" w:type="dxa"/>
            <w:vAlign w:val="bottom"/>
          </w:tcPr>
          <w:p>
            <w:pPr>
              <w:spacing w:after="0"/>
              <w:rPr>
                <w:sz w:val="14"/>
                <w:szCs w:val="14"/>
                <w:color w:val="auto"/>
              </w:rPr>
            </w:pP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On January 21, 2002, ClearOne entered into a definitive agreement to acquire E.mergent. This acquisition was completed on May 31, 2002. Under the terms of the agreement, ClearOne acquired all of the issued and outstanding stock of E.mergent; thereby acquiring title to all assets and assuming all liabilities of E.mergent. As consideration in the transaction, ClearOne paid cash of $7,300,000 and issued 873,000 shares of its common stock, less the aggregate number of shares of common stock allocated to E.mergent's outstanding stock options assumed by ClearOne in the merger because, in accordance with the agreement and plan of merger, the 873,000 shares of ClearOne common stock were allocated first to E.mergent stock options being assumed by ClearOne. Outstanding E.mergent stock options were converted to options to purchase 4,158 shares of ClearOne's common stock at the ratio specified in the agreement and plan of merger. The value of the stock consideration paid to E.mergent shareholders used in determining the purchase price for accounting purposes was based on ClearOne's average closing price two days prior to and two days subsequent to January 21, 2002 (the announcement date for the acquisition and merger) of $16.55. Additionally, ClearOne estimates that its acquisition costs will total approximately $1,156,000 in the transaction. This includes approximately $464,000 for severance payments to terminating E.mergent executives and anticipated severance payments to other terminating E.mergent employees of approximately $90,000, as well as approximately $602,000 related to professional advisory, legal and accounting fees. E.mergent estimates that its transaction related costs will total approximately $926,000. These costs have been reflected as a reduction of E.mergent's cash balance as of March 31, 2002. The following is a summary of the preliminary purchase price allocation using the March 31, 2002 balance sheet of E.mergent (in 000's):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80" w:type="dxa"/>
            <w:vAlign w:val="bottom"/>
          </w:tcPr>
          <w:p>
            <w:pPr>
              <w:ind w:left="800"/>
              <w:spacing w:after="0"/>
              <w:rPr>
                <w:sz w:val="20"/>
                <w:szCs w:val="20"/>
                <w:color w:val="auto"/>
              </w:rPr>
            </w:pPr>
            <w:r>
              <w:rPr>
                <w:rFonts w:ascii="Courier New" w:cs="Courier New" w:eastAsia="Courier New" w:hAnsi="Courier New"/>
                <w:sz w:val="15"/>
                <w:szCs w:val="15"/>
                <w:color w:val="auto"/>
              </w:rPr>
              <w:t>Cash</w:t>
            </w:r>
          </w:p>
        </w:tc>
        <w:tc>
          <w:tcPr>
            <w:tcW w:w="2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579</w:t>
            </w:r>
          </w:p>
        </w:tc>
      </w:tr>
      <w:tr>
        <w:trPr>
          <w:trHeight w:val="168"/>
        </w:trPr>
        <w:tc>
          <w:tcPr>
            <w:tcW w:w="46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2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3,144</w:t>
            </w:r>
          </w:p>
        </w:tc>
      </w:tr>
      <w:tr>
        <w:trPr>
          <w:trHeight w:val="168"/>
        </w:trPr>
        <w:tc>
          <w:tcPr>
            <w:tcW w:w="46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Inventory</w:t>
            </w:r>
          </w:p>
        </w:tc>
        <w:tc>
          <w:tcPr>
            <w:tcW w:w="2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3,605</w:t>
            </w:r>
          </w:p>
        </w:tc>
      </w:tr>
      <w:tr>
        <w:trPr>
          <w:trHeight w:val="168"/>
        </w:trPr>
        <w:tc>
          <w:tcPr>
            <w:tcW w:w="46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Fixed assets</w:t>
            </w:r>
          </w:p>
        </w:tc>
        <w:tc>
          <w:tcPr>
            <w:tcW w:w="2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443</w:t>
            </w:r>
          </w:p>
        </w:tc>
      </w:tr>
      <w:tr>
        <w:trPr>
          <w:trHeight w:val="168"/>
        </w:trPr>
        <w:tc>
          <w:tcPr>
            <w:tcW w:w="46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Other assets</w:t>
            </w:r>
          </w:p>
        </w:tc>
        <w:tc>
          <w:tcPr>
            <w:tcW w:w="2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693</w:t>
            </w:r>
          </w:p>
        </w:tc>
      </w:tr>
      <w:tr>
        <w:trPr>
          <w:trHeight w:val="168"/>
        </w:trPr>
        <w:tc>
          <w:tcPr>
            <w:tcW w:w="46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Goodwill and other intangible assets</w:t>
            </w:r>
          </w:p>
        </w:tc>
        <w:tc>
          <w:tcPr>
            <w:tcW w:w="2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18,024</w:t>
            </w:r>
          </w:p>
        </w:tc>
      </w:tr>
      <w:tr>
        <w:trPr>
          <w:trHeight w:val="168"/>
        </w:trPr>
        <w:tc>
          <w:tcPr>
            <w:tcW w:w="46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Accounts payable</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(1,548)</w:t>
            </w:r>
          </w:p>
        </w:tc>
      </w:tr>
      <w:tr>
        <w:trPr>
          <w:trHeight w:val="168"/>
        </w:trPr>
        <w:tc>
          <w:tcPr>
            <w:tcW w:w="46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Accrued expenses and customer deposits</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(473)</w:t>
            </w:r>
          </w:p>
        </w:tc>
      </w:tr>
      <w:tr>
        <w:trPr>
          <w:trHeight w:val="168"/>
        </w:trPr>
        <w:tc>
          <w:tcPr>
            <w:tcW w:w="46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Unearned maintenance contracts</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(1,007)</w:t>
            </w:r>
          </w:p>
        </w:tc>
      </w:tr>
      <w:tr>
        <w:trPr>
          <w:trHeight w:val="168"/>
        </w:trPr>
        <w:tc>
          <w:tcPr>
            <w:tcW w:w="46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Capital leases and long-term debt</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(578)</w:t>
            </w:r>
          </w:p>
        </w:tc>
      </w:tr>
      <w:tr>
        <w:trPr>
          <w:trHeight w:val="168"/>
        </w:trPr>
        <w:tc>
          <w:tcPr>
            <w:tcW w:w="4680" w:type="dxa"/>
            <w:vAlign w:val="bottom"/>
          </w:tcPr>
          <w:p>
            <w:pPr>
              <w:spacing w:after="0"/>
              <w:rPr>
                <w:sz w:val="14"/>
                <w:szCs w:val="14"/>
                <w:color w:val="auto"/>
              </w:rPr>
            </w:pPr>
          </w:p>
        </w:tc>
        <w:tc>
          <w:tcPr>
            <w:tcW w:w="118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468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Total</w:t>
            </w:r>
          </w:p>
        </w:tc>
        <w:tc>
          <w:tcPr>
            <w:tcW w:w="2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22,882</w:t>
            </w:r>
          </w:p>
        </w:tc>
      </w:tr>
      <w:tr>
        <w:trPr>
          <w:trHeight w:val="168"/>
        </w:trPr>
        <w:tc>
          <w:tcPr>
            <w:tcW w:w="4680" w:type="dxa"/>
            <w:vAlign w:val="bottom"/>
          </w:tcPr>
          <w:p>
            <w:pPr>
              <w:spacing w:after="0"/>
              <w:rPr>
                <w:sz w:val="14"/>
                <w:szCs w:val="14"/>
                <w:color w:val="auto"/>
              </w:rPr>
            </w:pPr>
          </w:p>
        </w:tc>
        <w:tc>
          <w:tcPr>
            <w:tcW w:w="118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4680" w:type="dxa"/>
            <w:vAlign w:val="bottom"/>
          </w:tcPr>
          <w:p>
            <w:pPr>
              <w:spacing w:after="0"/>
              <w:rPr>
                <w:sz w:val="20"/>
                <w:szCs w:val="20"/>
                <w:color w:val="auto"/>
              </w:rPr>
            </w:pPr>
            <w:r>
              <w:rPr>
                <w:rFonts w:ascii="Courier New" w:cs="Courier New" w:eastAsia="Courier New" w:hAnsi="Courier New"/>
                <w:sz w:val="15"/>
                <w:szCs w:val="15"/>
                <w:color w:val="auto"/>
              </w:rPr>
              <w:t>The purchase price was determined as follows:</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6"/>
        </w:trPr>
        <w:tc>
          <w:tcPr>
            <w:tcW w:w="4680" w:type="dxa"/>
            <w:vAlign w:val="bottom"/>
          </w:tcPr>
          <w:p>
            <w:pPr>
              <w:ind w:left="800"/>
              <w:spacing w:after="0"/>
              <w:rPr>
                <w:sz w:val="20"/>
                <w:szCs w:val="20"/>
                <w:color w:val="auto"/>
              </w:rPr>
            </w:pPr>
            <w:r>
              <w:rPr>
                <w:rFonts w:ascii="Courier New" w:cs="Courier New" w:eastAsia="Courier New" w:hAnsi="Courier New"/>
                <w:sz w:val="15"/>
                <w:szCs w:val="15"/>
                <w:color w:val="auto"/>
              </w:rPr>
              <w:t>Cash paid to E.mergent shareholders</w:t>
            </w:r>
          </w:p>
        </w:tc>
        <w:tc>
          <w:tcPr>
            <w:tcW w:w="2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7,300</w:t>
            </w:r>
          </w:p>
        </w:tc>
      </w:tr>
      <w:tr>
        <w:trPr>
          <w:trHeight w:val="168"/>
        </w:trPr>
        <w:tc>
          <w:tcPr>
            <w:tcW w:w="46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Value of ClearOne common stock issued to</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68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E.mergent shareholders (868,842 shares</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68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x $16.55)</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14,379</w:t>
            </w:r>
          </w:p>
        </w:tc>
      </w:tr>
      <w:tr>
        <w:trPr>
          <w:trHeight w:val="168"/>
        </w:trPr>
        <w:tc>
          <w:tcPr>
            <w:tcW w:w="46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Fair value of ClearOne options issued to</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68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w w:val="97"/>
              </w:rPr>
              <w:t>E.mergent option holders, determined using</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68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the Black-Scholes model</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w:t>
            </w:r>
          </w:p>
        </w:tc>
      </w:tr>
      <w:tr>
        <w:trPr>
          <w:trHeight w:val="168"/>
        </w:trPr>
        <w:tc>
          <w:tcPr>
            <w:tcW w:w="46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Acquisition costs to be paid by ClearOne</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1,156</w:t>
            </w:r>
          </w:p>
        </w:tc>
      </w:tr>
      <w:tr>
        <w:trPr>
          <w:trHeight w:val="168"/>
        </w:trPr>
        <w:tc>
          <w:tcPr>
            <w:tcW w:w="4680" w:type="dxa"/>
            <w:vAlign w:val="bottom"/>
          </w:tcPr>
          <w:p>
            <w:pPr>
              <w:spacing w:after="0"/>
              <w:rPr>
                <w:sz w:val="14"/>
                <w:szCs w:val="14"/>
                <w:color w:val="auto"/>
              </w:rPr>
            </w:pPr>
          </w:p>
        </w:tc>
        <w:tc>
          <w:tcPr>
            <w:tcW w:w="118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468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Total purchase price</w:t>
            </w:r>
          </w:p>
        </w:tc>
        <w:tc>
          <w:tcPr>
            <w:tcW w:w="2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22,882</w:t>
            </w:r>
          </w:p>
        </w:tc>
      </w:tr>
      <w:tr>
        <w:trPr>
          <w:trHeight w:val="168"/>
        </w:trPr>
        <w:tc>
          <w:tcPr>
            <w:tcW w:w="4680" w:type="dxa"/>
            <w:vAlign w:val="bottom"/>
          </w:tcPr>
          <w:p>
            <w:pPr>
              <w:spacing w:after="0"/>
              <w:rPr>
                <w:sz w:val="14"/>
                <w:szCs w:val="14"/>
                <w:color w:val="auto"/>
              </w:rPr>
            </w:pPr>
          </w:p>
        </w:tc>
        <w:tc>
          <w:tcPr>
            <w:tcW w:w="118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4680" w:type="dxa"/>
            <w:vAlign w:val="bottom"/>
          </w:tcPr>
          <w:p>
            <w:pPr>
              <w:ind w:left="3420"/>
              <w:spacing w:after="0"/>
              <w:rPr>
                <w:sz w:val="20"/>
                <w:szCs w:val="20"/>
                <w:color w:val="auto"/>
              </w:rPr>
            </w:pPr>
            <w:r>
              <w:rPr>
                <w:rFonts w:ascii="Courier New" w:cs="Courier New" w:eastAsia="Courier New" w:hAnsi="Courier New"/>
                <w:sz w:val="15"/>
                <w:szCs w:val="15"/>
                <w:color w:val="auto"/>
              </w:rPr>
              <w:t>8</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5"/>
          <w:szCs w:val="15"/>
          <w:color w:val="auto"/>
        </w:rPr>
        <w:t>NOTE 2.</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The unaudited pro forma condensed combined balance sheet includes the adjustments necessary to give effect to the E.mergent acquisition as if it had occurred on March 31, 2002 as noted above. The unaudited pro forma condensed combined statements of operations include the adjustments necessary to give effect to the Ivron Systems and E.mergent acquisitions and the private placement as if they had occurred on July 1, 2000. Adjustments included in the pro forma condensed combined financial statements are summarized as follows:</w:t>
      </w:r>
    </w:p>
    <w:p>
      <w:pPr>
        <w:spacing w:after="0" w:line="166" w:lineRule="exact"/>
        <w:rPr>
          <w:sz w:val="20"/>
          <w:szCs w:val="20"/>
          <w:color w:val="auto"/>
        </w:rPr>
      </w:pPr>
    </w:p>
    <w:p>
      <w:pPr>
        <w:jc w:val="both"/>
        <w:ind w:left="1400" w:right="3239" w:hanging="691"/>
        <w:spacing w:after="0" w:line="235" w:lineRule="auto"/>
        <w:tabs>
          <w:tab w:leader="none" w:pos="140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Elimination of E.mergent and Ivron historical goodwill and other intangibles (and the related amortization) that were revalued as part of the purchase price allocation.</w:t>
      </w:r>
    </w:p>
    <w:p>
      <w:pPr>
        <w:spacing w:after="0" w:line="173" w:lineRule="exact"/>
        <w:rPr>
          <w:rFonts w:ascii="Courier New" w:cs="Courier New" w:eastAsia="Courier New" w:hAnsi="Courier New"/>
          <w:sz w:val="15"/>
          <w:szCs w:val="15"/>
          <w:color w:val="auto"/>
        </w:rPr>
      </w:pPr>
    </w:p>
    <w:p>
      <w:pPr>
        <w:ind w:left="1400" w:right="3239" w:hanging="691"/>
        <w:spacing w:after="0" w:line="236" w:lineRule="auto"/>
        <w:tabs>
          <w:tab w:leader="none" w:pos="140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Values were assigned to intangible assets related to the Ivron Systems acquisition as follows: developed technology - $5,780,000; goodwill - $364,000. These allocations are based upon a final report from LECG, LLC, an independent financial consulting firm. The developed technology was determined to have useful lives as follows, with the resulting impact on amortization expense:</w:t>
      </w:r>
    </w:p>
    <w:p>
      <w:pPr>
        <w:spacing w:after="0" w:line="200" w:lineRule="exact"/>
        <w:rPr>
          <w:sz w:val="20"/>
          <w:szCs w:val="20"/>
          <w:color w:val="auto"/>
        </w:rPr>
      </w:pPr>
    </w:p>
    <w:p>
      <w:pPr>
        <w:spacing w:after="0" w:line="306" w:lineRule="exact"/>
        <w:rPr>
          <w:sz w:val="20"/>
          <w:szCs w:val="20"/>
          <w:color w:val="auto"/>
        </w:rPr>
      </w:pPr>
    </w:p>
    <w:p>
      <w:pPr>
        <w:ind w:left="6300"/>
        <w:spacing w:after="0"/>
        <w:rPr>
          <w:sz w:val="20"/>
          <w:szCs w:val="20"/>
          <w:color w:val="auto"/>
        </w:rPr>
      </w:pPr>
      <w:r>
        <w:rPr>
          <w:rFonts w:ascii="Courier New" w:cs="Courier New" w:eastAsia="Courier New" w:hAnsi="Courier New"/>
          <w:sz w:val="15"/>
          <w:szCs w:val="15"/>
          <w:color w:val="auto"/>
        </w:rPr>
        <w:t>Amortization for the</w:t>
      </w:r>
    </w:p>
    <w:p>
      <w:pPr>
        <w:ind w:left="5440"/>
        <w:spacing w:after="0"/>
        <w:tabs>
          <w:tab w:leader="none" w:pos="7520" w:val="left"/>
        </w:tabs>
        <w:rPr>
          <w:sz w:val="20"/>
          <w:szCs w:val="20"/>
          <w:color w:val="auto"/>
        </w:rPr>
      </w:pPr>
      <w:r>
        <w:rPr>
          <w:rFonts w:ascii="Courier New" w:cs="Courier New" w:eastAsia="Courier New" w:hAnsi="Courier New"/>
          <w:sz w:val="15"/>
          <w:szCs w:val="15"/>
          <w:color w:val="auto"/>
        </w:rPr>
        <w:t>Nine months ended</w:t>
      </w:r>
      <w:r>
        <w:rPr>
          <w:sz w:val="20"/>
          <w:szCs w:val="20"/>
          <w:color w:val="auto"/>
        </w:rPr>
        <w:tab/>
      </w:r>
      <w:r>
        <w:rPr>
          <w:rFonts w:ascii="Courier New" w:cs="Courier New" w:eastAsia="Courier New" w:hAnsi="Courier New"/>
          <w:sz w:val="14"/>
          <w:szCs w:val="14"/>
          <w:color w:val="auto"/>
        </w:rPr>
        <w:t>Fiscal Year ended</w:t>
      </w:r>
    </w:p>
    <w:p>
      <w:pPr>
        <w:ind w:left="1840"/>
        <w:spacing w:after="0"/>
        <w:tabs>
          <w:tab w:leader="none" w:pos="3920" w:val="left"/>
          <w:tab w:leader="none" w:pos="5500" w:val="left"/>
          <w:tab w:leader="none" w:pos="6120" w:val="left"/>
          <w:tab w:leader="none" w:pos="7680" w:val="left"/>
        </w:tabs>
        <w:rPr>
          <w:sz w:val="20"/>
          <w:szCs w:val="20"/>
          <w:color w:val="auto"/>
        </w:rPr>
      </w:pPr>
      <w:r>
        <w:rPr>
          <w:rFonts w:ascii="Courier New" w:cs="Courier New" w:eastAsia="Courier New" w:hAnsi="Courier New"/>
          <w:sz w:val="15"/>
          <w:szCs w:val="15"/>
          <w:color w:val="auto"/>
        </w:rPr>
        <w:t>Value of Technology</w:t>
      </w:r>
      <w:r>
        <w:rPr>
          <w:sz w:val="20"/>
          <w:szCs w:val="20"/>
          <w:color w:val="auto"/>
        </w:rPr>
        <w:tab/>
      </w:r>
      <w:r>
        <w:rPr>
          <w:rFonts w:ascii="Courier New" w:cs="Courier New" w:eastAsia="Courier New" w:hAnsi="Courier New"/>
          <w:sz w:val="15"/>
          <w:szCs w:val="15"/>
          <w:color w:val="auto"/>
        </w:rPr>
        <w:t>Useful Life</w:t>
      </w:r>
      <w:r>
        <w:rPr>
          <w:sz w:val="20"/>
          <w:szCs w:val="20"/>
          <w:color w:val="auto"/>
        </w:rPr>
        <w:tab/>
      </w:r>
      <w:r>
        <w:rPr>
          <w:rFonts w:ascii="Courier New" w:cs="Courier New" w:eastAsia="Courier New" w:hAnsi="Courier New"/>
          <w:sz w:val="15"/>
          <w:szCs w:val="15"/>
          <w:color w:val="auto"/>
        </w:rPr>
        <w:t>March</w:t>
        <w:tab/>
        <w:t>31, 2002</w:t>
      </w:r>
      <w:r>
        <w:rPr>
          <w:sz w:val="20"/>
          <w:szCs w:val="20"/>
          <w:color w:val="auto"/>
        </w:rPr>
        <w:tab/>
      </w:r>
      <w:r>
        <w:rPr>
          <w:rFonts w:ascii="Courier New" w:cs="Courier New" w:eastAsia="Courier New" w:hAnsi="Courier New"/>
          <w:sz w:val="14"/>
          <w:szCs w:val="14"/>
          <w:color w:val="auto"/>
        </w:rPr>
        <w:t>June 30, 2001</w:t>
      </w:r>
    </w:p>
    <w:p>
      <w:pPr>
        <w:spacing w:after="0" w:line="5" w:lineRule="exact"/>
        <w:rPr>
          <w:sz w:val="20"/>
          <w:szCs w:val="20"/>
          <w:color w:val="auto"/>
        </w:rPr>
      </w:pPr>
    </w:p>
    <w:p>
      <w:pPr>
        <w:ind w:left="176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1760" w:type="dxa"/>
        <w:tblCellMar>
          <w:top w:w="0" w:type="dxa"/>
          <w:left w:w="0" w:type="dxa"/>
          <w:bottom w:w="0" w:type="dxa"/>
          <w:right w:w="0" w:type="dxa"/>
        </w:tblCellMar>
      </w:tblPr>
      <w:tr>
        <w:trPr>
          <w:trHeight w:val="170"/>
        </w:trPr>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135,000</w:t>
            </w:r>
          </w:p>
        </w:tc>
        <w:tc>
          <w:tcPr>
            <w:tcW w:w="8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w:t>
            </w:r>
          </w:p>
        </w:tc>
        <w:tc>
          <w:tcPr>
            <w:tcW w:w="26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  11,250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45,000</w:t>
            </w:r>
          </w:p>
        </w:tc>
      </w:tr>
      <w:tr>
        <w:trPr>
          <w:trHeight w:val="168"/>
        </w:trPr>
        <w:tc>
          <w:tcPr>
            <w:tcW w:w="620" w:type="dxa"/>
            <w:vAlign w:val="bottom"/>
          </w:tcPr>
          <w:p>
            <w:pPr>
              <w:spacing w:after="0"/>
              <w:rPr>
                <w:sz w:val="14"/>
                <w:szCs w:val="14"/>
                <w:color w:val="auto"/>
              </w:rPr>
            </w:pPr>
          </w:p>
        </w:tc>
        <w:tc>
          <w:tcPr>
            <w:tcW w:w="17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1,002,000</w:t>
            </w: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w:t>
            </w:r>
          </w:p>
        </w:tc>
        <w:tc>
          <w:tcPr>
            <w:tcW w:w="26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50,100</w:t>
            </w:r>
          </w:p>
        </w:tc>
        <w:tc>
          <w:tcPr>
            <w:tcW w:w="5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200,400</w:t>
            </w:r>
          </w:p>
        </w:tc>
      </w:tr>
      <w:tr>
        <w:trPr>
          <w:trHeight w:val="168"/>
        </w:trPr>
        <w:tc>
          <w:tcPr>
            <w:tcW w:w="620" w:type="dxa"/>
            <w:vAlign w:val="bottom"/>
          </w:tcPr>
          <w:p>
            <w:pPr>
              <w:spacing w:after="0"/>
              <w:rPr>
                <w:sz w:val="14"/>
                <w:szCs w:val="14"/>
                <w:color w:val="auto"/>
              </w:rPr>
            </w:pPr>
          </w:p>
        </w:tc>
        <w:tc>
          <w:tcPr>
            <w:tcW w:w="17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4,643,000</w:t>
            </w: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w:t>
            </w:r>
          </w:p>
        </w:tc>
        <w:tc>
          <w:tcPr>
            <w:tcW w:w="26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77,383</w:t>
            </w:r>
          </w:p>
        </w:tc>
        <w:tc>
          <w:tcPr>
            <w:tcW w:w="5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309,533</w:t>
            </w:r>
          </w:p>
        </w:tc>
      </w:tr>
      <w:tr>
        <w:trPr>
          <w:trHeight w:val="168"/>
        </w:trPr>
        <w:tc>
          <w:tcPr>
            <w:tcW w:w="2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w:t>
            </w:r>
          </w:p>
        </w:tc>
        <w:tc>
          <w:tcPr>
            <w:tcW w:w="820" w:type="dxa"/>
            <w:vAlign w:val="bottom"/>
          </w:tcPr>
          <w:p>
            <w:pPr>
              <w:spacing w:after="0"/>
              <w:rPr>
                <w:sz w:val="14"/>
                <w:szCs w:val="14"/>
                <w:color w:val="auto"/>
              </w:rPr>
            </w:pPr>
          </w:p>
        </w:tc>
        <w:tc>
          <w:tcPr>
            <w:tcW w:w="43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0" w:type="dxa"/>
            <w:vAlign w:val="bottom"/>
          </w:tcPr>
          <w:p>
            <w:pPr>
              <w:spacing w:after="0"/>
              <w:rPr>
                <w:sz w:val="14"/>
                <w:szCs w:val="14"/>
                <w:color w:val="auto"/>
              </w:rPr>
            </w:pPr>
          </w:p>
        </w:tc>
        <w:tc>
          <w:tcPr>
            <w:tcW w:w="17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w w:val="94"/>
              </w:rPr>
              <w:t>$ 5,780,000</w:t>
            </w:r>
          </w:p>
        </w:tc>
        <w:tc>
          <w:tcPr>
            <w:tcW w:w="820" w:type="dxa"/>
            <w:vAlign w:val="bottom"/>
          </w:tcPr>
          <w:p>
            <w:pPr>
              <w:spacing w:after="0"/>
              <w:rPr>
                <w:sz w:val="14"/>
                <w:szCs w:val="14"/>
                <w:color w:val="auto"/>
              </w:rPr>
            </w:pPr>
          </w:p>
        </w:tc>
        <w:tc>
          <w:tcPr>
            <w:tcW w:w="26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$138,733(i)</w:t>
            </w:r>
          </w:p>
        </w:tc>
        <w:tc>
          <w:tcPr>
            <w:tcW w:w="5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$ 554,933</w:t>
            </w:r>
          </w:p>
        </w:tc>
      </w:tr>
      <w:tr>
        <w:trPr>
          <w:trHeight w:val="168"/>
        </w:trPr>
        <w:tc>
          <w:tcPr>
            <w:tcW w:w="2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w:t>
            </w:r>
          </w:p>
        </w:tc>
        <w:tc>
          <w:tcPr>
            <w:tcW w:w="820" w:type="dxa"/>
            <w:vAlign w:val="bottom"/>
          </w:tcPr>
          <w:p>
            <w:pPr>
              <w:spacing w:after="0"/>
              <w:rPr>
                <w:sz w:val="14"/>
                <w:szCs w:val="14"/>
                <w:color w:val="auto"/>
              </w:rPr>
            </w:pPr>
          </w:p>
        </w:tc>
        <w:tc>
          <w:tcPr>
            <w:tcW w:w="43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2200" w:right="3239" w:hanging="441"/>
        <w:spacing w:after="0" w:line="235" w:lineRule="auto"/>
        <w:tabs>
          <w:tab w:leader="none" w:pos="2200"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amortization expense from July 1, 2001 to October 2, 2001, the period prior to the acquisition of Ivron Systems by ClearOne.</w:t>
      </w:r>
    </w:p>
    <w:p>
      <w:pPr>
        <w:spacing w:after="0" w:line="173" w:lineRule="exact"/>
        <w:rPr>
          <w:rFonts w:ascii="Courier New" w:cs="Courier New" w:eastAsia="Courier New" w:hAnsi="Courier New"/>
          <w:sz w:val="15"/>
          <w:szCs w:val="15"/>
          <w:color w:val="auto"/>
        </w:rPr>
      </w:pPr>
    </w:p>
    <w:p>
      <w:pPr>
        <w:ind w:left="1400" w:right="3399" w:hanging="691"/>
        <w:spacing w:after="0" w:line="234" w:lineRule="auto"/>
        <w:tabs>
          <w:tab w:leader="none" w:pos="140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tax impact of amortization, as calculated using ClearOne's blended statutory rate of 37.2%.</w:t>
      </w:r>
    </w:p>
    <w:p>
      <w:pPr>
        <w:spacing w:after="0" w:line="166" w:lineRule="exact"/>
        <w:rPr>
          <w:rFonts w:ascii="Courier New" w:cs="Courier New" w:eastAsia="Courier New" w:hAnsi="Courier New"/>
          <w:sz w:val="15"/>
          <w:szCs w:val="15"/>
          <w:color w:val="auto"/>
        </w:rPr>
      </w:pPr>
    </w:p>
    <w:p>
      <w:pPr>
        <w:ind w:left="1400" w:hanging="691"/>
        <w:spacing w:after="0"/>
        <w:tabs>
          <w:tab w:leader="none" w:pos="140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consideration paid to former E.mergent shareholders</w:t>
      </w:r>
    </w:p>
    <w:p>
      <w:pPr>
        <w:spacing w:after="0" w:line="4" w:lineRule="exact"/>
        <w:rPr>
          <w:rFonts w:ascii="Courier New" w:cs="Courier New" w:eastAsia="Courier New" w:hAnsi="Courier New"/>
          <w:sz w:val="15"/>
          <w:szCs w:val="15"/>
          <w:color w:val="auto"/>
        </w:rPr>
      </w:pPr>
    </w:p>
    <w:p>
      <w:pPr>
        <w:ind w:left="1400" w:right="33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of $7,300,000 plus ClearOne and E.mergent transaction costs of $2,082,000.</w:t>
      </w:r>
    </w:p>
    <w:p>
      <w:pPr>
        <w:spacing w:after="0" w:line="173" w:lineRule="exact"/>
        <w:rPr>
          <w:rFonts w:ascii="Courier New" w:cs="Courier New" w:eastAsia="Courier New" w:hAnsi="Courier New"/>
          <w:sz w:val="15"/>
          <w:szCs w:val="15"/>
          <w:color w:val="auto"/>
        </w:rPr>
      </w:pPr>
    </w:p>
    <w:p>
      <w:pPr>
        <w:ind w:left="1400" w:right="3239" w:hanging="691"/>
        <w:spacing w:after="0" w:line="237" w:lineRule="auto"/>
        <w:tabs>
          <w:tab w:leader="none" w:pos="140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represents goodwill of $18,024,000 including capitalized acquisition costs of approximately $1,156,000 (including approximately $464,000 for severance payments to terminating E.mergent executives and anticipated severance payments to other terminating E.mergent employees of approximately $90,000). For purposes of these pro forma financial statements and based upon a preliminary analysis by LECG, LLC, ClearOne's independent financial consulting firm, the excess of the purchase price over the fair value of the tangible assets acquired has been allocated to goodwill. Based on LECG, LLC'S preliminary analysis, ClearOne does not believe that any material value should be allocated to acquired intangible assets other than goodwill. Accordingly, pursuant to FAS No. 142, Goodwill and Other Intangible Assets, no related amortization has been reflected in the accompanying pro forma statements of operations.</w:t>
      </w:r>
    </w:p>
    <w:p>
      <w:pPr>
        <w:spacing w:after="0" w:line="174" w:lineRule="exact"/>
        <w:rPr>
          <w:rFonts w:ascii="Courier New" w:cs="Courier New" w:eastAsia="Courier New" w:hAnsi="Courier New"/>
          <w:sz w:val="15"/>
          <w:szCs w:val="15"/>
          <w:color w:val="auto"/>
        </w:rPr>
      </w:pPr>
    </w:p>
    <w:p>
      <w:pPr>
        <w:ind w:left="1400" w:right="3399" w:hanging="691"/>
        <w:spacing w:after="0" w:line="234" w:lineRule="auto"/>
        <w:tabs>
          <w:tab w:leader="none" w:pos="140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elimination of an investment that was deemed to have no future value to ClearOne.</w:t>
      </w:r>
    </w:p>
    <w:p>
      <w:pPr>
        <w:spacing w:after="0" w:line="173" w:lineRule="exact"/>
        <w:rPr>
          <w:rFonts w:ascii="Courier New" w:cs="Courier New" w:eastAsia="Courier New" w:hAnsi="Courier New"/>
          <w:sz w:val="15"/>
          <w:szCs w:val="15"/>
          <w:color w:val="auto"/>
        </w:rPr>
      </w:pPr>
    </w:p>
    <w:p>
      <w:pPr>
        <w:ind w:left="1400" w:right="3239" w:hanging="691"/>
        <w:spacing w:after="0" w:line="237" w:lineRule="auto"/>
        <w:tabs>
          <w:tab w:leader="none" w:pos="140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fair value, as determined in accordance with FASB Interpretation No. 44, Accounting for Certain Transactions Involving Stock Compensation--An Interpretation of APB Opinion 25, of the vested options to purchase ClearOne common stock that were issued in exchange for vested options to purchase E.mergent common stock in conjunction with the agreement and plan of merger. The weighted average fair value of the ClearOne options is approximately $11.36, using the Black-Scholes method, as determined using the following assumptions: volatility of 62%, weighted average expected life of the options of approximately 2 years, dividend yield of 0%, and risk-free interest rate of 4.38%.</w:t>
      </w:r>
    </w:p>
    <w:p>
      <w:pPr>
        <w:spacing w:after="0" w:line="166" w:lineRule="exact"/>
        <w:rPr>
          <w:rFonts w:ascii="Courier New" w:cs="Courier New" w:eastAsia="Courier New" w:hAnsi="Courier New"/>
          <w:sz w:val="15"/>
          <w:szCs w:val="15"/>
          <w:color w:val="auto"/>
        </w:rPr>
      </w:pPr>
    </w:p>
    <w:p>
      <w:pPr>
        <w:ind w:left="1400" w:hanging="691"/>
        <w:spacing w:after="0"/>
        <w:tabs>
          <w:tab w:leader="none" w:pos="140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Elimination of E.mergent's historical equity.</w:t>
      </w:r>
    </w:p>
    <w:p>
      <w:pPr>
        <w:spacing w:after="0" w:line="172" w:lineRule="exact"/>
        <w:rPr>
          <w:rFonts w:ascii="Courier New" w:cs="Courier New" w:eastAsia="Courier New" w:hAnsi="Courier New"/>
          <w:sz w:val="15"/>
          <w:szCs w:val="15"/>
          <w:color w:val="auto"/>
        </w:rPr>
      </w:pPr>
    </w:p>
    <w:p>
      <w:pPr>
        <w:ind w:left="1400" w:right="3239" w:hanging="691"/>
        <w:spacing w:after="0" w:line="235" w:lineRule="auto"/>
        <w:tabs>
          <w:tab w:leader="none" w:pos="140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accordance with the agreement and plan of merger, the treasury stock held by E.mergent, which consisted of 50,317 shares, was distributed to E.mergent employees immediately prior to the consummation of the merger.</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17" w:right="1440" w:bottom="517" w:gutter="0" w:footer="0" w:header="0"/>
        </w:sectPr>
      </w:pPr>
    </w:p>
    <w:bookmarkStart w:id="50" w:name="page51"/>
    <w:bookmarkEnd w:id="50"/>
    <w:p>
      <w:pPr>
        <w:ind w:left="691" w:right="3239" w:hanging="691"/>
        <w:spacing w:after="0" w:line="236" w:lineRule="auto"/>
        <w:tabs>
          <w:tab w:leader="none" w:pos="691"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value of the shares of ClearOne common stock issued to holders of E.mergent common stock as follows: (868,842 shares x $16.55 per share). The per share price is based on ClearOne's average closing price two days prior to and two days subsequent to January 21, 2002 (the announcement date for the acquisition and merger).</w:t>
      </w:r>
    </w:p>
    <w:p>
      <w:pPr>
        <w:spacing w:after="0" w:line="174" w:lineRule="exact"/>
        <w:rPr>
          <w:rFonts w:ascii="Courier New" w:cs="Courier New" w:eastAsia="Courier New" w:hAnsi="Courier New"/>
          <w:sz w:val="15"/>
          <w:szCs w:val="15"/>
          <w:color w:val="auto"/>
        </w:rPr>
      </w:pPr>
    </w:p>
    <w:p>
      <w:pPr>
        <w:ind w:left="691" w:right="3319" w:hanging="691"/>
        <w:spacing w:after="0" w:line="234" w:lineRule="auto"/>
        <w:tabs>
          <w:tab w:leader="none" w:pos="691"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Elimination of sales and related cost of sales between ClearOne and E.mergent.</w:t>
      </w:r>
    </w:p>
    <w:p>
      <w:pPr>
        <w:spacing w:after="0" w:line="173" w:lineRule="exact"/>
        <w:rPr>
          <w:rFonts w:ascii="Courier New" w:cs="Courier New" w:eastAsia="Courier New" w:hAnsi="Courier New"/>
          <w:sz w:val="15"/>
          <w:szCs w:val="15"/>
          <w:color w:val="auto"/>
        </w:rPr>
      </w:pPr>
    </w:p>
    <w:p>
      <w:pPr>
        <w:ind w:left="691" w:right="3399" w:hanging="691"/>
        <w:spacing w:after="0" w:line="235" w:lineRule="auto"/>
        <w:tabs>
          <w:tab w:leader="none" w:pos="691"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elimination of a shareholder note from a former E.mergent executive that was repaid upon consummation of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711"/>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530"/>
          </w:cols>
          <w:pgMar w:left="929" w:top="624" w:right="1440" w:bottom="1440" w:gutter="0" w:footer="0" w:header="0"/>
        </w:sectPr>
      </w:pPr>
    </w:p>
    <w:bookmarkStart w:id="51" w:name="page52"/>
    <w:bookmarkEnd w:id="51"/>
    <w:p>
      <w:pPr>
        <w:ind w:left="2200"/>
        <w:spacing w:after="0"/>
        <w:rPr>
          <w:sz w:val="20"/>
          <w:szCs w:val="20"/>
          <w:color w:val="auto"/>
        </w:rPr>
      </w:pPr>
      <w:r>
        <w:rPr>
          <w:rFonts w:ascii="Courier New" w:cs="Courier New" w:eastAsia="Courier New" w:hAnsi="Courier New"/>
          <w:sz w:val="15"/>
          <w:szCs w:val="15"/>
          <w:color w:val="auto"/>
        </w:rPr>
        <w:t>DESCRIPTION OF OUR COMMON STOCK</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We are authorized to issue 50,000,000 shares of common stock, par value of $0.001 per share. As of June 30, 2002, there were 11,178,392 shares of common stock outstanding held by approximately 376 stockholders of record. The following discussion describes provisions of ClearOne's articles of incorporation and bylaws and the Utah Revised Business Corporation Act (the "URBCA").</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Rights of Common Stock</w:t>
      </w:r>
    </w:p>
    <w:p>
      <w:pPr>
        <w:spacing w:after="0" w:line="173"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Holders of the common stock are entitled to one vote per share on all matters submitted to a vote of stockholders generally. The rights of holders of common stock may be modified otherwise than by a vote of the majority or more of the shares of common stock outstanding. The rights of holders may be modified at a meeting of common stockholders if a quorum exists and the votes cast for such modification exceed the votes cast against such modification. A majority of the votes entitled to be cast upon a matter constitutes a quorum.</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 on Common Stock</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holders of the common stock are entitled to receive, pro rata, dividends as may be declared by our Board of Directors out of funds legally available for the payment of dividends. However, we are prohibited by the terms of our revolving credit loan from paying a dividend on our common stock. As of the date of this prospectus we have not, nor do we intend to, make dividend payments of common stock.</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Provisions and Information Applicable to the Common Stock</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There are no preemptive rights to subscribe for any additional securities that we may issue. There are no redemption provisions or sinking fund provisions applicable to the common stock, nor is the common stock subject to calls or assessments by ClearOne.</w:t>
      </w:r>
    </w:p>
    <w:p>
      <w:pPr>
        <w:spacing w:after="0" w:line="175"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In the event of any liquidation, dissolution or winding-up of the affairs of ClearOne, holders of common stock will be entitled to share ratably in the assets of ClearOne remaining after payment or provision for payment of all of ClearOne's debts and obligations.</w:t>
      </w:r>
    </w:p>
    <w:p>
      <w:pPr>
        <w:spacing w:after="0" w:line="175"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Under the URBCA, in connection with a merger, share exchange or sale, lease, exchange or other disposition of all or substantially all of the assets of a corporation (other than in the ordinary course of the corporation's business), a dissenting stockholder, after complying with certain procedures, is entitled to payment from the corporation of the fair value of the stockholder's shares. The fair value is estimated by the corporation. However, if the stockholder is unwilling to accept the corporation's estimate, the stockholder may provide the corporation with an estimate of the fair value and demand payment of that amount. If the corporation is unwilling to pay that amount, the corporation shall apply for a judicial determination of the fair value. Unless the articles of incorporation, bylaws or a resolution of the board of directors provide otherwise, stockholders are not entitled to dissenters' rights when the shares are listed on a national securities exchange or the National Market System of NASDAQ, or are held of record by more than 2,000 holders. However, this exception does not apply if, pursuant to the corporate action, the stockholder will receive anything other than: (i) shares of the surviving corporation; (ii) shares of a corporation that is or will be listed on a national securities exchange, the National Market System of NASDAQ, or held of record by more than 2,000 holders; (iii) cash in lieu of fractional shares; or</w:t>
      </w:r>
    </w:p>
    <w:p>
      <w:pPr>
        <w:spacing w:after="0" w:line="7" w:lineRule="exact"/>
        <w:rPr>
          <w:sz w:val="20"/>
          <w:szCs w:val="20"/>
          <w:color w:val="auto"/>
        </w:rPr>
      </w:pPr>
    </w:p>
    <w:p>
      <w:pPr>
        <w:ind w:right="6899" w:firstLine="10"/>
        <w:spacing w:after="0" w:line="509" w:lineRule="auto"/>
        <w:tabs>
          <w:tab w:leader="none" w:pos="437"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combination of the foregoing. Certain Anti-Takeover Provisions</w:t>
      </w:r>
    </w:p>
    <w:p>
      <w:pPr>
        <w:ind w:right="3499" w:firstLine="787"/>
        <w:spacing w:after="0" w:line="256" w:lineRule="auto"/>
        <w:rPr>
          <w:sz w:val="20"/>
          <w:szCs w:val="20"/>
          <w:color w:val="auto"/>
        </w:rPr>
      </w:pPr>
      <w:r>
        <w:rPr>
          <w:rFonts w:ascii="Courier New" w:cs="Courier New" w:eastAsia="Courier New" w:hAnsi="Courier New"/>
          <w:sz w:val="14"/>
          <w:szCs w:val="14"/>
          <w:color w:val="auto"/>
        </w:rPr>
        <w:t>The provisions of ClearOne's articles of incorporation and bylaws do not contain anti-takeover provisions. ClearOne's articles of incorporation provide that the number of directors shall not exceed nine and shall be fixed from time to time by resolution by the board of directors. ClearOne's bylaws</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17" w:right="1440" w:bottom="1440" w:gutter="0" w:footer="0" w:header="0"/>
        </w:sectPr>
      </w:pPr>
    </w:p>
    <w:bookmarkStart w:id="52" w:name="page53"/>
    <w:bookmarkEnd w:id="52"/>
    <w:p>
      <w:pPr>
        <w:ind w:right="3239"/>
        <w:spacing w:after="0" w:line="235" w:lineRule="auto"/>
        <w:rPr>
          <w:sz w:val="20"/>
          <w:szCs w:val="20"/>
          <w:color w:val="auto"/>
        </w:rPr>
      </w:pPr>
      <w:r>
        <w:rPr>
          <w:rFonts w:ascii="Courier New" w:cs="Courier New" w:eastAsia="Courier New" w:hAnsi="Courier New"/>
          <w:sz w:val="15"/>
          <w:szCs w:val="15"/>
          <w:color w:val="auto"/>
        </w:rPr>
        <w:t>provide that directors may be removed with or without cause. Removal of a director requires that the votes cast by the stockholders to remove the director exceed the number of votes cast not to remove the director.</w:t>
      </w:r>
    </w:p>
    <w:p>
      <w:pPr>
        <w:spacing w:after="0" w:line="174"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The Utah Control Share Acquisition Act (the "Share Acquisition Act"), set forth in Sections 61-6-1 through 61-6-12 of the Utah Code Annotated, generally provides that, when any person obtains shares (or the power to direct the voting of shares) of "an issuing public corporation" such that the person's voting power equals or exceeds any of three levels (20%, 331/3% or 50%), the ability to vote (or to direct the voting of) the "control shares" is conditioned on the approval by a majority of the corporation's shares (voting in voting groups, if applicable), excluding the "interested shares." Stockholder approval may occur at the next annual or special meeting of the stockholders, or, if the acquiring person requests and agrees to pay the associated costs of the corporation, at a special meeting of the stockholders to be held within 50 days of the corporation's receipt of the request by an acquiring person. If authorized by the articles of incorporation or the bylaws, the corporation may redeem "control shares" at the fair market value if the acquiring person fails to file an "acquiring person statement" or if the stockholders do not grant voting rights to control shares. The ClearOne articles of incorporation and bylaws make no reference to the Share Acquisition Act. If the stockholders grant voting rights to the control shares, and if the acquiring person obtained a majority of the voting power, stockholders may be entitled to dissenters' rights under the URBCA. An acquisition of shares does not constitute a control share acquisition within the meaning of the Share Acquisition Act if (1) the corporation's article of incorporation of bylaws provide that the Share Acquisition Act does not apply; (2) the acquisition is consummated pursuant to a merger in accordance with the URBCA; or (3) under certain other specified circumstances.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Limitation of Liability of Directors</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The URBCA provides that a director or officer of a Utah corporation is not liable to the corporation or its stockholders for any action taken, or any failure to take any action, as an officer or director, unless (1) the director or officer has breached or failed to perform the duties of the office (which requires that the director or officer acted (A) in good faith, (B) with the care an ordinary prudent person in like position would exercise under similar circumstances and (C) in a manner that the director or officer reasonably believes to be in the best interest of the corporation), and (2) the breach or failure to perform constitutes gross negligence, willful misconduct or intentional infliction of harm on the corporation or the stockholders. The URBCA permits a corporation to eliminate or limit the liability of a director to the corporation or its stockholders for monetary damages for any action taken or failure to take any action, as a director, except liability for (1) the amount of a financial benefit received by a director to which he is not entitled; (2) an intentional infliction of harm on the corporation or its stockholders; (3) voting for or assenting to an unlawful distribution of assets as defined under the URBCA, or (4) an intentional violation of criminal law. ClearOne has not limited such liability for its directors.</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Indemnification of Directors and Officers</w:t>
      </w:r>
    </w:p>
    <w:p>
      <w:pPr>
        <w:spacing w:after="0" w:line="173" w:lineRule="exact"/>
        <w:rPr>
          <w:sz w:val="20"/>
          <w:szCs w:val="20"/>
          <w:color w:val="auto"/>
        </w:rPr>
      </w:pPr>
    </w:p>
    <w:p>
      <w:pPr>
        <w:jc w:val="both"/>
        <w:ind w:right="3319" w:firstLine="787"/>
        <w:spacing w:after="0" w:line="254" w:lineRule="auto"/>
        <w:rPr>
          <w:sz w:val="20"/>
          <w:szCs w:val="20"/>
          <w:color w:val="auto"/>
        </w:rPr>
      </w:pPr>
      <w:r>
        <w:rPr>
          <w:rFonts w:ascii="Courier New" w:cs="Courier New" w:eastAsia="Courier New" w:hAnsi="Courier New"/>
          <w:sz w:val="14"/>
          <w:szCs w:val="14"/>
          <w:color w:val="auto"/>
        </w:rPr>
        <w:t>The ClearOne bylaws provide that it shall indemnify an individual made a party to a proceeding because he is or was a director, against any liability incurred in the proceeding if (1) the individual's conduct was in good faith;</w:t>
      </w:r>
    </w:p>
    <w:p>
      <w:pPr>
        <w:spacing w:after="0" w:line="1" w:lineRule="exact"/>
        <w:rPr>
          <w:sz w:val="20"/>
          <w:szCs w:val="20"/>
          <w:color w:val="auto"/>
        </w:rPr>
      </w:pPr>
    </w:p>
    <w:p>
      <w:pPr>
        <w:ind w:right="3239" w:firstLine="10"/>
        <w:spacing w:after="0" w:line="254" w:lineRule="auto"/>
        <w:tabs>
          <w:tab w:leader="none" w:pos="35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individual reasonably believed that his conduct was in, or not opposed to, the corporation's best interests; and (3) in the case of a criminal proceeding he had no reasonable cause to believe his conduct was unlawful; provided, however, that (x) in the case of an action by or in the right of the corporation, indemnification is limited to reasonable expenses incurred in connection with the proceeding and (y) the corporation may not, unless authorized by a court of competent jurisdiction, indemnify an individual (A) in connection with a proceeding by or in the right of the corporation in which the individual was adjudged liable to the corporation or (B) in connection with any other proceeding in which the individual is adjudged liable on the basis that he derived an improper personal benefit. In a judicial proceeding under the foregoing clause (y), in order to authorize indemnification, the court must determine that the individual is fairly and reasonably entitled to indemnification in view of all the relevant circumstances. A director is entitled to mandatory indemnification if he was successful, on the merits or otherwise, in the defense of any proceeding, or in the defense of any claim, issue or matter in the proceeding to which he was a party because he is or was a director of ClearOne, against the reasonable expenses incurred by him in connection with the proceeding or claim with respect to which he was successful. ClearOne must also advance a director expenses under certain circumstances. ClearOne may also indemnify and advance expenses to an officer, employee, or agent to any extent consistent with public policy.</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24" w:right="1440" w:bottom="1440" w:gutter="0" w:footer="0" w:header="0"/>
        </w:sectPr>
      </w:pPr>
    </w:p>
    <w:bookmarkStart w:id="53" w:name="page54"/>
    <w:bookmarkEnd w:id="53"/>
    <w:p>
      <w:pPr>
        <w:ind w:right="3319" w:firstLine="787"/>
        <w:spacing w:after="0" w:line="236" w:lineRule="auto"/>
        <w:rPr>
          <w:sz w:val="20"/>
          <w:szCs w:val="20"/>
          <w:color w:val="auto"/>
        </w:rPr>
      </w:pPr>
      <w:r>
        <w:rPr>
          <w:rFonts w:ascii="Courier New" w:cs="Courier New" w:eastAsia="Courier New" w:hAnsi="Courier New"/>
          <w:sz w:val="15"/>
          <w:szCs w:val="15"/>
          <w:color w:val="auto"/>
        </w:rPr>
        <w:t>The ClearOne articles of incorporation provide that ClearOne will indemnify a director against any liability may arise as a result of such director contracting with ClearOne for the benefit of himself or any firm, association or corporation in which such director may be interested in any way, provided such director acts in good faith.</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 and Registrar</w:t>
      </w:r>
    </w:p>
    <w:p>
      <w:pPr>
        <w:spacing w:after="0" w:line="173" w:lineRule="exact"/>
        <w:rPr>
          <w:sz w:val="20"/>
          <w:szCs w:val="20"/>
          <w:color w:val="auto"/>
        </w:rPr>
      </w:pPr>
    </w:p>
    <w:p>
      <w:pPr>
        <w:ind w:right="3759" w:firstLine="787"/>
        <w:spacing w:after="0" w:line="234" w:lineRule="auto"/>
        <w:rPr>
          <w:sz w:val="20"/>
          <w:szCs w:val="20"/>
          <w:color w:val="auto"/>
        </w:rPr>
      </w:pPr>
      <w:r>
        <w:rPr>
          <w:rFonts w:ascii="Courier New" w:cs="Courier New" w:eastAsia="Courier New" w:hAnsi="Courier New"/>
          <w:sz w:val="15"/>
          <w:szCs w:val="15"/>
          <w:color w:val="auto"/>
        </w:rPr>
        <w:t>American Stock Transfer &amp; Trust Company is the transfer agent and registrar for ClearOne's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24" w:right="1440" w:bottom="1440" w:gutter="0" w:footer="0" w:header="0"/>
        </w:sectPr>
      </w:pPr>
    </w:p>
    <w:bookmarkStart w:id="54" w:name="page55"/>
    <w:bookmarkEnd w:id="54"/>
    <w:p>
      <w:pPr>
        <w:ind w:left="2640"/>
        <w:spacing w:after="0"/>
        <w:rPr>
          <w:sz w:val="20"/>
          <w:szCs w:val="20"/>
          <w:color w:val="auto"/>
        </w:rPr>
      </w:pPr>
      <w:r>
        <w:rPr>
          <w:rFonts w:ascii="Courier New" w:cs="Courier New" w:eastAsia="Courier New" w:hAnsi="Courier New"/>
          <w:sz w:val="15"/>
          <w:szCs w:val="15"/>
          <w:color w:val="auto"/>
        </w:rPr>
        <w:t>SELLING STOCKHOLDERS</w:t>
      </w:r>
    </w:p>
    <w:p>
      <w:pPr>
        <w:spacing w:after="0" w:line="341"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Some of the shares of common stock being offered pursuant to this prospectus may be offered by certain selling stockholders, including Frances M. Flood, Chairman of the Board of Directors, President and Chief Executive Officer of ClearOne; Susie Strohm, Vice President of Finance and Controller of ClearOne; Edward Dallin Bagley, a director and a significant stockholder of ClearOne; and Brad R. Baldwin, a director of ClearOne. Identification of any such selling stockholder will be made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17" w:right="1440" w:bottom="1440" w:gutter="0" w:footer="0" w:header="0"/>
        </w:sectPr>
      </w:pPr>
    </w:p>
    <w:bookmarkStart w:id="55" w:name="page56"/>
    <w:bookmarkEnd w:id="55"/>
    <w:p>
      <w:pPr>
        <w:ind w:left="2640"/>
        <w:spacing w:after="0"/>
        <w:rPr>
          <w:sz w:val="20"/>
          <w:szCs w:val="20"/>
          <w:color w:val="auto"/>
        </w:rPr>
      </w:pPr>
      <w:r>
        <w:rPr>
          <w:rFonts w:ascii="Courier New" w:cs="Courier New" w:eastAsia="Courier New" w:hAnsi="Courier New"/>
          <w:sz w:val="15"/>
          <w:szCs w:val="15"/>
          <w:color w:val="auto"/>
        </w:rPr>
        <w:t>PLAN OF DISTRIBUTION</w:t>
      </w:r>
    </w:p>
    <w:p>
      <w:pPr>
        <w:spacing w:after="0" w:line="341"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ClearOne and the selling stockholders may sell the common stock described in this prospectus to one or more underwriters for public offering, or to investors directly or through agents. The selling stockholders will act independently of us in making decisions regarding the timing, manner and size of each sale. The name of any such underwriter or agent involved in the offer and sale of the securities, the amounts underwritten and the nature of its obligation to take the securities will be named in the applicable prospectus supplement. ClearOne and the selling stockholders have reserved the right to sell the common stock directly to investors on their own behalf in those jurisdictions where they are authorized to do so. The sale of the common stock may be effected in transactions (a) on any national or international securities exchange or quotation service on which the securities may be listed or quoted at the time of sale, (b) in the over-the-counter market, (c) in transactions otherwise than on such exchanges or in the over-the-counter market or (d) through the writing of options.</w:t>
      </w:r>
    </w:p>
    <w:p>
      <w:pPr>
        <w:spacing w:after="0" w:line="174"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Underwriters may offer and sell the common stock at a fixed price or prices that may be changed, at market prices prevailing at the time of sale, at prices related to such prevailing market prices or at negotiated prices. They may offer the securities on an exchange, which will be disclosed in the applicable prospectus supplement. ClearOne and the selling stockholders also may, from time to time, authorize dealers, acting as their agents, to offer and sell the common stock upon such terms and conditions as set forth in the applicable prospectus supplement. In connection with the sale of the common stock, underwriters may receive compensation from ClearOne and the selling stockholders in the form of underwriting discounts or commissions and may also receive commissions from purchasers of the securities for whom they may act as agent. Underwriters may sell the securities to or through dealers, and such dealers may receive compensation in the form of discounts, concessions or commissions from the underwriters or commissions (which may be changed from time to time) from the purchasers for whom they may act as agents.</w:t>
      </w:r>
    </w:p>
    <w:p>
      <w:pPr>
        <w:spacing w:after="0" w:line="174"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Any underwriting compensation paid by ClearOne or the selling stockholders to underwriters or agents in connection with the offering of the common stock, and any discounts, concessions or commissions allowed by underwriters to participating dealers, will be set forth in the applicable prospectus supplement. The selling stockholders, dealers and agents participating in the distribution of the securities may be deemed to be underwriters, and any discounts and commissions received by them and any profit realized by them on resale of the common stock may be deemed to be underwriting discounts and commissions under the Securities Act. Underwriters, dealers and agents may be entitled, under agreements entered into with ClearOne and the selling stockholders, to indemnification against and contribution towards certain civil liabilities, including any liabilities under the Securities Act.</w:t>
      </w:r>
    </w:p>
    <w:p>
      <w:pPr>
        <w:spacing w:after="0" w:line="164"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Until the distribution of the common stock is completed, rules of the SEC may limit the ability of the underwriters to bid for and purchase the securities. As an exception to these rules, the underwriters are permitted to engage in certain transactions that stabilize the price of the common stock. Such transactions consist of bids or purchases for the purpose of pegging, fixing or maintaining the price of the common stock. If the underwriters create a short position in the securities in connection with the offering, that is, if they sell more common stock than are set forth on the cover page of the applicable prospectus supplement, the underwriters may reduce that short position by purchasing common stock in the open market. The underwriters may also impose a penalty bid on certain underwriters. This means that if the underwriters purchase the common stock in the open market to reduce the underwriters' short position or to stabilize the price of the common stock, they may reclaim the amount of the selling concession from the underwriters who sold those shares of common stock as part of the offering. In general, purchases of a common stock for the purpose of stabilization or to reduce a short position could cause the price of the common stock to be higher than it might be in the absence of such purchases. The imposition of a penalty bid might also have an effect on the price of a common stock to the extent that it were to discourage resales of the common stock.</w:t>
      </w:r>
    </w:p>
    <w:p>
      <w:pPr>
        <w:spacing w:after="0" w:line="176"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The amount of expenses expected to be incurred by us in connection with any issuance of common stock will be set forth in the prospectus supplement. Certain of the underwriters, dealers or agents and their associates may engage in transactions with, and perform services for, ClearOne, the selling stockholders and certain of their affiliates in the ordinary course.</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17" w:right="1440" w:bottom="1440" w:gutter="0" w:footer="0" w:header="0"/>
        </w:sectPr>
      </w:pPr>
    </w:p>
    <w:bookmarkStart w:id="56" w:name="page57"/>
    <w:bookmarkEnd w:id="56"/>
    <w:p>
      <w:pPr>
        <w:ind w:left="2380"/>
        <w:spacing w:after="0"/>
        <w:rPr>
          <w:sz w:val="20"/>
          <w:szCs w:val="20"/>
          <w:color w:val="auto"/>
        </w:rPr>
      </w:pPr>
      <w:r>
        <w:rPr>
          <w:rFonts w:ascii="Courier New" w:cs="Courier New" w:eastAsia="Courier New" w:hAnsi="Courier New"/>
          <w:sz w:val="15"/>
          <w:szCs w:val="15"/>
          <w:color w:val="auto"/>
        </w:rPr>
        <w:t>VALIDITY OF THE SECURITIES</w:t>
      </w:r>
    </w:p>
    <w:p>
      <w:pPr>
        <w:spacing w:after="0" w:line="341" w:lineRule="exact"/>
        <w:rPr>
          <w:sz w:val="20"/>
          <w:szCs w:val="20"/>
          <w:color w:val="auto"/>
        </w:rPr>
      </w:pPr>
    </w:p>
    <w:p>
      <w:pPr>
        <w:ind w:right="3239" w:firstLine="787"/>
        <w:spacing w:after="0" w:line="258" w:lineRule="auto"/>
        <w:rPr>
          <w:sz w:val="20"/>
          <w:szCs w:val="20"/>
          <w:color w:val="auto"/>
        </w:rPr>
      </w:pPr>
      <w:r>
        <w:rPr>
          <w:rFonts w:ascii="Courier New" w:cs="Courier New" w:eastAsia="Courier New" w:hAnsi="Courier New"/>
          <w:sz w:val="14"/>
          <w:szCs w:val="14"/>
          <w:color w:val="auto"/>
        </w:rPr>
        <w:t>The validity of our common stock issued hereunder will be passed upon for ClearOne by Clyde Snow Sessions &amp; Swenson, PC. Certain other legal matters will be passed upon for ClearOne by Shearman &amp; Sterling, Menlo Park, California.</w:t>
      </w:r>
    </w:p>
    <w:p>
      <w:pPr>
        <w:spacing w:after="0" w:line="32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EXPERTS</w:t>
      </w:r>
    </w:p>
    <w:p>
      <w:pPr>
        <w:spacing w:after="0" w:line="341"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Ernst &amp; Young LLP, independent auditors, have audited our consolidated financial statements included in our Annual Report on Form 10-K for the year ended June 30, 2001, as set forth in their report, which is incorporated by reference in this prospectus. Our consolidated financial statements are incorporated by reference in reliance on Ernst &amp; Young LLP's report, given on their authority as experts in accounting and auditing.</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KPMG, Chartered Accountants, Dublin, Ireland, have audited the financial statements of Ivron Systems, Ltd. for the three years to December 31, 2000 included in ClearOne's Form 8-K/A filed with the SEC on November 23, 2001, which are incorporated by reference in this prospectus. Ivron Systems, Ltd.'s financial statements are incorporated by reference in reliance on KPMG, Chartered Accountants' report, given on their authority as experts in accounting and auditing.</w:t>
      </w:r>
    </w:p>
    <w:p>
      <w:pPr>
        <w:spacing w:after="0" w:line="176"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The financial statements incorporated in this prospectus by reference from the Annual Report on Form 10-KSB of E.mergent, Inc. for the year ended December 31, 2001, have been audited by Deloitte &amp; Touche LLP, independent auditors, as stated in their report, which is incorporated herein by reference, and has been so incorporated in reliance upon the report of such firm given upon their authority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17" w:right="1440" w:bottom="1440" w:gutter="0" w:footer="0" w:header="0"/>
        </w:sectPr>
      </w:pPr>
    </w:p>
    <w:bookmarkStart w:id="57" w:name="page58"/>
    <w:bookmarkEnd w:id="57"/>
    <w:p>
      <w:pPr>
        <w:ind w:left="3240"/>
        <w:spacing w:after="0"/>
        <w:rPr>
          <w:sz w:val="20"/>
          <w:szCs w:val="20"/>
          <w:color w:val="auto"/>
        </w:rPr>
      </w:pPr>
      <w:r>
        <w:rPr>
          <w:rFonts w:ascii="Courier New" w:cs="Courier New" w:eastAsia="Courier New" w:hAnsi="Courier New"/>
          <w:sz w:val="15"/>
          <w:szCs w:val="15"/>
          <w:color w:val="auto"/>
        </w:rPr>
        <w:t>PART II</w:t>
      </w:r>
    </w:p>
    <w:p>
      <w:pPr>
        <w:spacing w:after="0" w:line="33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33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Other Expenses of Issuance and Distribution.</w:t>
      </w:r>
    </w:p>
    <w:p>
      <w:pPr>
        <w:spacing w:after="0" w:line="341"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The following table sets forth all fees and expenses payable by the registrant in connection with the issuance and distribution of the securities being registered hereby (other than underwriting discounts and commissions). All of such expenses, except the SEC registration fee, are estimated.</w:t>
      </w:r>
    </w:p>
    <w:p>
      <w:pPr>
        <w:spacing w:after="0" w:line="169"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4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Securities and Exchange Commission registration fee....</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10,366</w:t>
            </w:r>
          </w:p>
        </w:tc>
      </w:tr>
      <w:tr>
        <w:trPr>
          <w:trHeight w:val="168"/>
        </w:trPr>
        <w:tc>
          <w:tcPr>
            <w:tcW w:w="4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Nasdaq listing fee.....................................</w:t>
            </w: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50,000</w:t>
            </w:r>
          </w:p>
        </w:tc>
      </w:tr>
      <w:tr>
        <w:trPr>
          <w:trHeight w:val="168"/>
        </w:trPr>
        <w:tc>
          <w:tcPr>
            <w:tcW w:w="4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Legal fees and expenses................................</w:t>
            </w: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200,000</w:t>
            </w:r>
          </w:p>
        </w:tc>
      </w:tr>
      <w:tr>
        <w:trPr>
          <w:trHeight w:val="168"/>
        </w:trPr>
        <w:tc>
          <w:tcPr>
            <w:tcW w:w="4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Transfer Agent's fees and expenses.....................</w:t>
            </w: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10,000</w:t>
            </w:r>
          </w:p>
        </w:tc>
      </w:tr>
      <w:tr>
        <w:trPr>
          <w:trHeight w:val="168"/>
        </w:trPr>
        <w:tc>
          <w:tcPr>
            <w:tcW w:w="4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Trustee's fees and expenses............................</w:t>
            </w: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20,000</w:t>
            </w:r>
          </w:p>
        </w:tc>
      </w:tr>
      <w:tr>
        <w:trPr>
          <w:trHeight w:val="168"/>
        </w:trPr>
        <w:tc>
          <w:tcPr>
            <w:tcW w:w="4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Rating agency fees.....................................</w:t>
            </w: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420,000</w:t>
            </w:r>
          </w:p>
        </w:tc>
      </w:tr>
      <w:tr>
        <w:trPr>
          <w:trHeight w:val="168"/>
        </w:trPr>
        <w:tc>
          <w:tcPr>
            <w:tcW w:w="4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Accounting fees and expenses...........................</w:t>
            </w: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200,000</w:t>
            </w:r>
          </w:p>
        </w:tc>
      </w:tr>
      <w:tr>
        <w:trPr>
          <w:trHeight w:val="168"/>
        </w:trPr>
        <w:tc>
          <w:tcPr>
            <w:tcW w:w="4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Blue Sky fees and expenses (including counsel fees)....</w:t>
            </w: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10,000</w:t>
            </w:r>
          </w:p>
        </w:tc>
      </w:tr>
      <w:tr>
        <w:trPr>
          <w:trHeight w:val="168"/>
        </w:trPr>
        <w:tc>
          <w:tcPr>
            <w:tcW w:w="4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Printing expenses......................................</w:t>
            </w: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400,000</w:t>
            </w:r>
          </w:p>
        </w:tc>
      </w:tr>
      <w:tr>
        <w:trPr>
          <w:trHeight w:val="168"/>
        </w:trPr>
        <w:tc>
          <w:tcPr>
            <w:tcW w:w="4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Miscellaneous..........................................</w:t>
            </w: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25,000</w:t>
            </w:r>
          </w:p>
        </w:tc>
      </w:tr>
      <w:tr>
        <w:trPr>
          <w:trHeight w:val="168"/>
        </w:trPr>
        <w:tc>
          <w:tcPr>
            <w:tcW w:w="4980" w:type="dxa"/>
            <w:vAlign w:val="bottom"/>
          </w:tcPr>
          <w:p>
            <w:pPr>
              <w:spacing w:after="0"/>
              <w:rPr>
                <w:sz w:val="14"/>
                <w:szCs w:val="14"/>
                <w:color w:val="auto"/>
              </w:rPr>
            </w:pP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$ 1,345,366</w:t>
            </w:r>
          </w:p>
        </w:tc>
      </w:tr>
      <w:tr>
        <w:trPr>
          <w:trHeight w:val="168"/>
        </w:trPr>
        <w:tc>
          <w:tcPr>
            <w:tcW w:w="4980" w:type="dxa"/>
            <w:vAlign w:val="bottom"/>
          </w:tcPr>
          <w:p>
            <w:pPr>
              <w:spacing w:after="0"/>
              <w:rPr>
                <w:sz w:val="14"/>
                <w:szCs w:val="14"/>
                <w:color w:val="auto"/>
              </w:rPr>
            </w:pP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15.</w:t>
      </w:r>
      <w:r>
        <w:rPr>
          <w:sz w:val="20"/>
          <w:szCs w:val="20"/>
          <w:color w:val="auto"/>
        </w:rPr>
        <w:tab/>
      </w:r>
      <w:r>
        <w:rPr>
          <w:rFonts w:ascii="Courier New" w:cs="Courier New" w:eastAsia="Courier New" w:hAnsi="Courier New"/>
          <w:sz w:val="14"/>
          <w:szCs w:val="14"/>
          <w:color w:val="auto"/>
        </w:rPr>
        <w:t>Indemnification of Directors and Officers.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Limitation of Liability and Indemnification of Liability of Directors</w:t>
      </w:r>
    </w:p>
    <w:p>
      <w:pPr>
        <w:spacing w:after="0" w:line="341"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Section 16-10a-840 of the URBCA provides that the liability of our directors and officers is limited such that a director or officer is not liable to us or our sharehoders for any action taken or any failure to take action, as an officer or director, as the case may be, unless: (i) the director or officer has breached or failed to perform the duties of the office in compliance with section 16-10a-840 of the URBCA; and (ii) the breach or failure to perform constitutes gross negligence, willful misconduct, or intentional infliction of harm on ClearOne or our shareholders. Each of our directors is personally liable if such director votes for or assents to an unlawful distribution under the URBCA or under our articles of incorporation.</w:t>
      </w:r>
    </w:p>
    <w:p>
      <w:pPr>
        <w:spacing w:after="0" w:line="165"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We will, pursuant to Section 16-10a-902 of the URBCA, indemnify an individual made party to a proceeding because he was a director, against liability incurred in the proceeding if: (i) the director's conduct was in good faith; (ii) the director reasonably believed that his conduct was in, or not opposed to, our best interests; and (iii) in the case of any criminal proceeding, he had no reasonable cause to believe his conduct was unlawful; provided that, we may not indemnify the same director if (a) indemnification is sought in connection with a proceeding by or in the right of ClearOne in which the director was adjudged liable to us or (b) indemnification is sought in connection with any other proceeding charging that the director derived an impersonal personal benefit, whether or not including action in his official capacity, in which proceeding he was adjudged liable on the basis that he derived an improper personal benefit. Indemnification under this Section in connection with a proceeding by or in the right of ClearOne is limited to reasonable expenses incurred in connection with the proceeding.</w:t>
      </w:r>
    </w:p>
    <w:p>
      <w:pPr>
        <w:spacing w:after="0" w:line="16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In accordance with Section 16-10a-903 of the URBCA we will indemnify a director or an officer, who is successful on the merits or otherwise, in defense of any proceeding, or in the defense of any claim, issue or matter in the proceeding, to which he was a party because he is or was a director or an officer of ClearOne, as the case may be, against reasonable expenses incurred by him in connection with the proceeding or claim with respect to which he has been successful.</w:t>
      </w:r>
    </w:p>
    <w:p>
      <w:pPr>
        <w:spacing w:after="0" w:line="176"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In accordance with Section 16-10a-904 of the URBCA, we will pay or reimburse the reasonable expenses incurred by a party to a proceeding in advance of the final disposition of the proceeding, provided that (i) the director furnishes the corporation a written affirmation of his good faith belief that he has met the applicable standard of conduct described in Section 16-10a-902 of the URBCA; (ii) the director furnishes to us a written undertaking, executed personally or on his behalf, to repay the advance of it is ultimately determined that he did not meet such standard of conduct; and (iii) a determination is made that the facts then known to those making the determination would not preclude indemnification thereunder.</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17" w:right="1440" w:bottom="1440" w:gutter="0" w:footer="0" w:header="0"/>
        </w:sectPr>
      </w:pPr>
    </w:p>
    <w:bookmarkStart w:id="58" w:name="page59"/>
    <w:bookmarkEnd w:id="58"/>
    <w:p>
      <w:pPr>
        <w:ind w:right="3319" w:firstLine="787"/>
        <w:spacing w:after="0" w:line="235" w:lineRule="auto"/>
        <w:rPr>
          <w:sz w:val="20"/>
          <w:szCs w:val="20"/>
          <w:color w:val="auto"/>
        </w:rPr>
      </w:pPr>
      <w:r>
        <w:rPr>
          <w:rFonts w:ascii="Courier New" w:cs="Courier New" w:eastAsia="Courier New" w:hAnsi="Courier New"/>
          <w:sz w:val="15"/>
          <w:szCs w:val="15"/>
          <w:color w:val="auto"/>
        </w:rPr>
        <w:t>Section 16-10a-905 permits a director or officer who is or was a party to a proceeding to apply for indemnification to the court conducting the proceeding or another court of competent jurisdiction.</w:t>
      </w:r>
    </w:p>
    <w:p>
      <w:pPr>
        <w:spacing w:after="0" w:line="174" w:lineRule="exact"/>
        <w:rPr>
          <w:sz w:val="20"/>
          <w:szCs w:val="20"/>
          <w:color w:val="auto"/>
        </w:rPr>
      </w:pPr>
    </w:p>
    <w:p>
      <w:pPr>
        <w:ind w:right="3239" w:firstLine="787"/>
        <w:spacing w:after="0" w:line="234" w:lineRule="auto"/>
        <w:rPr>
          <w:sz w:val="20"/>
          <w:szCs w:val="20"/>
          <w:color w:val="auto"/>
        </w:rPr>
      </w:pPr>
      <w:r>
        <w:rPr>
          <w:rFonts w:ascii="Courier New" w:cs="Courier New" w:eastAsia="Courier New" w:hAnsi="Courier New"/>
          <w:sz w:val="15"/>
          <w:szCs w:val="15"/>
          <w:color w:val="auto"/>
        </w:rPr>
        <w:t>We will indemnify and advance expenses to an officer, employee or agent of ClearOne to any extent consistent with public policy.</w:t>
      </w:r>
    </w:p>
    <w:p>
      <w:pPr>
        <w:spacing w:after="0" w:line="173"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We maintain a directors' and officers' liability insurance policy which, subject to the limitations and exclusions stated therein, covers the officers and directors of ClearOne for certain actions or inactions that they may take or omit to take in their capacities as officers and directors of ClearOne.</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Insofar as indemnification for liabilities arising under the Securities Act of 1933, as amended, may be permitted to officers and directors under any of the foregoing provisions, we have been informed that in the opinion of the Securities and Exchange Commission such indemnification is against public policy as expressed in the Securities Act of 1933, as amended, and is therefore unenforceable.</w:t>
      </w:r>
    </w:p>
    <w:p>
      <w:pPr>
        <w:spacing w:after="0" w:line="16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16.</w:t>
      </w:r>
      <w:r>
        <w:rPr>
          <w:sz w:val="20"/>
          <w:szCs w:val="20"/>
          <w:color w:val="auto"/>
        </w:rPr>
        <w:tab/>
      </w:r>
      <w:r>
        <w:rPr>
          <w:rFonts w:ascii="Courier New" w:cs="Courier New" w:eastAsia="Courier New" w:hAnsi="Courier New"/>
          <w:sz w:val="14"/>
          <w:szCs w:val="14"/>
          <w:color w:val="auto"/>
        </w:rPr>
        <w:t>Exhibits and Financial Statements Schedules.</w:t>
      </w:r>
    </w:p>
    <w:p>
      <w:pPr>
        <w:spacing w:after="0" w:line="341"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The exhibits to this registration statement are listed in the Exhibit Index to this registration statement, which Exhibit Index is hereby incorporated by reference.</w:t>
      </w:r>
    </w:p>
    <w:p>
      <w:pPr>
        <w:spacing w:after="0" w:line="16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17.</w:t>
      </w:r>
      <w:r>
        <w:rPr>
          <w:sz w:val="20"/>
          <w:szCs w:val="20"/>
          <w:color w:val="auto"/>
        </w:rPr>
        <w:tab/>
      </w:r>
      <w:r>
        <w:rPr>
          <w:rFonts w:ascii="Courier New" w:cs="Courier New" w:eastAsia="Courier New" w:hAnsi="Courier New"/>
          <w:sz w:val="14"/>
          <w:szCs w:val="14"/>
          <w:color w:val="auto"/>
        </w:rPr>
        <w:t>Undertakings.</w:t>
      </w:r>
    </w:p>
    <w:p>
      <w:pPr>
        <w:spacing w:after="0" w:line="33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undersigned registrant hereby undertakes:</w:t>
      </w:r>
    </w:p>
    <w:p>
      <w:pPr>
        <w:spacing w:after="0" w:line="173" w:lineRule="exact"/>
        <w:rPr>
          <w:sz w:val="20"/>
          <w:szCs w:val="20"/>
          <w:color w:val="auto"/>
        </w:rPr>
      </w:pPr>
    </w:p>
    <w:p>
      <w:pPr>
        <w:ind w:left="2100" w:right="3239" w:hanging="699"/>
        <w:spacing w:after="0" w:line="258" w:lineRule="auto"/>
        <w:tabs>
          <w:tab w:leader="none" w:pos="2080" w:val="left"/>
        </w:tabs>
        <w:rPr>
          <w:sz w:val="20"/>
          <w:szCs w:val="20"/>
          <w:color w:val="auto"/>
        </w:rPr>
      </w:pPr>
      <w:r>
        <w:rPr>
          <w:rFonts w:ascii="Courier New" w:cs="Courier New" w:eastAsia="Courier New" w:hAnsi="Courier New"/>
          <w:sz w:val="14"/>
          <w:szCs w:val="14"/>
          <w:color w:val="auto"/>
        </w:rPr>
        <w:t>(a)(1)</w:t>
        <w:tab/>
        <w:t>To file, during any period in which offers or sales are being made of the securities registered hereby, a post-effective amendment to this registration statement:</w:t>
      </w:r>
    </w:p>
    <w:p>
      <w:pPr>
        <w:spacing w:after="0" w:line="161" w:lineRule="exact"/>
        <w:rPr>
          <w:sz w:val="20"/>
          <w:szCs w:val="20"/>
          <w:color w:val="auto"/>
        </w:rPr>
      </w:pPr>
    </w:p>
    <w:p>
      <w:pPr>
        <w:ind w:left="2800" w:right="3499" w:hanging="691"/>
        <w:spacing w:after="0" w:line="261" w:lineRule="auto"/>
        <w:tabs>
          <w:tab w:leader="none" w:pos="280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prospectus required by Section 10(a)(3) of the Securities Act of 1933;</w:t>
      </w:r>
    </w:p>
    <w:p>
      <w:pPr>
        <w:spacing w:after="0" w:line="159" w:lineRule="exact"/>
        <w:rPr>
          <w:rFonts w:ascii="Courier New" w:cs="Courier New" w:eastAsia="Courier New" w:hAnsi="Courier New"/>
          <w:sz w:val="14"/>
          <w:szCs w:val="14"/>
          <w:color w:val="auto"/>
        </w:rPr>
      </w:pPr>
    </w:p>
    <w:p>
      <w:pPr>
        <w:ind w:left="2800" w:right="3239" w:hanging="691"/>
        <w:spacing w:after="0" w:line="254" w:lineRule="auto"/>
        <w:tabs>
          <w:tab w:leader="none" w:pos="280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the registration statement; provided, however, that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75" w:lineRule="exact"/>
        <w:rPr>
          <w:rFonts w:ascii="Courier New" w:cs="Courier New" w:eastAsia="Courier New" w:hAnsi="Courier New"/>
          <w:sz w:val="14"/>
          <w:szCs w:val="14"/>
          <w:color w:val="auto"/>
        </w:rPr>
      </w:pPr>
    </w:p>
    <w:p>
      <w:pPr>
        <w:ind w:left="2800" w:right="3239" w:hanging="691"/>
        <w:spacing w:after="0" w:line="236" w:lineRule="auto"/>
        <w:tabs>
          <w:tab w:leader="none" w:pos="280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167"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provided, however, that the undertakings set forth in</w:t>
      </w:r>
    </w:p>
    <w:p>
      <w:pPr>
        <w:ind w:left="2100"/>
        <w:spacing w:after="0" w:line="237" w:lineRule="auto"/>
        <w:rPr>
          <w:sz w:val="20"/>
          <w:szCs w:val="20"/>
          <w:color w:val="auto"/>
        </w:rPr>
      </w:pPr>
      <w:r>
        <w:rPr>
          <w:rFonts w:ascii="Courier New" w:cs="Courier New" w:eastAsia="Courier New" w:hAnsi="Courier New"/>
          <w:sz w:val="15"/>
          <w:szCs w:val="15"/>
          <w:color w:val="auto"/>
        </w:rPr>
        <w:t>clauses (i) and (ii) above do not apply if the</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information required to be included in a post-effective</w:t>
      </w:r>
    </w:p>
    <w:p>
      <w:pPr>
        <w:spacing w:after="0" w:line="3"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amendment by those clauses is contained in periodic</w:t>
      </w:r>
    </w:p>
    <w:p>
      <w:pPr>
        <w:ind w:left="2100"/>
        <w:spacing w:after="0" w:line="237" w:lineRule="auto"/>
        <w:rPr>
          <w:sz w:val="20"/>
          <w:szCs w:val="20"/>
          <w:color w:val="auto"/>
        </w:rPr>
      </w:pPr>
      <w:r>
        <w:rPr>
          <w:rFonts w:ascii="Courier New" w:cs="Courier New" w:eastAsia="Courier New" w:hAnsi="Courier New"/>
          <w:sz w:val="15"/>
          <w:szCs w:val="15"/>
          <w:color w:val="auto"/>
        </w:rPr>
        <w:t>reports filed by the registrant pursuant to Section 13</w:t>
      </w:r>
    </w:p>
    <w:p>
      <w:pPr>
        <w:ind w:left="2100"/>
        <w:spacing w:after="0" w:line="238" w:lineRule="auto"/>
        <w:rPr>
          <w:sz w:val="20"/>
          <w:szCs w:val="20"/>
          <w:color w:val="auto"/>
        </w:rPr>
      </w:pPr>
      <w:r>
        <w:rPr>
          <w:rFonts w:ascii="Courier New" w:cs="Courier New" w:eastAsia="Courier New" w:hAnsi="Courier New"/>
          <w:sz w:val="15"/>
          <w:szCs w:val="15"/>
          <w:color w:val="auto"/>
        </w:rPr>
        <w:t>or 15 (d) of the Securities and Exchange Act of 1934</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that are incorporated by reference in this registration</w:t>
      </w:r>
    </w:p>
    <w:p>
      <w:pPr>
        <w:spacing w:after="0" w:line="3"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statement;</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624" w:right="1440" w:bottom="1440" w:gutter="0" w:footer="0" w:header="0"/>
        </w:sectPr>
      </w:pPr>
    </w:p>
    <w:bookmarkStart w:id="59" w:name="page60"/>
    <w:bookmarkEnd w:id="59"/>
    <w:p>
      <w:pPr>
        <w:ind w:left="1580" w:right="3239" w:hanging="691"/>
        <w:spacing w:after="0" w:line="255" w:lineRule="auto"/>
        <w:tabs>
          <w:tab w:leader="none" w:pos="1580"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66" w:lineRule="exact"/>
        <w:rPr>
          <w:rFonts w:ascii="Courier New" w:cs="Courier New" w:eastAsia="Courier New" w:hAnsi="Courier New"/>
          <w:sz w:val="14"/>
          <w:szCs w:val="14"/>
          <w:color w:val="auto"/>
        </w:rPr>
      </w:pPr>
    </w:p>
    <w:p>
      <w:pPr>
        <w:ind w:left="1580" w:right="3399" w:hanging="691"/>
        <w:spacing w:after="0" w:line="235" w:lineRule="auto"/>
        <w:tabs>
          <w:tab w:leader="none" w:pos="1580"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any of the securities being registered which remain unsold at the termination of the offering;</w:t>
      </w:r>
    </w:p>
    <w:p>
      <w:pPr>
        <w:spacing w:after="0" w:line="175" w:lineRule="exact"/>
        <w:rPr>
          <w:rFonts w:ascii="Courier New" w:cs="Courier New" w:eastAsia="Courier New" w:hAnsi="Courier New"/>
          <w:sz w:val="15"/>
          <w:szCs w:val="15"/>
          <w:color w:val="auto"/>
        </w:rPr>
      </w:pPr>
    </w:p>
    <w:p>
      <w:pPr>
        <w:ind w:left="880" w:right="3239" w:hanging="691"/>
        <w:spacing w:after="0" w:line="237" w:lineRule="auto"/>
        <w:tabs>
          <w:tab w:leader="none" w:pos="88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the purposes of determining any liability under the Securities Act of 1933, each filing of our annual report pursuant to Section 13(a) or 15(d) of the Securities and Exchange Act of 1934 (and, where applicable, each filing of an employee benefit plan's annual report pursuant to Section 15 (a) of the Securities Exchange Act of 1934) that is incorporated by reference in this registration statement shall be deemed to be a new registration statement relating to the securities offered herein, and the offering of such securities at that time shall be deemed to be the initial bona fide offering thereof; and</w:t>
      </w:r>
    </w:p>
    <w:p>
      <w:pPr>
        <w:spacing w:after="0" w:line="173" w:lineRule="exact"/>
        <w:rPr>
          <w:rFonts w:ascii="Courier New" w:cs="Courier New" w:eastAsia="Courier New" w:hAnsi="Courier New"/>
          <w:sz w:val="15"/>
          <w:szCs w:val="15"/>
          <w:color w:val="auto"/>
        </w:rPr>
      </w:pPr>
    </w:p>
    <w:p>
      <w:pPr>
        <w:ind w:left="880" w:right="3319" w:hanging="691"/>
        <w:spacing w:after="0" w:line="236" w:lineRule="auto"/>
        <w:tabs>
          <w:tab w:leader="none" w:pos="88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9019"/>
          </w:cols>
          <w:pgMar w:left="1440" w:top="624" w:right="1440" w:bottom="1440" w:gutter="0" w:footer="0" w:header="0"/>
        </w:sectPr>
      </w:pPr>
    </w:p>
    <w:bookmarkStart w:id="60" w:name="page61"/>
    <w:bookmarkEnd w:id="60"/>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341"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Pursuant to the requirements of the Securities Act of 1933, as amended, we certify that we have reasonable grounds to believe that we meet all of the requirements for filing on Form S-3 and have duly caused this registration statement to be signed on our behalf by the undersigned, thereunto duly authorized, in Salt Lake City, Utah, on July 22, 2002.</w:t>
      </w:r>
    </w:p>
    <w:p>
      <w:pPr>
        <w:spacing w:after="0" w:line="16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CLEARONE COMMUNICATIONS, INC.</w:t>
      </w:r>
    </w:p>
    <w:p>
      <w:pPr>
        <w:sectPr>
          <w:pgSz w:w="11900" w:h="16838" w:orient="portrait"/>
          <w:cols w:equalWidth="0" w:num="1">
            <w:col w:w="10239"/>
          </w:cols>
          <w:pgMar w:left="220" w:top="617" w:right="1440" w:bottom="1440" w:gutter="0" w:footer="0" w:header="0"/>
        </w:sectPr>
      </w:pPr>
    </w:p>
    <w:p>
      <w:pPr>
        <w:spacing w:after="0" w:line="341"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 Frances M. Flood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Frances M. Flood, Chief Executive Officer</w:t>
      </w:r>
    </w:p>
    <w:p>
      <w:pPr>
        <w:spacing w:after="0" w:line="178" w:lineRule="exact"/>
        <w:rPr>
          <w:sz w:val="20"/>
          <w:szCs w:val="20"/>
          <w:color w:val="auto"/>
        </w:rPr>
      </w:pPr>
    </w:p>
    <w:p>
      <w:pPr>
        <w:sectPr>
          <w:pgSz w:w="11900" w:h="16838" w:orient="portrait"/>
          <w:cols w:equalWidth="0" w:num="2">
            <w:col w:w="2800" w:space="0"/>
            <w:col w:w="7439"/>
          </w:cols>
          <w:pgMar w:left="220" w:top="617" w:right="1440" w:bottom="1440" w:gutter="0" w:footer="0" w:header="0"/>
          <w:type w:val="continuous"/>
        </w:sectPr>
      </w:pPr>
    </w:p>
    <w:p>
      <w:pPr>
        <w:ind w:right="3239" w:firstLine="787"/>
        <w:spacing w:after="0" w:line="235" w:lineRule="auto"/>
        <w:rPr>
          <w:sz w:val="20"/>
          <w:szCs w:val="20"/>
          <w:color w:val="auto"/>
        </w:rPr>
      </w:pPr>
      <w:r>
        <w:rPr>
          <w:rFonts w:ascii="Courier New" w:cs="Courier New" w:eastAsia="Courier New" w:hAnsi="Courier New"/>
          <w:sz w:val="15"/>
          <w:szCs w:val="15"/>
          <w:color w:val="auto"/>
        </w:rPr>
        <w:t>Pursuant to the requirements of the Securities Act of 1933, as amended, this registration statement has been signed by the following persons in the capacities indicated on July 22, 2002.</w:t>
      </w:r>
    </w:p>
    <w:p>
      <w:pPr>
        <w:spacing w:after="0" w:line="17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Each individual whose signature appears below constitutes and appoints Frances M. Flood, Randall J. Wichinski and Susie Strohm, and each of them singly, his or her true and lawful attorneys-in-fact and agents with full power of substitution, for him or her and in his or her name, place and stead, in any and all capacities, to sign this registration statement and any and all amendments to this registration statement, including post-effective amendments, and to file the same, with all exhibits thereto, any related registration filed pursuant to Rule 462(b) under the Securities Act of 1933, as amended,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the said attorneys-in-fact and agents or any of them or their or his or her substitute or substitutes, may lawfully do or cause to be done by virtue hereof.</w:t>
      </w:r>
    </w:p>
    <w:p>
      <w:pPr>
        <w:sectPr>
          <w:pgSz w:w="11900" w:h="16838" w:orient="portrait"/>
          <w:cols w:equalWidth="0" w:num="1">
            <w:col w:w="10239"/>
          </w:cols>
          <w:pgMar w:left="220" w:top="617" w:right="1440" w:bottom="1440" w:gutter="0" w:footer="0" w:header="0"/>
          <w:type w:val="continuous"/>
        </w:sectPr>
      </w:pPr>
    </w:p>
    <w:p>
      <w:pPr>
        <w:spacing w:after="0" w:line="163"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Signature</w:t>
      </w:r>
    </w:p>
    <w:p>
      <w:pPr>
        <w:spacing w:after="0" w:line="10"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3660" w:space="720"/>
            <w:col w:w="5859"/>
          </w:cols>
          <w:pgMar w:left="220" w:top="617" w:right="1440" w:bottom="1440" w:gutter="0" w:footer="0" w:header="0"/>
          <w:type w:val="continuous"/>
        </w:sectPr>
      </w:pPr>
    </w:p>
    <w:p>
      <w:pPr>
        <w:ind w:left="540"/>
        <w:spacing w:after="0"/>
        <w:rPr>
          <w:sz w:val="20"/>
          <w:szCs w:val="20"/>
          <w:color w:val="auto"/>
        </w:rPr>
      </w:pPr>
      <w:r>
        <w:rPr>
          <w:rFonts w:ascii="Courier New" w:cs="Courier New" w:eastAsia="Courier New" w:hAnsi="Courier New"/>
          <w:sz w:val="15"/>
          <w:szCs w:val="15"/>
          <w:color w:val="auto"/>
        </w:rPr>
        <w:t>/s/ Frances M. Flood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Frances M. Flood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Chairman of the Board, Chief Executive Officer</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(principal executive officer)</w:t>
      </w:r>
    </w:p>
    <w:p>
      <w:pPr>
        <w:spacing w:after="0" w:line="334" w:lineRule="exact"/>
        <w:rPr>
          <w:sz w:val="20"/>
          <w:szCs w:val="20"/>
          <w:color w:val="auto"/>
        </w:rPr>
      </w:pPr>
    </w:p>
    <w:p>
      <w:pPr>
        <w:sectPr>
          <w:pgSz w:w="11900" w:h="16838" w:orient="portrait"/>
          <w:cols w:equalWidth="0" w:num="2">
            <w:col w:w="2980" w:space="0"/>
            <w:col w:w="7259"/>
          </w:cols>
          <w:pgMar w:left="220" w:top="617" w:right="1440" w:bottom="1440" w:gutter="0" w:footer="0" w:header="0"/>
          <w:type w:val="continuous"/>
        </w:sectPr>
      </w:pPr>
    </w:p>
    <w:p>
      <w:pPr>
        <w:ind w:left="540"/>
        <w:spacing w:after="0"/>
        <w:rPr>
          <w:sz w:val="20"/>
          <w:szCs w:val="20"/>
          <w:color w:val="auto"/>
        </w:rPr>
      </w:pPr>
      <w:r>
        <w:rPr>
          <w:rFonts w:ascii="Courier New" w:cs="Courier New" w:eastAsia="Courier New" w:hAnsi="Courier New"/>
          <w:sz w:val="15"/>
          <w:szCs w:val="15"/>
          <w:color w:val="auto"/>
        </w:rPr>
        <w:t>/s/ Randall J. Wichinski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Randall J. Wichinski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Chief Financial Officer</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(principal accounting and financial officer)</w:t>
      </w:r>
    </w:p>
    <w:p>
      <w:pPr>
        <w:spacing w:after="0" w:line="346" w:lineRule="exact"/>
        <w:rPr>
          <w:sz w:val="20"/>
          <w:szCs w:val="20"/>
          <w:color w:val="auto"/>
        </w:rPr>
      </w:pPr>
    </w:p>
    <w:p>
      <w:pPr>
        <w:sectPr>
          <w:pgSz w:w="11900" w:h="16838" w:orient="portrait"/>
          <w:cols w:equalWidth="0" w:num="2">
            <w:col w:w="2980" w:space="0"/>
            <w:col w:w="7259"/>
          </w:cols>
          <w:pgMar w:left="220" w:top="617" w:right="1440" w:bottom="1440" w:gutter="0" w:footer="0" w:header="0"/>
          <w:type w:val="continuous"/>
        </w:sectPr>
      </w:pPr>
    </w:p>
    <w:p>
      <w:pPr>
        <w:ind w:left="540"/>
        <w:spacing w:after="0"/>
        <w:rPr>
          <w:sz w:val="20"/>
          <w:szCs w:val="20"/>
          <w:color w:val="auto"/>
        </w:rPr>
      </w:pPr>
      <w:r>
        <w:rPr>
          <w:rFonts w:ascii="Courier New" w:cs="Courier New" w:eastAsia="Courier New" w:hAnsi="Courier New"/>
          <w:sz w:val="14"/>
          <w:szCs w:val="14"/>
          <w:color w:val="auto"/>
        </w:rPr>
        <w:t>/s/ Brad R. Baldwin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3" w:lineRule="exact"/>
        <w:rPr>
          <w:sz w:val="20"/>
          <w:szCs w:val="20"/>
          <w:color w:val="auto"/>
        </w:rPr>
      </w:pPr>
    </w:p>
    <w:p>
      <w:pPr>
        <w:sectPr>
          <w:pgSz w:w="11900" w:h="16838" w:orient="portrait"/>
          <w:cols w:equalWidth="0" w:num="2">
            <w:col w:w="2260" w:space="720"/>
            <w:col w:w="7259"/>
          </w:cols>
          <w:pgMar w:left="220" w:top="617" w:right="1440" w:bottom="1440" w:gutter="0" w:footer="0" w:header="0"/>
          <w:type w:val="continuous"/>
        </w:sectPr>
      </w:pPr>
    </w:p>
    <w:p>
      <w:pPr>
        <w:ind w:left="180" w:hanging="170"/>
        <w:spacing w:after="0"/>
        <w:tabs>
          <w:tab w:leader="none" w:pos="18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5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Brad R. Baldwin</w:t>
      </w:r>
    </w:p>
    <w:p>
      <w:pPr>
        <w:spacing w:after="0" w:line="173"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Director</w:t>
      </w:r>
    </w:p>
    <w:p>
      <w:pPr>
        <w:spacing w:after="0" w:line="3" w:lineRule="exact"/>
        <w:rPr>
          <w:sz w:val="20"/>
          <w:szCs w:val="20"/>
          <w:color w:val="auto"/>
        </w:rPr>
      </w:pPr>
    </w:p>
    <w:p>
      <w:pPr>
        <w:ind w:left="180" w:hanging="170"/>
        <w:spacing w:after="0"/>
        <w:tabs>
          <w:tab w:leader="none" w:pos="18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5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Michael A. Peirce</w:t>
      </w:r>
    </w:p>
    <w:p>
      <w:pPr>
        <w:spacing w:after="0" w:line="167" w:lineRule="exact"/>
        <w:rPr>
          <w:sz w:val="20"/>
          <w:szCs w:val="20"/>
          <w:color w:val="auto"/>
        </w:rPr>
      </w:pPr>
    </w:p>
    <w:p>
      <w:pPr>
        <w:ind w:left="540"/>
        <w:spacing w:after="0"/>
        <w:tabs>
          <w:tab w:leader="none" w:pos="2960" w:val="left"/>
        </w:tabs>
        <w:rPr>
          <w:sz w:val="20"/>
          <w:szCs w:val="20"/>
          <w:color w:val="auto"/>
        </w:rPr>
      </w:pPr>
      <w:r>
        <w:rPr>
          <w:rFonts w:ascii="Courier New" w:cs="Courier New" w:eastAsia="Courier New" w:hAnsi="Courier New"/>
          <w:sz w:val="15"/>
          <w:szCs w:val="15"/>
          <w:color w:val="auto"/>
        </w:rPr>
        <w:t>/s/ Harry Spielberg</w:t>
      </w:r>
      <w:r>
        <w:rPr>
          <w:sz w:val="20"/>
          <w:szCs w:val="20"/>
          <w:color w:val="auto"/>
        </w:rPr>
        <w:tab/>
      </w:r>
      <w:r>
        <w:rPr>
          <w:rFonts w:ascii="Courier New" w:cs="Courier New" w:eastAsia="Courier New" w:hAnsi="Courier New"/>
          <w:sz w:val="14"/>
          <w:szCs w:val="14"/>
          <w:color w:val="auto"/>
        </w:rPr>
        <w:t>Director</w:t>
      </w:r>
    </w:p>
    <w:p>
      <w:pPr>
        <w:ind w:left="180" w:hanging="170"/>
        <w:spacing w:after="0" w:line="237" w:lineRule="auto"/>
        <w:tabs>
          <w:tab w:leader="none" w:pos="18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5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Harry Spielberg</w:t>
      </w:r>
    </w:p>
    <w:p>
      <w:pPr>
        <w:spacing w:after="0" w:line="167" w:lineRule="exact"/>
        <w:rPr>
          <w:sz w:val="20"/>
          <w:szCs w:val="20"/>
          <w:color w:val="auto"/>
        </w:rPr>
      </w:pPr>
    </w:p>
    <w:p>
      <w:pPr>
        <w:ind w:left="540"/>
        <w:spacing w:after="0"/>
        <w:tabs>
          <w:tab w:leader="none" w:pos="2960" w:val="left"/>
        </w:tabs>
        <w:rPr>
          <w:sz w:val="20"/>
          <w:szCs w:val="20"/>
          <w:color w:val="auto"/>
        </w:rPr>
      </w:pPr>
      <w:r>
        <w:rPr>
          <w:rFonts w:ascii="Courier New" w:cs="Courier New" w:eastAsia="Courier New" w:hAnsi="Courier New"/>
          <w:sz w:val="15"/>
          <w:szCs w:val="15"/>
          <w:color w:val="auto"/>
        </w:rPr>
        <w:t>/s/ Edward Dallin Bagley</w:t>
      </w:r>
      <w:r>
        <w:rPr>
          <w:sz w:val="20"/>
          <w:szCs w:val="20"/>
          <w:color w:val="auto"/>
        </w:rPr>
        <w:tab/>
      </w:r>
      <w:r>
        <w:rPr>
          <w:rFonts w:ascii="Courier New" w:cs="Courier New" w:eastAsia="Courier New" w:hAnsi="Courier New"/>
          <w:sz w:val="14"/>
          <w:szCs w:val="14"/>
          <w:color w:val="auto"/>
        </w:rPr>
        <w:t>Director</w:t>
      </w:r>
    </w:p>
    <w:p>
      <w:pPr>
        <w:ind w:left="180" w:hanging="170"/>
        <w:spacing w:after="0" w:line="237" w:lineRule="auto"/>
        <w:tabs>
          <w:tab w:leader="none" w:pos="18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5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Edward Dallin Bagley</w:t>
      </w:r>
    </w:p>
    <w:p>
      <w:pPr>
        <w:spacing w:after="0" w:line="167" w:lineRule="exact"/>
        <w:rPr>
          <w:sz w:val="20"/>
          <w:szCs w:val="20"/>
          <w:color w:val="auto"/>
        </w:rPr>
      </w:pPr>
    </w:p>
    <w:p>
      <w:pPr>
        <w:ind w:left="540"/>
        <w:spacing w:after="0"/>
        <w:tabs>
          <w:tab w:leader="none" w:pos="2960" w:val="left"/>
        </w:tabs>
        <w:rPr>
          <w:sz w:val="20"/>
          <w:szCs w:val="20"/>
          <w:color w:val="auto"/>
        </w:rPr>
      </w:pPr>
      <w:r>
        <w:rPr>
          <w:rFonts w:ascii="Courier New" w:cs="Courier New" w:eastAsia="Courier New" w:hAnsi="Courier New"/>
          <w:sz w:val="15"/>
          <w:szCs w:val="15"/>
          <w:color w:val="auto"/>
        </w:rPr>
        <w:t>/s/ David Wiener</w:t>
      </w:r>
      <w:r>
        <w:rPr>
          <w:sz w:val="20"/>
          <w:szCs w:val="20"/>
          <w:color w:val="auto"/>
        </w:rPr>
        <w:tab/>
      </w:r>
      <w:r>
        <w:rPr>
          <w:rFonts w:ascii="Courier New" w:cs="Courier New" w:eastAsia="Courier New" w:hAnsi="Courier New"/>
          <w:sz w:val="14"/>
          <w:szCs w:val="14"/>
          <w:color w:val="auto"/>
        </w:rPr>
        <w:t>Director</w:t>
      </w:r>
    </w:p>
    <w:p>
      <w:pPr>
        <w:ind w:left="180" w:hanging="170"/>
        <w:spacing w:after="0" w:line="237" w:lineRule="auto"/>
        <w:tabs>
          <w:tab w:leader="none" w:pos="18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5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David Wiener</w:t>
      </w:r>
    </w:p>
    <w:p>
      <w:pPr>
        <w:sectPr>
          <w:pgSz w:w="11900" w:h="16838" w:orient="portrait"/>
          <w:cols w:equalWidth="0" w:num="1">
            <w:col w:w="10239"/>
          </w:cols>
          <w:pgMar w:left="220" w:top="617" w:right="1440" w:bottom="1440" w:gutter="0" w:footer="0" w:header="0"/>
          <w:type w:val="continuous"/>
        </w:sectPr>
      </w:pPr>
    </w:p>
    <w:bookmarkStart w:id="61" w:name="page62"/>
    <w:bookmarkEnd w:id="61"/>
    <w:tbl>
      <w:tblPr>
        <w:tblLayout w:type="fixed"/>
        <w:tblInd w:w="180" w:type="dxa"/>
        <w:tblCellMar>
          <w:top w:w="0" w:type="dxa"/>
          <w:left w:w="0" w:type="dxa"/>
          <w:bottom w:w="0" w:type="dxa"/>
          <w:right w:w="0" w:type="dxa"/>
        </w:tblCellMar>
      </w:tblPr>
      <w:tr>
        <w:trPr>
          <w:trHeight w:val="170"/>
        </w:trPr>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80" w:type="dxa"/>
            <w:vAlign w:val="bottom"/>
          </w:tcPr>
          <w:p>
            <w:pPr>
              <w:ind w:left="1260"/>
              <w:spacing w:after="0"/>
              <w:rPr>
                <w:sz w:val="20"/>
                <w:szCs w:val="20"/>
                <w:color w:val="auto"/>
              </w:rPr>
            </w:pPr>
            <w:r>
              <w:rPr>
                <w:rFonts w:ascii="Courier New" w:cs="Courier New" w:eastAsia="Courier New" w:hAnsi="Courier New"/>
                <w:sz w:val="15"/>
                <w:szCs w:val="15"/>
                <w:color w:val="auto"/>
              </w:rPr>
              <w:t>EXHIBIT INDEX</w:t>
            </w:r>
          </w:p>
        </w:tc>
      </w:tr>
      <w:tr>
        <w:trPr>
          <w:trHeight w:val="336"/>
        </w:trPr>
        <w:tc>
          <w:tcPr>
            <w:tcW w:w="74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800" w:type="dxa"/>
            <w:vAlign w:val="bottom"/>
          </w:tcPr>
          <w:p>
            <w:pPr>
              <w:spacing w:after="0"/>
              <w:rPr>
                <w:sz w:val="24"/>
                <w:szCs w:val="24"/>
                <w:color w:val="auto"/>
              </w:rPr>
            </w:pPr>
          </w:p>
        </w:tc>
        <w:tc>
          <w:tcPr>
            <w:tcW w:w="5280" w:type="dxa"/>
            <w:vAlign w:val="bottom"/>
          </w:tcPr>
          <w:p>
            <w:pPr>
              <w:spacing w:after="0"/>
              <w:rPr>
                <w:sz w:val="24"/>
                <w:szCs w:val="24"/>
                <w:color w:val="auto"/>
              </w:rPr>
            </w:pPr>
          </w:p>
        </w:tc>
      </w:tr>
      <w:tr>
        <w:trPr>
          <w:trHeight w:val="168"/>
        </w:trPr>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Number</w:t>
            </w:r>
          </w:p>
        </w:tc>
        <w:tc>
          <w:tcPr>
            <w:tcW w:w="60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Description of Exhibit</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2"/>
              </w:rPr>
              <w:t>------</w:t>
            </w:r>
          </w:p>
        </w:tc>
        <w:tc>
          <w:tcPr>
            <w:tcW w:w="60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w:t>
            </w:r>
          </w:p>
        </w:tc>
        <w:tc>
          <w:tcPr>
            <w:tcW w:w="8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Form of</w:t>
            </w:r>
          </w:p>
        </w:tc>
        <w:tc>
          <w:tcPr>
            <w:tcW w:w="5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Underwriting Agreement for Common Stock.</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w:t>
            </w:r>
          </w:p>
        </w:tc>
        <w:tc>
          <w:tcPr>
            <w:tcW w:w="8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Form of</w:t>
            </w:r>
          </w:p>
        </w:tc>
        <w:tc>
          <w:tcPr>
            <w:tcW w:w="5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Underwriting Agreement for Other Securities.</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w:t>
            </w:r>
          </w:p>
        </w:tc>
        <w:tc>
          <w:tcPr>
            <w:tcW w:w="60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Share Purchase Agreement dated October 3, 2001 by and among the</w:t>
            </w:r>
          </w:p>
        </w:tc>
      </w:tr>
      <w:tr>
        <w:trPr>
          <w:trHeight w:val="168"/>
        </w:trPr>
        <w:tc>
          <w:tcPr>
            <w:tcW w:w="740" w:type="dxa"/>
            <w:vAlign w:val="bottom"/>
          </w:tcPr>
          <w:p>
            <w:pPr>
              <w:spacing w:after="0"/>
              <w:rPr>
                <w:sz w:val="14"/>
                <w:szCs w:val="14"/>
                <w:color w:val="auto"/>
              </w:rPr>
            </w:pPr>
          </w:p>
        </w:tc>
        <w:tc>
          <w:tcPr>
            <w:tcW w:w="60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shareholders of Ivron Systems Ltd.</w:t>
            </w:r>
          </w:p>
        </w:tc>
      </w:tr>
      <w:tr>
        <w:trPr>
          <w:trHeight w:val="168"/>
        </w:trPr>
        <w:tc>
          <w:tcPr>
            <w:tcW w:w="740" w:type="dxa"/>
            <w:vAlign w:val="bottom"/>
          </w:tcPr>
          <w:p>
            <w:pPr>
              <w:spacing w:after="0"/>
              <w:rPr>
                <w:sz w:val="14"/>
                <w:szCs w:val="14"/>
                <w:color w:val="auto"/>
              </w:rPr>
            </w:pPr>
          </w:p>
        </w:tc>
        <w:tc>
          <w:tcPr>
            <w:tcW w:w="60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9"/>
              </w:rPr>
              <w:t>and Gentner Ventures, Inc. and Clearone (incorporated by reference</w:t>
            </w:r>
          </w:p>
        </w:tc>
      </w:tr>
      <w:tr>
        <w:trPr>
          <w:trHeight w:val="168"/>
        </w:trPr>
        <w:tc>
          <w:tcPr>
            <w:tcW w:w="740" w:type="dxa"/>
            <w:vAlign w:val="bottom"/>
          </w:tcPr>
          <w:p>
            <w:pPr>
              <w:spacing w:after="0"/>
              <w:rPr>
                <w:sz w:val="14"/>
                <w:szCs w:val="14"/>
                <w:color w:val="auto"/>
              </w:rPr>
            </w:pPr>
          </w:p>
        </w:tc>
        <w:tc>
          <w:tcPr>
            <w:tcW w:w="60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8"/>
              </w:rPr>
              <w:t>from ClearOne's current report on Form 8-K dated October 18, 2001).</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w:t>
            </w:r>
          </w:p>
        </w:tc>
        <w:tc>
          <w:tcPr>
            <w:tcW w:w="60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First Amendment to the Share Purchase Agreement among ClearOne</w:t>
            </w:r>
          </w:p>
        </w:tc>
      </w:tr>
      <w:tr>
        <w:trPr>
          <w:trHeight w:val="168"/>
        </w:trPr>
        <w:tc>
          <w:tcPr>
            <w:tcW w:w="740" w:type="dxa"/>
            <w:vAlign w:val="bottom"/>
          </w:tcPr>
          <w:p>
            <w:pPr>
              <w:spacing w:after="0"/>
              <w:rPr>
                <w:sz w:val="14"/>
                <w:szCs w:val="14"/>
                <w:color w:val="auto"/>
              </w:rPr>
            </w:pPr>
          </w:p>
        </w:tc>
        <w:tc>
          <w:tcPr>
            <w:tcW w:w="8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and the</w:t>
            </w:r>
          </w:p>
        </w:tc>
        <w:tc>
          <w:tcPr>
            <w:tcW w:w="5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former shareholders of Ivron Systems Ltd. dated as of</w:t>
            </w:r>
          </w:p>
        </w:tc>
      </w:tr>
      <w:tr>
        <w:trPr>
          <w:trHeight w:val="168"/>
        </w:trPr>
        <w:tc>
          <w:tcPr>
            <w:tcW w:w="740" w:type="dxa"/>
            <w:vAlign w:val="bottom"/>
          </w:tcPr>
          <w:p>
            <w:pPr>
              <w:spacing w:after="0"/>
              <w:rPr>
                <w:sz w:val="14"/>
                <w:szCs w:val="14"/>
                <w:color w:val="auto"/>
              </w:rPr>
            </w:pPr>
          </w:p>
        </w:tc>
        <w:tc>
          <w:tcPr>
            <w:tcW w:w="60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April 8, 2002 (incorporated by reference from ClearOne's</w:t>
            </w:r>
          </w:p>
        </w:tc>
      </w:tr>
      <w:tr>
        <w:trPr>
          <w:trHeight w:val="168"/>
        </w:trPr>
        <w:tc>
          <w:tcPr>
            <w:tcW w:w="740" w:type="dxa"/>
            <w:vAlign w:val="bottom"/>
          </w:tcPr>
          <w:p>
            <w:pPr>
              <w:spacing w:after="0"/>
              <w:rPr>
                <w:sz w:val="14"/>
                <w:szCs w:val="14"/>
                <w:color w:val="auto"/>
              </w:rPr>
            </w:pPr>
          </w:p>
        </w:tc>
        <w:tc>
          <w:tcPr>
            <w:tcW w:w="8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current</w:t>
            </w:r>
          </w:p>
        </w:tc>
        <w:tc>
          <w:tcPr>
            <w:tcW w:w="5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report on Form 8-K dated April 10, 2002).</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w:t>
            </w:r>
          </w:p>
        </w:tc>
        <w:tc>
          <w:tcPr>
            <w:tcW w:w="60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6"/>
              </w:rPr>
              <w:t>Agreement and Plan of Merger, by and among ClearOne, E.mergent, Inc.</w:t>
            </w:r>
          </w:p>
        </w:tc>
      </w:tr>
      <w:tr>
        <w:trPr>
          <w:trHeight w:val="168"/>
        </w:trPr>
        <w:tc>
          <w:tcPr>
            <w:tcW w:w="740" w:type="dxa"/>
            <w:vAlign w:val="bottom"/>
          </w:tcPr>
          <w:p>
            <w:pPr>
              <w:spacing w:after="0"/>
              <w:rPr>
                <w:sz w:val="14"/>
                <w:szCs w:val="14"/>
                <w:color w:val="auto"/>
              </w:rPr>
            </w:pPr>
          </w:p>
        </w:tc>
        <w:tc>
          <w:tcPr>
            <w:tcW w:w="60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and Tundra Acquisition Inc. (incorporated by reference from</w:t>
            </w:r>
          </w:p>
        </w:tc>
      </w:tr>
      <w:tr>
        <w:trPr>
          <w:trHeight w:val="168"/>
        </w:trPr>
        <w:tc>
          <w:tcPr>
            <w:tcW w:w="740" w:type="dxa"/>
            <w:vAlign w:val="bottom"/>
          </w:tcPr>
          <w:p>
            <w:pPr>
              <w:spacing w:after="0"/>
              <w:rPr>
                <w:sz w:val="14"/>
                <w:szCs w:val="14"/>
                <w:color w:val="auto"/>
              </w:rPr>
            </w:pPr>
          </w:p>
        </w:tc>
        <w:tc>
          <w:tcPr>
            <w:tcW w:w="60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ClearOne's registration statement on Form S-4 dated February 6,</w:t>
            </w:r>
          </w:p>
        </w:tc>
      </w:tr>
      <w:tr>
        <w:trPr>
          <w:trHeight w:val="168"/>
        </w:trPr>
        <w:tc>
          <w:tcPr>
            <w:tcW w:w="740" w:type="dxa"/>
            <w:vAlign w:val="bottom"/>
          </w:tcPr>
          <w:p>
            <w:pPr>
              <w:spacing w:after="0"/>
              <w:rPr>
                <w:sz w:val="14"/>
                <w:szCs w:val="14"/>
                <w:color w:val="auto"/>
              </w:rPr>
            </w:pPr>
          </w:p>
        </w:tc>
        <w:tc>
          <w:tcPr>
            <w:tcW w:w="8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2002).</w:t>
            </w:r>
          </w:p>
        </w:tc>
        <w:tc>
          <w:tcPr>
            <w:tcW w:w="5280" w:type="dxa"/>
            <w:vAlign w:val="bottom"/>
          </w:tcPr>
          <w:p>
            <w:pPr>
              <w:spacing w:after="0"/>
              <w:rPr>
                <w:sz w:val="14"/>
                <w:szCs w:val="14"/>
                <w:color w:val="auto"/>
              </w:rPr>
            </w:pP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w:t>
            </w:r>
          </w:p>
        </w:tc>
        <w:tc>
          <w:tcPr>
            <w:tcW w:w="60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Amendment No. 1 to Agreement and Plan of Merger dated as of</w:t>
            </w:r>
          </w:p>
        </w:tc>
      </w:tr>
      <w:tr>
        <w:trPr>
          <w:trHeight w:val="168"/>
        </w:trPr>
        <w:tc>
          <w:tcPr>
            <w:tcW w:w="740" w:type="dxa"/>
            <w:vAlign w:val="bottom"/>
          </w:tcPr>
          <w:p>
            <w:pPr>
              <w:spacing w:after="0"/>
              <w:rPr>
                <w:sz w:val="14"/>
                <w:szCs w:val="14"/>
                <w:color w:val="auto"/>
              </w:rPr>
            </w:pPr>
          </w:p>
        </w:tc>
        <w:tc>
          <w:tcPr>
            <w:tcW w:w="60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March 29, 2002, by and among ClearOne, E.mergent, Inc. and Tundra</w:t>
            </w:r>
          </w:p>
        </w:tc>
      </w:tr>
      <w:tr>
        <w:trPr>
          <w:trHeight w:val="168"/>
        </w:trPr>
        <w:tc>
          <w:tcPr>
            <w:tcW w:w="740" w:type="dxa"/>
            <w:vAlign w:val="bottom"/>
          </w:tcPr>
          <w:p>
            <w:pPr>
              <w:spacing w:after="0"/>
              <w:rPr>
                <w:sz w:val="14"/>
                <w:szCs w:val="14"/>
                <w:color w:val="auto"/>
              </w:rPr>
            </w:pPr>
          </w:p>
        </w:tc>
        <w:tc>
          <w:tcPr>
            <w:tcW w:w="60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Acquisition Inc. (incorporated by reference from ClearOne's</w:t>
            </w:r>
          </w:p>
        </w:tc>
      </w:tr>
      <w:tr>
        <w:trPr>
          <w:trHeight w:val="168"/>
        </w:trPr>
        <w:tc>
          <w:tcPr>
            <w:tcW w:w="740" w:type="dxa"/>
            <w:vAlign w:val="bottom"/>
          </w:tcPr>
          <w:p>
            <w:pPr>
              <w:spacing w:after="0"/>
              <w:rPr>
                <w:sz w:val="14"/>
                <w:szCs w:val="14"/>
                <w:color w:val="auto"/>
              </w:rPr>
            </w:pPr>
          </w:p>
        </w:tc>
        <w:tc>
          <w:tcPr>
            <w:tcW w:w="60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registration statement on Form S-4/A dated April 15, 2002).</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w:t>
            </w:r>
          </w:p>
        </w:tc>
        <w:tc>
          <w:tcPr>
            <w:tcW w:w="60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Articles of Incorporation and all amendments thereto through</w:t>
            </w:r>
          </w:p>
        </w:tc>
      </w:tr>
      <w:tr>
        <w:trPr>
          <w:trHeight w:val="168"/>
        </w:trPr>
        <w:tc>
          <w:tcPr>
            <w:tcW w:w="740" w:type="dxa"/>
            <w:vAlign w:val="bottom"/>
          </w:tcPr>
          <w:p>
            <w:pPr>
              <w:spacing w:after="0"/>
              <w:rPr>
                <w:sz w:val="14"/>
                <w:szCs w:val="14"/>
                <w:color w:val="auto"/>
              </w:rPr>
            </w:pPr>
          </w:p>
        </w:tc>
        <w:tc>
          <w:tcPr>
            <w:tcW w:w="60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March 1, 1988 (incorporated by reference from ClearOne's annual</w:t>
            </w:r>
          </w:p>
        </w:tc>
      </w:tr>
      <w:tr>
        <w:trPr>
          <w:trHeight w:val="168"/>
        </w:trPr>
        <w:tc>
          <w:tcPr>
            <w:tcW w:w="740" w:type="dxa"/>
            <w:vAlign w:val="bottom"/>
          </w:tcPr>
          <w:p>
            <w:pPr>
              <w:spacing w:after="0"/>
              <w:rPr>
                <w:sz w:val="14"/>
                <w:szCs w:val="14"/>
                <w:color w:val="auto"/>
              </w:rPr>
            </w:pPr>
          </w:p>
        </w:tc>
        <w:tc>
          <w:tcPr>
            <w:tcW w:w="60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report on Form 10-K for the fiscal year ended June 30, 1989).</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w:t>
            </w:r>
          </w:p>
        </w:tc>
        <w:tc>
          <w:tcPr>
            <w:tcW w:w="60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Amendment to Articles of Incorporation, dated July 1, 1991</w:t>
            </w:r>
          </w:p>
        </w:tc>
      </w:tr>
      <w:tr>
        <w:trPr>
          <w:trHeight w:val="168"/>
        </w:trPr>
        <w:tc>
          <w:tcPr>
            <w:tcW w:w="740" w:type="dxa"/>
            <w:vAlign w:val="bottom"/>
          </w:tcPr>
          <w:p>
            <w:pPr>
              <w:spacing w:after="0"/>
              <w:rPr>
                <w:sz w:val="14"/>
                <w:szCs w:val="14"/>
                <w:color w:val="auto"/>
              </w:rPr>
            </w:pPr>
          </w:p>
        </w:tc>
        <w:tc>
          <w:tcPr>
            <w:tcW w:w="60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(incorporated by reference from ClearOne's annual report on</w:t>
            </w:r>
          </w:p>
        </w:tc>
      </w:tr>
      <w:tr>
        <w:trPr>
          <w:trHeight w:val="168"/>
        </w:trPr>
        <w:tc>
          <w:tcPr>
            <w:tcW w:w="740" w:type="dxa"/>
            <w:vAlign w:val="bottom"/>
          </w:tcPr>
          <w:p>
            <w:pPr>
              <w:spacing w:after="0"/>
              <w:rPr>
                <w:sz w:val="14"/>
                <w:szCs w:val="14"/>
                <w:color w:val="auto"/>
              </w:rPr>
            </w:pPr>
          </w:p>
        </w:tc>
        <w:tc>
          <w:tcPr>
            <w:tcW w:w="60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Form 10-K for the fiscal year ended June 30, 1991).</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w:t>
            </w:r>
          </w:p>
        </w:tc>
        <w:tc>
          <w:tcPr>
            <w:tcW w:w="8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Bylaws,</w:t>
            </w:r>
          </w:p>
        </w:tc>
        <w:tc>
          <w:tcPr>
            <w:tcW w:w="5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as amended on August 24, 1993 (incorporated by</w:t>
            </w:r>
          </w:p>
        </w:tc>
      </w:tr>
      <w:tr>
        <w:trPr>
          <w:trHeight w:val="168"/>
        </w:trPr>
        <w:tc>
          <w:tcPr>
            <w:tcW w:w="740" w:type="dxa"/>
            <w:vAlign w:val="bottom"/>
          </w:tcPr>
          <w:p>
            <w:pPr>
              <w:spacing w:after="0"/>
              <w:rPr>
                <w:sz w:val="14"/>
                <w:szCs w:val="14"/>
                <w:color w:val="auto"/>
              </w:rPr>
            </w:pPr>
          </w:p>
        </w:tc>
        <w:tc>
          <w:tcPr>
            <w:tcW w:w="60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reference from ClearOne's annual report on Form 10-KSB for the</w:t>
            </w:r>
          </w:p>
        </w:tc>
      </w:tr>
      <w:tr>
        <w:trPr>
          <w:trHeight w:val="168"/>
        </w:trPr>
        <w:tc>
          <w:tcPr>
            <w:tcW w:w="740" w:type="dxa"/>
            <w:vAlign w:val="bottom"/>
          </w:tcPr>
          <w:p>
            <w:pPr>
              <w:spacing w:after="0"/>
              <w:rPr>
                <w:sz w:val="14"/>
                <w:szCs w:val="14"/>
                <w:color w:val="auto"/>
              </w:rPr>
            </w:pPr>
          </w:p>
        </w:tc>
        <w:tc>
          <w:tcPr>
            <w:tcW w:w="60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fiscal year ended June 30, 1993).</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w:t>
            </w:r>
          </w:p>
        </w:tc>
        <w:tc>
          <w:tcPr>
            <w:tcW w:w="8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Form of</w:t>
            </w:r>
          </w:p>
        </w:tc>
        <w:tc>
          <w:tcPr>
            <w:tcW w:w="5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Senior Debt Indenture.</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w:t>
            </w:r>
          </w:p>
        </w:tc>
        <w:tc>
          <w:tcPr>
            <w:tcW w:w="8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Form of</w:t>
            </w:r>
          </w:p>
        </w:tc>
        <w:tc>
          <w:tcPr>
            <w:tcW w:w="5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Subordinated Debt Indenture.</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w:t>
            </w:r>
          </w:p>
        </w:tc>
        <w:tc>
          <w:tcPr>
            <w:tcW w:w="8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Form of</w:t>
            </w:r>
          </w:p>
        </w:tc>
        <w:tc>
          <w:tcPr>
            <w:tcW w:w="5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Stock Warrant Agreement.</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w:t>
            </w:r>
          </w:p>
        </w:tc>
        <w:tc>
          <w:tcPr>
            <w:tcW w:w="8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Form of</w:t>
            </w:r>
          </w:p>
        </w:tc>
        <w:tc>
          <w:tcPr>
            <w:tcW w:w="5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Debt Warrant Agreement.</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w:t>
            </w:r>
          </w:p>
        </w:tc>
        <w:tc>
          <w:tcPr>
            <w:tcW w:w="8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Opinion</w:t>
            </w:r>
          </w:p>
        </w:tc>
        <w:tc>
          <w:tcPr>
            <w:tcW w:w="5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Clyde, Snow Sessions &amp; Swenson, PC.</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w:t>
            </w:r>
          </w:p>
        </w:tc>
        <w:tc>
          <w:tcPr>
            <w:tcW w:w="8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Opinion</w:t>
            </w:r>
          </w:p>
        </w:tc>
        <w:tc>
          <w:tcPr>
            <w:tcW w:w="5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Shearman &amp; Sterling.</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12.1</w:t>
            </w:r>
          </w:p>
        </w:tc>
        <w:tc>
          <w:tcPr>
            <w:tcW w:w="60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Computation of Ratio of Earnings to Fixed Charges.</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23.1</w:t>
            </w:r>
          </w:p>
        </w:tc>
        <w:tc>
          <w:tcPr>
            <w:tcW w:w="8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Consent</w:t>
            </w:r>
          </w:p>
        </w:tc>
        <w:tc>
          <w:tcPr>
            <w:tcW w:w="5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Clyde, Snow Sessions &amp; Swenson, PC (included in</w:t>
            </w:r>
          </w:p>
        </w:tc>
      </w:tr>
      <w:tr>
        <w:trPr>
          <w:trHeight w:val="168"/>
        </w:trPr>
        <w:tc>
          <w:tcPr>
            <w:tcW w:w="740" w:type="dxa"/>
            <w:vAlign w:val="bottom"/>
          </w:tcPr>
          <w:p>
            <w:pPr>
              <w:spacing w:after="0"/>
              <w:rPr>
                <w:sz w:val="14"/>
                <w:szCs w:val="14"/>
                <w:color w:val="auto"/>
              </w:rPr>
            </w:pPr>
          </w:p>
        </w:tc>
        <w:tc>
          <w:tcPr>
            <w:tcW w:w="8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Exhibit</w:t>
            </w:r>
          </w:p>
        </w:tc>
        <w:tc>
          <w:tcPr>
            <w:tcW w:w="5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5.1).</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23.2</w:t>
            </w:r>
          </w:p>
        </w:tc>
        <w:tc>
          <w:tcPr>
            <w:tcW w:w="8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Consent</w:t>
            </w:r>
          </w:p>
        </w:tc>
        <w:tc>
          <w:tcPr>
            <w:tcW w:w="5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Shearman &amp; Sterling (included in Exhibit 5.2).</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23.3</w:t>
            </w:r>
          </w:p>
        </w:tc>
        <w:tc>
          <w:tcPr>
            <w:tcW w:w="8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Consent</w:t>
            </w:r>
          </w:p>
        </w:tc>
        <w:tc>
          <w:tcPr>
            <w:tcW w:w="5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Ernst &amp; Young LLP, as independent accountants for</w:t>
            </w:r>
          </w:p>
        </w:tc>
      </w:tr>
      <w:tr>
        <w:trPr>
          <w:trHeight w:val="168"/>
        </w:trPr>
        <w:tc>
          <w:tcPr>
            <w:tcW w:w="740" w:type="dxa"/>
            <w:vAlign w:val="bottom"/>
          </w:tcPr>
          <w:p>
            <w:pPr>
              <w:spacing w:after="0"/>
              <w:rPr>
                <w:sz w:val="14"/>
                <w:szCs w:val="14"/>
                <w:color w:val="auto"/>
              </w:rPr>
            </w:pPr>
          </w:p>
        </w:tc>
        <w:tc>
          <w:tcPr>
            <w:tcW w:w="60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ClearOne Communications, Inc.</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23.4</w:t>
            </w:r>
          </w:p>
        </w:tc>
        <w:tc>
          <w:tcPr>
            <w:tcW w:w="8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Consent</w:t>
            </w:r>
          </w:p>
        </w:tc>
        <w:tc>
          <w:tcPr>
            <w:tcW w:w="5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Deloitte &amp; Touche LLP, as independent auditors for</w:t>
            </w:r>
          </w:p>
        </w:tc>
      </w:tr>
      <w:tr>
        <w:trPr>
          <w:trHeight w:val="168"/>
        </w:trPr>
        <w:tc>
          <w:tcPr>
            <w:tcW w:w="740" w:type="dxa"/>
            <w:vAlign w:val="bottom"/>
          </w:tcPr>
          <w:p>
            <w:pPr>
              <w:spacing w:after="0"/>
              <w:rPr>
                <w:sz w:val="14"/>
                <w:szCs w:val="14"/>
                <w:color w:val="auto"/>
              </w:rPr>
            </w:pPr>
          </w:p>
        </w:tc>
        <w:tc>
          <w:tcPr>
            <w:tcW w:w="60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E.mergent, Inc.</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23.5</w:t>
            </w:r>
          </w:p>
        </w:tc>
        <w:tc>
          <w:tcPr>
            <w:tcW w:w="8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Consent</w:t>
            </w:r>
          </w:p>
        </w:tc>
        <w:tc>
          <w:tcPr>
            <w:tcW w:w="5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KPMG, Chartered Accountants, Dublin, Ireland, as</w:t>
            </w:r>
          </w:p>
        </w:tc>
      </w:tr>
      <w:tr>
        <w:trPr>
          <w:trHeight w:val="168"/>
        </w:trPr>
        <w:tc>
          <w:tcPr>
            <w:tcW w:w="740" w:type="dxa"/>
            <w:vAlign w:val="bottom"/>
          </w:tcPr>
          <w:p>
            <w:pPr>
              <w:spacing w:after="0"/>
              <w:rPr>
                <w:sz w:val="14"/>
                <w:szCs w:val="14"/>
                <w:color w:val="auto"/>
              </w:rPr>
            </w:pPr>
          </w:p>
        </w:tc>
        <w:tc>
          <w:tcPr>
            <w:tcW w:w="60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independent accountants for Ivron Systems Limited.</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23.6</w:t>
            </w:r>
          </w:p>
        </w:tc>
        <w:tc>
          <w:tcPr>
            <w:tcW w:w="8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Consent</w:t>
            </w:r>
          </w:p>
        </w:tc>
        <w:tc>
          <w:tcPr>
            <w:tcW w:w="5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LECG, LLC, as financial Consultants to ClearOne.</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24.1</w:t>
            </w:r>
          </w:p>
        </w:tc>
        <w:tc>
          <w:tcPr>
            <w:tcW w:w="60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Powers of Attorney (included on signature page).</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25.1</w:t>
            </w:r>
          </w:p>
        </w:tc>
        <w:tc>
          <w:tcPr>
            <w:tcW w:w="60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Form T-1 Statement of Eligibility of the Senior Indenture Trustee</w:t>
            </w:r>
          </w:p>
        </w:tc>
      </w:tr>
      <w:tr>
        <w:trPr>
          <w:trHeight w:val="168"/>
        </w:trPr>
        <w:tc>
          <w:tcPr>
            <w:tcW w:w="740" w:type="dxa"/>
            <w:vAlign w:val="bottom"/>
          </w:tcPr>
          <w:p>
            <w:pPr>
              <w:spacing w:after="0"/>
              <w:rPr>
                <w:sz w:val="14"/>
                <w:szCs w:val="14"/>
                <w:color w:val="auto"/>
              </w:rPr>
            </w:pPr>
          </w:p>
        </w:tc>
        <w:tc>
          <w:tcPr>
            <w:tcW w:w="60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and Subordinated Indenture Trustee.</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37" w:lineRule="auto"/>
        <w:rPr>
          <w:sz w:val="20"/>
          <w:szCs w:val="20"/>
          <w:color w:val="auto"/>
        </w:rPr>
      </w:pPr>
      <w:r>
        <w:rPr>
          <w:rFonts w:ascii="Courier New" w:cs="Courier New" w:eastAsia="Courier New" w:hAnsi="Courier New"/>
          <w:sz w:val="15"/>
          <w:szCs w:val="15"/>
          <w:color w:val="auto"/>
        </w:rPr>
        <w:t>* Will be filed by amendment.</w:t>
      </w:r>
    </w:p>
    <w:p>
      <w:pPr>
        <w:sectPr>
          <w:pgSz w:w="11900" w:h="16838" w:orient="portrait"/>
          <w:cols w:equalWidth="0" w:num="1">
            <w:col w:w="10239"/>
          </w:cols>
          <w:pgMar w:left="220" w:top="785" w:right="1440" w:bottom="1440" w:gutter="0" w:footer="0" w:header="0"/>
        </w:sectPr>
      </w:pPr>
    </w:p>
    <w:bookmarkStart w:id="62" w:name="page63"/>
    <w:bookmarkEnd w:id="62"/>
    <w:p>
      <w:pPr>
        <w:ind w:left="6040"/>
        <w:spacing w:after="0"/>
        <w:rPr>
          <w:sz w:val="20"/>
          <w:szCs w:val="20"/>
          <w:color w:val="auto"/>
        </w:rPr>
      </w:pPr>
      <w:r>
        <w:rPr>
          <w:rFonts w:ascii="Courier New" w:cs="Courier New" w:eastAsia="Courier New" w:hAnsi="Courier New"/>
          <w:sz w:val="14"/>
          <w:szCs w:val="14"/>
          <w:color w:val="auto"/>
        </w:rPr>
        <w:t>Exhibit 4.3</w:t>
      </w:r>
    </w:p>
    <w:p>
      <w:pPr>
        <w:spacing w:after="0" w:line="17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COMMON STOCK WARRANT AGREEMENT*</w:t>
      </w:r>
    </w:p>
    <w:p>
      <w:pPr>
        <w:spacing w:after="0" w:line="33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dated as of ______, 20__</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FOR</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between</w:t>
      </w:r>
    </w:p>
    <w:p>
      <w:pPr>
        <w:spacing w:after="0" w:line="33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CLEARONe COMMUNICATIONS, INC.</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and</w:t>
      </w:r>
    </w:p>
    <w:p>
      <w:pPr>
        <w:spacing w:after="0" w:line="335"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[NAME OF COMMON STOCK WARRANT AGENT], as</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Common Stock Warrant Agent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14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40" w:hanging="430"/>
        <w:spacing w:after="0" w:line="235" w:lineRule="auto"/>
        <w:tabs>
          <w:tab w:leader="none" w:pos="44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DETAILS YET TO BE DETERMINED, REPRESENTED HEREIN, SHALL BE DETERMINED IN CONFORMITY SUPPLEMENT OR SUPPLEMENTS.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BY BRACKETED OR BLANK SECTIONS</w:t>
      </w:r>
    </w:p>
    <w:p>
      <w:pPr>
        <w:spacing w:after="0" w:line="3" w:lineRule="exact"/>
        <w:rPr>
          <w:sz w:val="20"/>
          <w:szCs w:val="20"/>
          <w:color w:val="auto"/>
        </w:rPr>
      </w:pPr>
    </w:p>
    <w:p>
      <w:pPr>
        <w:spacing w:after="0"/>
        <w:tabs>
          <w:tab w:leader="none" w:pos="1820" w:val="left"/>
        </w:tabs>
        <w:rPr>
          <w:sz w:val="20"/>
          <w:szCs w:val="20"/>
          <w:color w:val="auto"/>
        </w:rPr>
      </w:pPr>
      <w:r>
        <w:rPr>
          <w:rFonts w:ascii="Courier New" w:cs="Courier New" w:eastAsia="Courier New" w:hAnsi="Courier New"/>
          <w:sz w:val="15"/>
          <w:szCs w:val="15"/>
          <w:color w:val="auto"/>
        </w:rPr>
        <w:t>WITH THE APPLICABLE</w:t>
      </w:r>
      <w:r>
        <w:rPr>
          <w:sz w:val="20"/>
          <w:szCs w:val="20"/>
          <w:color w:val="auto"/>
        </w:rPr>
        <w:tab/>
      </w:r>
      <w:r>
        <w:rPr>
          <w:rFonts w:ascii="Courier New" w:cs="Courier New" w:eastAsia="Courier New" w:hAnsi="Courier New"/>
          <w:sz w:val="14"/>
          <w:szCs w:val="14"/>
          <w:color w:val="auto"/>
        </w:rPr>
        <w:t>PROSPECTUS</w:t>
      </w:r>
    </w:p>
    <w:p>
      <w:pPr>
        <w:spacing w:after="0" w:line="367" w:lineRule="exact"/>
        <w:rPr>
          <w:sz w:val="20"/>
          <w:szCs w:val="20"/>
          <w:color w:val="auto"/>
        </w:rPr>
      </w:pPr>
    </w:p>
    <w:p>
      <w:pPr>
        <w:sectPr>
          <w:pgSz w:w="11900" w:h="16838" w:orient="portrait"/>
          <w:cols w:equalWidth="0" w:num="2">
            <w:col w:w="4200" w:space="100"/>
            <w:col w:w="5939"/>
          </w:cols>
          <w:pgMar w:left="220" w:top="141" w:right="1440" w:bottom="0" w:gutter="0" w:footer="0" w:header="0"/>
          <w:type w:val="continuous"/>
        </w:sectPr>
      </w:pPr>
    </w:p>
    <w:p>
      <w:pPr>
        <w:spacing w:after="0" w:line="200" w:lineRule="exact"/>
        <w:rPr>
          <w:sz w:val="20"/>
          <w:szCs w:val="20"/>
          <w:color w:val="auto"/>
        </w:rPr>
      </w:pPr>
    </w:p>
    <w:p>
      <w:pPr>
        <w:spacing w:after="0" w:line="249"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TABLE OF CONTENTS</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PAGE</w:t>
      </w:r>
    </w:p>
    <w:p>
      <w:pPr>
        <w:jc w:val="right"/>
        <w:ind w:right="3239"/>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I</w:t>
      </w:r>
    </w:p>
    <w:p>
      <w:pPr>
        <w:ind w:left="1500"/>
        <w:spacing w:after="0" w:line="237" w:lineRule="auto"/>
        <w:rPr>
          <w:sz w:val="20"/>
          <w:szCs w:val="20"/>
          <w:color w:val="auto"/>
        </w:rPr>
      </w:pPr>
      <w:r>
        <w:rPr>
          <w:rFonts w:ascii="Courier New" w:cs="Courier New" w:eastAsia="Courier New" w:hAnsi="Courier New"/>
          <w:sz w:val="15"/>
          <w:szCs w:val="15"/>
          <w:color w:val="auto"/>
        </w:rPr>
        <w:t>ISSUANCE OF COMMON STOCK WARRANTS AND EXECUTION</w:t>
      </w:r>
    </w:p>
    <w:p>
      <w:pPr>
        <w:ind w:left="1400"/>
        <w:spacing w:after="0" w:line="238" w:lineRule="auto"/>
        <w:rPr>
          <w:sz w:val="20"/>
          <w:szCs w:val="20"/>
          <w:color w:val="auto"/>
        </w:rPr>
      </w:pPr>
      <w:r>
        <w:rPr>
          <w:rFonts w:ascii="Courier New" w:cs="Courier New" w:eastAsia="Courier New" w:hAnsi="Courier New"/>
          <w:sz w:val="15"/>
          <w:szCs w:val="15"/>
          <w:color w:val="auto"/>
        </w:rPr>
        <w:t>AND DELIVERY OF COMMON STOCK WARRANT CERTIFICATES</w:t>
      </w:r>
    </w:p>
    <w:p>
      <w:pPr>
        <w:spacing w:after="0" w:line="167" w:lineRule="exact"/>
        <w:rPr>
          <w:sz w:val="20"/>
          <w:szCs w:val="20"/>
          <w:color w:val="auto"/>
        </w:rPr>
      </w:pPr>
    </w:p>
    <w:p>
      <w:pPr>
        <w:spacing w:after="0"/>
        <w:tabs>
          <w:tab w:leader="none" w:pos="1380" w:val="left"/>
          <w:tab w:leader="dot" w:pos="6900" w:val="left"/>
        </w:tabs>
        <w:rPr>
          <w:sz w:val="20"/>
          <w:szCs w:val="20"/>
          <w:color w:val="auto"/>
        </w:rPr>
      </w:pPr>
      <w:r>
        <w:rPr>
          <w:rFonts w:ascii="Courier New" w:cs="Courier New" w:eastAsia="Courier New" w:hAnsi="Courier New"/>
          <w:sz w:val="15"/>
          <w:szCs w:val="15"/>
          <w:color w:val="auto"/>
        </w:rPr>
        <w:t>SECTION 1.01.</w:t>
        <w:tab/>
        <w:t>Issuance of Common Stock Warrants</w:t>
      </w:r>
      <w:r>
        <w:rPr>
          <w:sz w:val="20"/>
          <w:szCs w:val="20"/>
          <w:color w:val="auto"/>
        </w:rPr>
        <w:tab/>
      </w:r>
      <w:r>
        <w:rPr>
          <w:rFonts w:ascii="Courier New" w:cs="Courier New" w:eastAsia="Courier New" w:hAnsi="Courier New"/>
          <w:sz w:val="12"/>
          <w:szCs w:val="12"/>
          <w:color w:val="auto"/>
        </w:rPr>
        <w:t>1</w:t>
      </w:r>
    </w:p>
    <w:p>
      <w:pPr>
        <w:spacing w:after="0"/>
        <w:tabs>
          <w:tab w:leader="none" w:pos="1380" w:val="left"/>
          <w:tab w:leader="dot" w:pos="6900" w:val="left"/>
        </w:tabs>
        <w:rPr>
          <w:sz w:val="20"/>
          <w:szCs w:val="20"/>
          <w:color w:val="auto"/>
        </w:rPr>
      </w:pPr>
      <w:r>
        <w:rPr>
          <w:rFonts w:ascii="Courier New" w:cs="Courier New" w:eastAsia="Courier New" w:hAnsi="Courier New"/>
          <w:sz w:val="15"/>
          <w:szCs w:val="15"/>
          <w:color w:val="auto"/>
        </w:rPr>
        <w:t>SECTION 1.02.</w:t>
        <w:tab/>
        <w:t>Form and Execution of Common Stock Warrant Certificates</w:t>
      </w:r>
      <w:r>
        <w:rPr>
          <w:sz w:val="20"/>
          <w:szCs w:val="20"/>
          <w:color w:val="auto"/>
        </w:rPr>
        <w:tab/>
      </w:r>
      <w:r>
        <w:rPr>
          <w:rFonts w:ascii="Courier New" w:cs="Courier New" w:eastAsia="Courier New" w:hAnsi="Courier New"/>
          <w:sz w:val="12"/>
          <w:szCs w:val="12"/>
          <w:color w:val="auto"/>
        </w:rPr>
        <w:t>2</w:t>
      </w:r>
    </w:p>
    <w:p>
      <w:pPr>
        <w:spacing w:after="0"/>
        <w:tabs>
          <w:tab w:leader="none" w:pos="1380" w:val="left"/>
          <w:tab w:leader="dot" w:pos="6900" w:val="left"/>
        </w:tabs>
        <w:rPr>
          <w:sz w:val="20"/>
          <w:szCs w:val="20"/>
          <w:color w:val="auto"/>
        </w:rPr>
      </w:pPr>
      <w:r>
        <w:rPr>
          <w:rFonts w:ascii="Courier New" w:cs="Courier New" w:eastAsia="Courier New" w:hAnsi="Courier New"/>
          <w:sz w:val="15"/>
          <w:szCs w:val="15"/>
          <w:color w:val="auto"/>
        </w:rPr>
        <w:t>SECTION 1.03.</w:t>
        <w:tab/>
        <w:t>Issuance and Delivery of Common Stock Warrant Certificates</w:t>
      </w:r>
      <w:r>
        <w:rPr>
          <w:sz w:val="20"/>
          <w:szCs w:val="20"/>
          <w:color w:val="auto"/>
        </w:rPr>
        <w:tab/>
      </w:r>
      <w:r>
        <w:rPr>
          <w:rFonts w:ascii="Courier New" w:cs="Courier New" w:eastAsia="Courier New" w:hAnsi="Courier New"/>
          <w:sz w:val="12"/>
          <w:szCs w:val="12"/>
          <w:color w:val="auto"/>
        </w:rPr>
        <w:t>3</w:t>
      </w:r>
    </w:p>
    <w:p>
      <w:pPr>
        <w:spacing w:after="0"/>
        <w:tabs>
          <w:tab w:leader="none" w:pos="1380" w:val="left"/>
          <w:tab w:leader="dot" w:pos="6900" w:val="left"/>
        </w:tabs>
        <w:rPr>
          <w:sz w:val="20"/>
          <w:szCs w:val="20"/>
          <w:color w:val="auto"/>
        </w:rPr>
      </w:pPr>
      <w:r>
        <w:rPr>
          <w:rFonts w:ascii="Courier New" w:cs="Courier New" w:eastAsia="Courier New" w:hAnsi="Courier New"/>
          <w:sz w:val="15"/>
          <w:szCs w:val="15"/>
          <w:color w:val="auto"/>
        </w:rPr>
        <w:t>SECTION 1.04.</w:t>
        <w:tab/>
        <w:t>Temporary Common Stock Warrant Certificates</w:t>
      </w:r>
      <w:r>
        <w:rPr>
          <w:sz w:val="20"/>
          <w:szCs w:val="20"/>
          <w:color w:val="auto"/>
        </w:rPr>
        <w:tab/>
      </w:r>
      <w:r>
        <w:rPr>
          <w:rFonts w:ascii="Courier New" w:cs="Courier New" w:eastAsia="Courier New" w:hAnsi="Courier New"/>
          <w:sz w:val="12"/>
          <w:szCs w:val="12"/>
          <w:color w:val="auto"/>
        </w:rPr>
        <w:t>3</w:t>
      </w:r>
    </w:p>
    <w:p>
      <w:pPr>
        <w:spacing w:after="0"/>
        <w:tabs>
          <w:tab w:leader="none" w:pos="1380" w:val="left"/>
          <w:tab w:leader="dot" w:pos="6900" w:val="left"/>
        </w:tabs>
        <w:rPr>
          <w:sz w:val="20"/>
          <w:szCs w:val="20"/>
          <w:color w:val="auto"/>
        </w:rPr>
      </w:pPr>
      <w:r>
        <w:rPr>
          <w:rFonts w:ascii="Courier New" w:cs="Courier New" w:eastAsia="Courier New" w:hAnsi="Courier New"/>
          <w:sz w:val="15"/>
          <w:szCs w:val="15"/>
          <w:color w:val="auto"/>
        </w:rPr>
        <w:t>SECTION 1.05.</w:t>
        <w:tab/>
        <w:t>Payment of Taxes</w:t>
      </w:r>
      <w:r>
        <w:rPr>
          <w:sz w:val="20"/>
          <w:szCs w:val="20"/>
          <w:color w:val="auto"/>
        </w:rPr>
        <w:tab/>
      </w:r>
      <w:r>
        <w:rPr>
          <w:rFonts w:ascii="Courier New" w:cs="Courier New" w:eastAsia="Courier New" w:hAnsi="Courier New"/>
          <w:sz w:val="12"/>
          <w:szCs w:val="12"/>
          <w:color w:val="auto"/>
        </w:rPr>
        <w:t>4</w:t>
      </w:r>
    </w:p>
    <w:p>
      <w:pPr>
        <w:spacing w:after="0"/>
        <w:tabs>
          <w:tab w:leader="none" w:pos="1380" w:val="left"/>
          <w:tab w:leader="dot" w:pos="6900" w:val="left"/>
        </w:tabs>
        <w:rPr>
          <w:sz w:val="20"/>
          <w:szCs w:val="20"/>
          <w:color w:val="auto"/>
        </w:rPr>
      </w:pPr>
      <w:r>
        <w:rPr>
          <w:rFonts w:ascii="Courier New" w:cs="Courier New" w:eastAsia="Courier New" w:hAnsi="Courier New"/>
          <w:sz w:val="15"/>
          <w:szCs w:val="15"/>
          <w:color w:val="auto"/>
        </w:rPr>
        <w:t>SECTION 1.06.</w:t>
        <w:tab/>
        <w:t>"Holder"</w:t>
      </w:r>
      <w:r>
        <w:rPr>
          <w:sz w:val="20"/>
          <w:szCs w:val="20"/>
          <w:color w:val="auto"/>
        </w:rPr>
        <w:tab/>
      </w:r>
      <w:r>
        <w:rPr>
          <w:rFonts w:ascii="Courier New" w:cs="Courier New" w:eastAsia="Courier New" w:hAnsi="Courier New"/>
          <w:sz w:val="12"/>
          <w:szCs w:val="12"/>
          <w:color w:val="auto"/>
        </w:rPr>
        <w:t>4</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II</w:t>
      </w:r>
    </w:p>
    <w:p>
      <w:pPr>
        <w:ind w:left="1500"/>
        <w:spacing w:after="0" w:line="237" w:lineRule="auto"/>
        <w:rPr>
          <w:sz w:val="20"/>
          <w:szCs w:val="20"/>
          <w:color w:val="auto"/>
        </w:rPr>
      </w:pPr>
      <w:r>
        <w:rPr>
          <w:rFonts w:ascii="Courier New" w:cs="Courier New" w:eastAsia="Courier New" w:hAnsi="Courier New"/>
          <w:sz w:val="15"/>
          <w:szCs w:val="15"/>
          <w:color w:val="auto"/>
        </w:rPr>
        <w:t>DURATION AND EXERCISE OF COMMON STOCK WARRANTS</w:t>
      </w:r>
    </w:p>
    <w:p>
      <w:pPr>
        <w:spacing w:after="0" w:line="167" w:lineRule="exact"/>
        <w:rPr>
          <w:sz w:val="20"/>
          <w:szCs w:val="20"/>
          <w:color w:val="auto"/>
        </w:rPr>
      </w:pPr>
    </w:p>
    <w:p>
      <w:pPr>
        <w:spacing w:after="0"/>
        <w:tabs>
          <w:tab w:leader="none" w:pos="1380" w:val="left"/>
          <w:tab w:leader="dot" w:pos="6900" w:val="left"/>
        </w:tabs>
        <w:rPr>
          <w:sz w:val="20"/>
          <w:szCs w:val="20"/>
          <w:color w:val="auto"/>
        </w:rPr>
      </w:pPr>
      <w:r>
        <w:rPr>
          <w:rFonts w:ascii="Courier New" w:cs="Courier New" w:eastAsia="Courier New" w:hAnsi="Courier New"/>
          <w:sz w:val="15"/>
          <w:szCs w:val="15"/>
          <w:color w:val="auto"/>
        </w:rPr>
        <w:t>SECTION 2.01.</w:t>
        <w:tab/>
        <w:t>Duration of Common Stock Warrants</w:t>
      </w:r>
      <w:r>
        <w:rPr>
          <w:sz w:val="20"/>
          <w:szCs w:val="20"/>
          <w:color w:val="auto"/>
        </w:rPr>
        <w:tab/>
      </w:r>
      <w:r>
        <w:rPr>
          <w:rFonts w:ascii="Courier New" w:cs="Courier New" w:eastAsia="Courier New" w:hAnsi="Courier New"/>
          <w:sz w:val="12"/>
          <w:szCs w:val="12"/>
          <w:color w:val="auto"/>
        </w:rPr>
        <w:t>4</w:t>
      </w:r>
    </w:p>
    <w:p>
      <w:pPr>
        <w:spacing w:after="0"/>
        <w:tabs>
          <w:tab w:leader="none" w:pos="1380" w:val="left"/>
          <w:tab w:leader="dot" w:pos="6900" w:val="left"/>
        </w:tabs>
        <w:rPr>
          <w:sz w:val="20"/>
          <w:szCs w:val="20"/>
          <w:color w:val="auto"/>
        </w:rPr>
      </w:pPr>
      <w:r>
        <w:rPr>
          <w:rFonts w:ascii="Courier New" w:cs="Courier New" w:eastAsia="Courier New" w:hAnsi="Courier New"/>
          <w:sz w:val="15"/>
          <w:szCs w:val="15"/>
          <w:color w:val="auto"/>
        </w:rPr>
        <w:t>SECTION 2.02.</w:t>
        <w:tab/>
        <w:t>Exercise of Common Stock Warrants</w:t>
      </w:r>
      <w:r>
        <w:rPr>
          <w:sz w:val="20"/>
          <w:szCs w:val="20"/>
          <w:color w:val="auto"/>
        </w:rPr>
        <w:tab/>
      </w:r>
      <w:r>
        <w:rPr>
          <w:rFonts w:ascii="Courier New" w:cs="Courier New" w:eastAsia="Courier New" w:hAnsi="Courier New"/>
          <w:sz w:val="12"/>
          <w:szCs w:val="12"/>
          <w:color w:val="auto"/>
        </w:rPr>
        <w:t>5</w:t>
      </w:r>
    </w:p>
    <w:p>
      <w:pPr>
        <w:spacing w:after="0"/>
        <w:tabs>
          <w:tab w:leader="none" w:pos="1380" w:val="left"/>
          <w:tab w:leader="dot" w:pos="6900" w:val="left"/>
        </w:tabs>
        <w:rPr>
          <w:sz w:val="20"/>
          <w:szCs w:val="20"/>
          <w:color w:val="auto"/>
        </w:rPr>
      </w:pPr>
      <w:r>
        <w:rPr>
          <w:rFonts w:ascii="Courier New" w:cs="Courier New" w:eastAsia="Courier New" w:hAnsi="Courier New"/>
          <w:sz w:val="15"/>
          <w:szCs w:val="15"/>
          <w:color w:val="auto"/>
        </w:rPr>
        <w:t>SECTION 2.03.</w:t>
        <w:tab/>
        <w:t>Common Stock Warrant Adjustments</w:t>
      </w:r>
      <w:r>
        <w:rPr>
          <w:sz w:val="20"/>
          <w:szCs w:val="20"/>
          <w:color w:val="auto"/>
        </w:rPr>
        <w:tab/>
      </w:r>
      <w:r>
        <w:rPr>
          <w:rFonts w:ascii="Courier New" w:cs="Courier New" w:eastAsia="Courier New" w:hAnsi="Courier New"/>
          <w:sz w:val="12"/>
          <w:szCs w:val="12"/>
          <w:color w:val="auto"/>
        </w:rPr>
        <w:t>6</w:t>
      </w:r>
    </w:p>
    <w:p>
      <w:pPr>
        <w:spacing w:after="0"/>
        <w:tabs>
          <w:tab w:leader="none" w:pos="1380" w:val="left"/>
          <w:tab w:leader="dot" w:pos="6900" w:val="left"/>
        </w:tabs>
        <w:rPr>
          <w:sz w:val="20"/>
          <w:szCs w:val="20"/>
          <w:color w:val="auto"/>
        </w:rPr>
      </w:pPr>
      <w:r>
        <w:rPr>
          <w:rFonts w:ascii="Courier New" w:cs="Courier New" w:eastAsia="Courier New" w:hAnsi="Courier New"/>
          <w:sz w:val="15"/>
          <w:szCs w:val="15"/>
          <w:color w:val="auto"/>
        </w:rPr>
        <w:t>SECTION 2.04.</w:t>
        <w:tab/>
        <w:t>Fractional Common Stock</w:t>
      </w:r>
      <w:r>
        <w:rPr>
          <w:sz w:val="20"/>
          <w:szCs w:val="20"/>
          <w:color w:val="auto"/>
        </w:rPr>
        <w:tab/>
      </w:r>
      <w:r>
        <w:rPr>
          <w:rFonts w:ascii="Courier New" w:cs="Courier New" w:eastAsia="Courier New" w:hAnsi="Courier New"/>
          <w:sz w:val="12"/>
          <w:szCs w:val="12"/>
          <w:color w:val="auto"/>
        </w:rPr>
        <w:t>6</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III</w:t>
      </w:r>
    </w:p>
    <w:p>
      <w:pPr>
        <w:ind w:left="2020"/>
        <w:spacing w:after="0" w:line="237" w:lineRule="auto"/>
        <w:rPr>
          <w:sz w:val="20"/>
          <w:szCs w:val="20"/>
          <w:color w:val="auto"/>
        </w:rPr>
      </w:pPr>
      <w:r>
        <w:rPr>
          <w:rFonts w:ascii="Courier New" w:cs="Courier New" w:eastAsia="Courier New" w:hAnsi="Courier New"/>
          <w:sz w:val="15"/>
          <w:szCs w:val="15"/>
          <w:color w:val="auto"/>
        </w:rPr>
        <w:t>OTHER PROVISIONS RELATING TO RIGHTS</w:t>
      </w:r>
    </w:p>
    <w:p>
      <w:pPr>
        <w:ind w:left="2020"/>
        <w:spacing w:after="0" w:line="238" w:lineRule="auto"/>
        <w:rPr>
          <w:sz w:val="20"/>
          <w:szCs w:val="20"/>
          <w:color w:val="auto"/>
        </w:rPr>
      </w:pPr>
      <w:r>
        <w:rPr>
          <w:rFonts w:ascii="Courier New" w:cs="Courier New" w:eastAsia="Courier New" w:hAnsi="Courier New"/>
          <w:sz w:val="15"/>
          <w:szCs w:val="15"/>
          <w:color w:val="auto"/>
        </w:rPr>
        <w:t>OF HOLDERS OF COMMON STOCK WARRANTS</w:t>
      </w:r>
    </w:p>
    <w:p>
      <w:pPr>
        <w:spacing w:after="0" w:line="167" w:lineRule="exact"/>
        <w:rPr>
          <w:sz w:val="20"/>
          <w:szCs w:val="20"/>
          <w:color w:val="auto"/>
        </w:rPr>
      </w:pPr>
    </w:p>
    <w:p>
      <w:pPr>
        <w:spacing w:after="0"/>
        <w:tabs>
          <w:tab w:leader="none" w:pos="1380" w:val="left"/>
          <w:tab w:leader="dot" w:pos="6900" w:val="left"/>
        </w:tabs>
        <w:rPr>
          <w:sz w:val="20"/>
          <w:szCs w:val="20"/>
          <w:color w:val="auto"/>
        </w:rPr>
      </w:pPr>
      <w:r>
        <w:rPr>
          <w:rFonts w:ascii="Courier New" w:cs="Courier New" w:eastAsia="Courier New" w:hAnsi="Courier New"/>
          <w:sz w:val="15"/>
          <w:szCs w:val="15"/>
          <w:color w:val="auto"/>
        </w:rPr>
        <w:t>SECTION 3.01.</w:t>
        <w:tab/>
        <w:t>No Rights as Holder of Common Stock</w:t>
      </w:r>
      <w:r>
        <w:rPr>
          <w:sz w:val="20"/>
          <w:szCs w:val="20"/>
          <w:color w:val="auto"/>
        </w:rPr>
        <w:tab/>
      </w:r>
      <w:r>
        <w:rPr>
          <w:rFonts w:ascii="Courier New" w:cs="Courier New" w:eastAsia="Courier New" w:hAnsi="Courier New"/>
          <w:sz w:val="12"/>
          <w:szCs w:val="12"/>
          <w:color w:val="auto"/>
        </w:rPr>
        <w:t>7</w:t>
      </w:r>
    </w:p>
    <w:p>
      <w:pPr>
        <w:spacing w:after="0"/>
        <w:tabs>
          <w:tab w:leader="none" w:pos="1380" w:val="left"/>
          <w:tab w:leader="dot" w:pos="6900" w:val="left"/>
        </w:tabs>
        <w:rPr>
          <w:sz w:val="20"/>
          <w:szCs w:val="20"/>
          <w:color w:val="auto"/>
        </w:rPr>
      </w:pPr>
      <w:r>
        <w:rPr>
          <w:rFonts w:ascii="Courier New" w:cs="Courier New" w:eastAsia="Courier New" w:hAnsi="Courier New"/>
          <w:sz w:val="15"/>
          <w:szCs w:val="15"/>
          <w:color w:val="auto"/>
        </w:rPr>
        <w:t>SECTION 3.02.</w:t>
        <w:tab/>
        <w:t>Lost, Stolen, Destroyed or Mutilated Certificates</w:t>
      </w:r>
      <w:r>
        <w:rPr>
          <w:sz w:val="20"/>
          <w:szCs w:val="20"/>
          <w:color w:val="auto"/>
        </w:rPr>
        <w:tab/>
      </w:r>
      <w:r>
        <w:rPr>
          <w:rFonts w:ascii="Courier New" w:cs="Courier New" w:eastAsia="Courier New" w:hAnsi="Courier New"/>
          <w:sz w:val="12"/>
          <w:szCs w:val="12"/>
          <w:color w:val="auto"/>
        </w:rPr>
        <w:t>7</w:t>
      </w:r>
    </w:p>
    <w:p>
      <w:pPr>
        <w:spacing w:after="0"/>
        <w:tabs>
          <w:tab w:leader="none" w:pos="1380" w:val="left"/>
          <w:tab w:leader="dot" w:pos="6900" w:val="left"/>
        </w:tabs>
        <w:rPr>
          <w:sz w:val="20"/>
          <w:szCs w:val="20"/>
          <w:color w:val="auto"/>
        </w:rPr>
      </w:pPr>
      <w:r>
        <w:rPr>
          <w:rFonts w:ascii="Courier New" w:cs="Courier New" w:eastAsia="Courier New" w:hAnsi="Courier New"/>
          <w:sz w:val="15"/>
          <w:szCs w:val="15"/>
          <w:color w:val="auto"/>
        </w:rPr>
        <w:t>SECTION 3.03.</w:t>
        <w:tab/>
        <w:t>Holders of Common Stock Warrants May Enforce Rights</w:t>
      </w:r>
      <w:r>
        <w:rPr>
          <w:sz w:val="20"/>
          <w:szCs w:val="20"/>
          <w:color w:val="auto"/>
        </w:rPr>
        <w:tab/>
      </w:r>
      <w:r>
        <w:rPr>
          <w:rFonts w:ascii="Courier New" w:cs="Courier New" w:eastAsia="Courier New" w:hAnsi="Courier New"/>
          <w:sz w:val="12"/>
          <w:szCs w:val="12"/>
          <w:color w:val="auto"/>
        </w:rPr>
        <w:t>8</w:t>
      </w:r>
    </w:p>
    <w:p>
      <w:pPr>
        <w:spacing w:after="0"/>
        <w:tabs>
          <w:tab w:leader="none" w:pos="1380" w:val="left"/>
          <w:tab w:leader="dot" w:pos="6900" w:val="left"/>
        </w:tabs>
        <w:rPr>
          <w:sz w:val="20"/>
          <w:szCs w:val="20"/>
          <w:color w:val="auto"/>
        </w:rPr>
      </w:pPr>
      <w:r>
        <w:rPr>
          <w:rFonts w:ascii="Courier New" w:cs="Courier New" w:eastAsia="Courier New" w:hAnsi="Courier New"/>
          <w:sz w:val="15"/>
          <w:szCs w:val="15"/>
          <w:color w:val="auto"/>
        </w:rPr>
        <w:t>SECTION 3.04.</w:t>
        <w:tab/>
        <w:t>Merger, Consolidation, Sale, Transfer or Conveyance</w:t>
      </w:r>
      <w:r>
        <w:rPr>
          <w:sz w:val="20"/>
          <w:szCs w:val="20"/>
          <w:color w:val="auto"/>
        </w:rPr>
        <w:tab/>
      </w:r>
      <w:r>
        <w:rPr>
          <w:rFonts w:ascii="Courier New" w:cs="Courier New" w:eastAsia="Courier New" w:hAnsi="Courier New"/>
          <w:sz w:val="12"/>
          <w:szCs w:val="12"/>
          <w:color w:val="auto"/>
        </w:rPr>
        <w:t>8</w:t>
      </w:r>
    </w:p>
    <w:p>
      <w:pPr>
        <w:spacing w:after="0"/>
        <w:tabs>
          <w:tab w:leader="none" w:pos="1380" w:val="left"/>
          <w:tab w:leader="dot" w:pos="6900" w:val="left"/>
        </w:tabs>
        <w:rPr>
          <w:sz w:val="20"/>
          <w:szCs w:val="20"/>
          <w:color w:val="auto"/>
        </w:rPr>
      </w:pPr>
      <w:r>
        <w:rPr>
          <w:rFonts w:ascii="Courier New" w:cs="Courier New" w:eastAsia="Courier New" w:hAnsi="Courier New"/>
          <w:sz w:val="15"/>
          <w:szCs w:val="15"/>
          <w:color w:val="auto"/>
        </w:rPr>
        <w:t>SECTION 3.05.</w:t>
        <w:tab/>
        <w:t>Treatment of Holders of Common Stock Warrant Certificates</w:t>
      </w:r>
      <w:r>
        <w:rPr>
          <w:sz w:val="20"/>
          <w:szCs w:val="20"/>
          <w:color w:val="auto"/>
        </w:rPr>
        <w:tab/>
      </w:r>
      <w:r>
        <w:rPr>
          <w:rFonts w:ascii="Courier New" w:cs="Courier New" w:eastAsia="Courier New" w:hAnsi="Courier New"/>
          <w:sz w:val="12"/>
          <w:szCs w:val="12"/>
          <w:color w:val="auto"/>
        </w:rPr>
        <w:t>9</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IV</w:t>
      </w:r>
    </w:p>
    <w:p>
      <w:pPr>
        <w:ind w:left="1500"/>
        <w:spacing w:after="0" w:line="237" w:lineRule="auto"/>
        <w:rPr>
          <w:sz w:val="20"/>
          <w:szCs w:val="20"/>
          <w:color w:val="auto"/>
        </w:rPr>
      </w:pPr>
      <w:r>
        <w:rPr>
          <w:rFonts w:ascii="Courier New" w:cs="Courier New" w:eastAsia="Courier New" w:hAnsi="Courier New"/>
          <w:sz w:val="15"/>
          <w:szCs w:val="15"/>
          <w:color w:val="auto"/>
        </w:rPr>
        <w:t>EXCHANGE AND TRANSFER OF COMMON STOCK WARRANTS</w:t>
      </w:r>
    </w:p>
    <w:p>
      <w:pPr>
        <w:spacing w:after="0" w:line="167"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SECTION 4.01.</w:t>
      </w:r>
      <w:r>
        <w:rPr>
          <w:sz w:val="20"/>
          <w:szCs w:val="20"/>
          <w:color w:val="auto"/>
        </w:rPr>
        <w:tab/>
      </w:r>
      <w:r>
        <w:rPr>
          <w:rFonts w:ascii="Courier New" w:cs="Courier New" w:eastAsia="Courier New" w:hAnsi="Courier New"/>
          <w:sz w:val="14"/>
          <w:szCs w:val="14"/>
          <w:color w:val="auto"/>
        </w:rPr>
        <w:t>Common Stock Warrant Register; Exchange and Transfer</w:t>
      </w:r>
    </w:p>
    <w:p>
      <w:pPr>
        <w:jc w:val="right"/>
        <w:ind w:right="3239"/>
        <w:spacing w:after="0"/>
        <w:tabs>
          <w:tab w:leader="dot" w:pos="60" w:val="left"/>
        </w:tabs>
        <w:rPr>
          <w:sz w:val="20"/>
          <w:szCs w:val="20"/>
          <w:color w:val="auto"/>
        </w:rPr>
      </w:pPr>
      <w:r>
        <w:rPr>
          <w:rFonts w:ascii="Courier New" w:cs="Courier New" w:eastAsia="Courier New" w:hAnsi="Courier New"/>
          <w:sz w:val="15"/>
          <w:szCs w:val="15"/>
          <w:color w:val="auto"/>
        </w:rPr>
        <w:t>of Common Stock Warrants</w:t>
      </w:r>
      <w:r>
        <w:rPr>
          <w:sz w:val="20"/>
          <w:szCs w:val="20"/>
          <w:color w:val="auto"/>
        </w:rPr>
        <w:tab/>
      </w:r>
      <w:r>
        <w:rPr>
          <w:rFonts w:ascii="Courier New" w:cs="Courier New" w:eastAsia="Courier New" w:hAnsi="Courier New"/>
          <w:sz w:val="12"/>
          <w:szCs w:val="12"/>
          <w:color w:val="auto"/>
        </w:rPr>
        <w:t>9</w:t>
      </w:r>
    </w:p>
    <w:p>
      <w:pPr>
        <w:spacing w:after="0"/>
        <w:tabs>
          <w:tab w:leader="none" w:pos="1380" w:val="left"/>
          <w:tab w:leader="dot" w:pos="6820" w:val="left"/>
        </w:tabs>
        <w:rPr>
          <w:sz w:val="20"/>
          <w:szCs w:val="20"/>
          <w:color w:val="auto"/>
        </w:rPr>
      </w:pPr>
      <w:r>
        <w:rPr>
          <w:rFonts w:ascii="Courier New" w:cs="Courier New" w:eastAsia="Courier New" w:hAnsi="Courier New"/>
          <w:sz w:val="15"/>
          <w:szCs w:val="15"/>
          <w:color w:val="auto"/>
        </w:rPr>
        <w:t>SECTION 4.02.</w:t>
        <w:tab/>
        <w:t>Treatment of Holders of Common Stock Warrants</w:t>
      </w:r>
      <w:r>
        <w:rPr>
          <w:sz w:val="20"/>
          <w:szCs w:val="20"/>
          <w:color w:val="auto"/>
        </w:rPr>
        <w:tab/>
      </w:r>
      <w:r>
        <w:rPr>
          <w:rFonts w:ascii="Courier New" w:cs="Courier New" w:eastAsia="Courier New" w:hAnsi="Courier New"/>
          <w:sz w:val="12"/>
          <w:szCs w:val="12"/>
          <w:color w:val="auto"/>
        </w:rPr>
        <w:t>10</w:t>
      </w:r>
    </w:p>
    <w:p>
      <w:pPr>
        <w:spacing w:after="0"/>
        <w:tabs>
          <w:tab w:leader="none" w:pos="1380" w:val="left"/>
          <w:tab w:leader="dot" w:pos="6820" w:val="left"/>
        </w:tabs>
        <w:rPr>
          <w:sz w:val="20"/>
          <w:szCs w:val="20"/>
          <w:color w:val="auto"/>
        </w:rPr>
      </w:pPr>
      <w:r>
        <w:rPr>
          <w:rFonts w:ascii="Courier New" w:cs="Courier New" w:eastAsia="Courier New" w:hAnsi="Courier New"/>
          <w:sz w:val="15"/>
          <w:szCs w:val="15"/>
          <w:color w:val="auto"/>
        </w:rPr>
        <w:t>SECTION 4.03.</w:t>
        <w:tab/>
        <w:t>Cancellation of Common Stock Warrant Certificates</w:t>
      </w:r>
      <w:r>
        <w:rPr>
          <w:sz w:val="20"/>
          <w:szCs w:val="20"/>
          <w:color w:val="auto"/>
        </w:rPr>
        <w:tab/>
      </w:r>
      <w:r>
        <w:rPr>
          <w:rFonts w:ascii="Courier New" w:cs="Courier New" w:eastAsia="Courier New" w:hAnsi="Courier New"/>
          <w:sz w:val="12"/>
          <w:szCs w:val="12"/>
          <w:color w:val="auto"/>
        </w:rPr>
        <w:t>10</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V</w:t>
      </w:r>
    </w:p>
    <w:p>
      <w:pPr>
        <w:ind w:left="1760"/>
        <w:spacing w:after="0" w:line="237" w:lineRule="auto"/>
        <w:rPr>
          <w:sz w:val="20"/>
          <w:szCs w:val="20"/>
          <w:color w:val="auto"/>
        </w:rPr>
      </w:pPr>
      <w:r>
        <w:rPr>
          <w:rFonts w:ascii="Courier New" w:cs="Courier New" w:eastAsia="Courier New" w:hAnsi="Courier New"/>
          <w:sz w:val="15"/>
          <w:szCs w:val="15"/>
          <w:color w:val="auto"/>
        </w:rPr>
        <w:t>CONCERNING THE COMMON STOCK WARRANT AGENT</w:t>
      </w:r>
    </w:p>
    <w:p>
      <w:pPr>
        <w:sectPr>
          <w:pgSz w:w="11900" w:h="16838" w:orient="portrait"/>
          <w:cols w:equalWidth="0" w:num="1">
            <w:col w:w="10239"/>
          </w:cols>
          <w:pgMar w:left="220" w:top="141" w:right="1440" w:bottom="0" w:gutter="0" w:footer="0" w:header="0"/>
          <w:type w:val="continuous"/>
        </w:sectPr>
      </w:pPr>
    </w:p>
    <w:bookmarkStart w:id="63" w:name="page64"/>
    <w:bookmarkEnd w:id="63"/>
    <w:p>
      <w:pPr>
        <w:spacing w:after="0"/>
        <w:tabs>
          <w:tab w:leader="none" w:pos="1380" w:val="left"/>
          <w:tab w:leader="dot" w:pos="6820" w:val="left"/>
        </w:tabs>
        <w:rPr>
          <w:sz w:val="20"/>
          <w:szCs w:val="20"/>
          <w:color w:val="auto"/>
        </w:rPr>
      </w:pPr>
      <w:r>
        <w:rPr>
          <w:rFonts w:ascii="Courier New" w:cs="Courier New" w:eastAsia="Courier New" w:hAnsi="Courier New"/>
          <w:sz w:val="15"/>
          <w:szCs w:val="15"/>
          <w:color w:val="auto"/>
        </w:rPr>
        <w:t>SECTION 5.01.</w:t>
        <w:tab/>
        <w:t>Common Stock Warrant Agent</w:t>
      </w:r>
      <w:r>
        <w:rPr>
          <w:sz w:val="20"/>
          <w:szCs w:val="20"/>
          <w:color w:val="auto"/>
        </w:rPr>
        <w:tab/>
      </w:r>
      <w:r>
        <w:rPr>
          <w:rFonts w:ascii="Courier New" w:cs="Courier New" w:eastAsia="Courier New" w:hAnsi="Courier New"/>
          <w:sz w:val="12"/>
          <w:szCs w:val="12"/>
          <w:color w:val="auto"/>
        </w:rPr>
        <w:t>11</w:t>
      </w:r>
    </w:p>
    <w:p>
      <w:pPr>
        <w:spacing w:after="0"/>
        <w:tabs>
          <w:tab w:leader="none" w:pos="1380" w:val="left"/>
          <w:tab w:leader="dot" w:pos="6820" w:val="left"/>
        </w:tabs>
        <w:rPr>
          <w:sz w:val="20"/>
          <w:szCs w:val="20"/>
          <w:color w:val="auto"/>
        </w:rPr>
      </w:pPr>
      <w:r>
        <w:rPr>
          <w:rFonts w:ascii="Courier New" w:cs="Courier New" w:eastAsia="Courier New" w:hAnsi="Courier New"/>
          <w:sz w:val="15"/>
          <w:szCs w:val="15"/>
          <w:color w:val="auto"/>
        </w:rPr>
        <w:t>SECTION 5.02.</w:t>
        <w:tab/>
        <w:t>Conditions of Common Stock Warrant Agent's Obligations</w:t>
      </w:r>
      <w:r>
        <w:rPr>
          <w:sz w:val="20"/>
          <w:szCs w:val="20"/>
          <w:color w:val="auto"/>
        </w:rPr>
        <w:tab/>
      </w:r>
      <w:r>
        <w:rPr>
          <w:rFonts w:ascii="Courier New" w:cs="Courier New" w:eastAsia="Courier New" w:hAnsi="Courier New"/>
          <w:sz w:val="12"/>
          <w:szCs w:val="12"/>
          <w:color w:val="auto"/>
        </w:rPr>
        <w:t>11</w:t>
      </w:r>
    </w:p>
    <w:p>
      <w:pPr>
        <w:spacing w:after="0"/>
        <w:tabs>
          <w:tab w:leader="none" w:pos="1380" w:val="left"/>
          <w:tab w:leader="dot" w:pos="6820" w:val="left"/>
        </w:tabs>
        <w:rPr>
          <w:sz w:val="20"/>
          <w:szCs w:val="20"/>
          <w:color w:val="auto"/>
        </w:rPr>
      </w:pPr>
      <w:r>
        <w:rPr>
          <w:rFonts w:ascii="Courier New" w:cs="Courier New" w:eastAsia="Courier New" w:hAnsi="Courier New"/>
          <w:sz w:val="15"/>
          <w:szCs w:val="15"/>
          <w:color w:val="auto"/>
        </w:rPr>
        <w:t>SECTION 5.03.</w:t>
        <w:tab/>
        <w:t>Compliance with Applicable Laws</w:t>
      </w:r>
      <w:r>
        <w:rPr>
          <w:sz w:val="20"/>
          <w:szCs w:val="20"/>
          <w:color w:val="auto"/>
        </w:rPr>
        <w:tab/>
      </w:r>
      <w:r>
        <w:rPr>
          <w:rFonts w:ascii="Courier New" w:cs="Courier New" w:eastAsia="Courier New" w:hAnsi="Courier New"/>
          <w:sz w:val="12"/>
          <w:szCs w:val="12"/>
          <w:color w:val="auto"/>
        </w:rPr>
        <w:t>13</w:t>
      </w:r>
    </w:p>
    <w:p>
      <w:pPr>
        <w:spacing w:after="0"/>
        <w:tabs>
          <w:tab w:leader="none" w:pos="1380" w:val="left"/>
          <w:tab w:leader="dot" w:pos="6820" w:val="left"/>
        </w:tabs>
        <w:rPr>
          <w:sz w:val="20"/>
          <w:szCs w:val="20"/>
          <w:color w:val="auto"/>
        </w:rPr>
      </w:pPr>
      <w:r>
        <w:rPr>
          <w:rFonts w:ascii="Courier New" w:cs="Courier New" w:eastAsia="Courier New" w:hAnsi="Courier New"/>
          <w:sz w:val="15"/>
          <w:szCs w:val="15"/>
          <w:color w:val="auto"/>
        </w:rPr>
        <w:t>SECTION 5.04.</w:t>
        <w:tab/>
        <w:t>Resignation and Removal; Appointment of Successor</w:t>
      </w:r>
      <w:r>
        <w:rPr>
          <w:sz w:val="20"/>
          <w:szCs w:val="20"/>
          <w:color w:val="auto"/>
        </w:rPr>
        <w:tab/>
      </w:r>
      <w:r>
        <w:rPr>
          <w:rFonts w:ascii="Courier New" w:cs="Courier New" w:eastAsia="Courier New" w:hAnsi="Courier New"/>
          <w:sz w:val="12"/>
          <w:szCs w:val="12"/>
          <w:color w:val="auto"/>
        </w:rPr>
        <w:t>13</w:t>
      </w:r>
    </w:p>
    <w:p>
      <w:pPr>
        <w:sectPr>
          <w:pgSz w:w="11900" w:h="16838" w:orient="portrait"/>
          <w:cols w:equalWidth="0" w:num="1">
            <w:col w:w="10239"/>
          </w:cols>
          <w:pgMar w:left="220" w:top="303" w:right="1440" w:bottom="1440" w:gutter="0" w:footer="0" w:header="0"/>
        </w:sectPr>
      </w:pPr>
    </w:p>
    <w:bookmarkStart w:id="64" w:name="page65"/>
    <w:bookmarkEnd w:id="64"/>
    <w:p>
      <w:pPr>
        <w:ind w:left="3080"/>
        <w:spacing w:after="0"/>
        <w:rPr>
          <w:sz w:val="20"/>
          <w:szCs w:val="20"/>
          <w:color w:val="auto"/>
        </w:rPr>
      </w:pPr>
      <w:r>
        <w:rPr>
          <w:rFonts w:ascii="Courier New" w:cs="Courier New" w:eastAsia="Courier New" w:hAnsi="Courier New"/>
          <w:sz w:val="15"/>
          <w:szCs w:val="15"/>
          <w:color w:val="auto"/>
        </w:rPr>
        <w:t>ARTICLE VI</w:t>
      </w:r>
    </w:p>
    <w:p>
      <w:pPr>
        <w:ind w:left="2980"/>
        <w:spacing w:after="0" w:line="237" w:lineRule="auto"/>
        <w:rPr>
          <w:sz w:val="20"/>
          <w:szCs w:val="20"/>
          <w:color w:val="auto"/>
        </w:rPr>
      </w:pPr>
      <w:r>
        <w:rPr>
          <w:rFonts w:ascii="Courier New" w:cs="Courier New" w:eastAsia="Courier New" w:hAnsi="Courier New"/>
          <w:sz w:val="15"/>
          <w:szCs w:val="15"/>
          <w:color w:val="auto"/>
        </w:rPr>
        <w:t>MISCELLANEOUS</w:t>
      </w:r>
    </w:p>
    <w:p>
      <w:pPr>
        <w:spacing w:after="0" w:line="167" w:lineRule="exact"/>
        <w:rPr>
          <w:sz w:val="20"/>
          <w:szCs w:val="20"/>
          <w:color w:val="auto"/>
        </w:rPr>
      </w:pPr>
    </w:p>
    <w:p>
      <w:pPr>
        <w:spacing w:after="0"/>
        <w:tabs>
          <w:tab w:leader="none" w:pos="1380" w:val="left"/>
          <w:tab w:leader="dot" w:pos="6820" w:val="left"/>
        </w:tabs>
        <w:rPr>
          <w:sz w:val="20"/>
          <w:szCs w:val="20"/>
          <w:color w:val="auto"/>
        </w:rPr>
      </w:pPr>
      <w:r>
        <w:rPr>
          <w:rFonts w:ascii="Courier New" w:cs="Courier New" w:eastAsia="Courier New" w:hAnsi="Courier New"/>
          <w:sz w:val="15"/>
          <w:szCs w:val="15"/>
          <w:color w:val="auto"/>
        </w:rPr>
        <w:t>SECTION 6.01.</w:t>
        <w:tab/>
        <w:t>Supplements and Amendments</w:t>
      </w:r>
      <w:r>
        <w:rPr>
          <w:sz w:val="20"/>
          <w:szCs w:val="20"/>
          <w:color w:val="auto"/>
        </w:rPr>
        <w:tab/>
      </w:r>
      <w:r>
        <w:rPr>
          <w:rFonts w:ascii="Courier New" w:cs="Courier New" w:eastAsia="Courier New" w:hAnsi="Courier New"/>
          <w:sz w:val="12"/>
          <w:szCs w:val="12"/>
          <w:color w:val="auto"/>
        </w:rPr>
        <w:t>15</w:t>
      </w:r>
    </w:p>
    <w:p>
      <w:pPr>
        <w:spacing w:after="0"/>
        <w:tabs>
          <w:tab w:leader="none" w:pos="1380" w:val="left"/>
          <w:tab w:leader="dot" w:pos="6820" w:val="left"/>
        </w:tabs>
        <w:rPr>
          <w:sz w:val="20"/>
          <w:szCs w:val="20"/>
          <w:color w:val="auto"/>
        </w:rPr>
      </w:pPr>
      <w:r>
        <w:rPr>
          <w:rFonts w:ascii="Courier New" w:cs="Courier New" w:eastAsia="Courier New" w:hAnsi="Courier New"/>
          <w:sz w:val="15"/>
          <w:szCs w:val="15"/>
          <w:color w:val="auto"/>
        </w:rPr>
        <w:t>SECTION 6.02.</w:t>
        <w:tab/>
        <w:t>Notices and Demands</w:t>
      </w:r>
      <w:r>
        <w:rPr>
          <w:sz w:val="20"/>
          <w:szCs w:val="20"/>
          <w:color w:val="auto"/>
        </w:rPr>
        <w:tab/>
      </w:r>
      <w:r>
        <w:rPr>
          <w:rFonts w:ascii="Courier New" w:cs="Courier New" w:eastAsia="Courier New" w:hAnsi="Courier New"/>
          <w:sz w:val="12"/>
          <w:szCs w:val="12"/>
          <w:color w:val="auto"/>
        </w:rPr>
        <w:t>16</w:t>
      </w:r>
    </w:p>
    <w:p>
      <w:pPr>
        <w:spacing w:after="0"/>
        <w:tabs>
          <w:tab w:leader="none" w:pos="1380" w:val="left"/>
          <w:tab w:leader="dot" w:pos="6820" w:val="left"/>
        </w:tabs>
        <w:rPr>
          <w:sz w:val="20"/>
          <w:szCs w:val="20"/>
          <w:color w:val="auto"/>
        </w:rPr>
      </w:pPr>
      <w:r>
        <w:rPr>
          <w:rFonts w:ascii="Courier New" w:cs="Courier New" w:eastAsia="Courier New" w:hAnsi="Courier New"/>
          <w:sz w:val="15"/>
          <w:szCs w:val="15"/>
          <w:color w:val="auto"/>
        </w:rPr>
        <w:t>SECTION 6.03.</w:t>
        <w:tab/>
        <w:t>Addresses for Notices</w:t>
      </w:r>
      <w:r>
        <w:rPr>
          <w:sz w:val="20"/>
          <w:szCs w:val="20"/>
          <w:color w:val="auto"/>
        </w:rPr>
        <w:tab/>
      </w:r>
      <w:r>
        <w:rPr>
          <w:rFonts w:ascii="Courier New" w:cs="Courier New" w:eastAsia="Courier New" w:hAnsi="Courier New"/>
          <w:sz w:val="12"/>
          <w:szCs w:val="12"/>
          <w:color w:val="auto"/>
        </w:rPr>
        <w:t>16</w:t>
      </w:r>
    </w:p>
    <w:p>
      <w:pPr>
        <w:spacing w:after="0"/>
        <w:tabs>
          <w:tab w:leader="none" w:pos="1380" w:val="left"/>
          <w:tab w:leader="dot" w:pos="6820" w:val="left"/>
        </w:tabs>
        <w:rPr>
          <w:sz w:val="20"/>
          <w:szCs w:val="20"/>
          <w:color w:val="auto"/>
        </w:rPr>
      </w:pPr>
      <w:r>
        <w:rPr>
          <w:rFonts w:ascii="Courier New" w:cs="Courier New" w:eastAsia="Courier New" w:hAnsi="Courier New"/>
          <w:sz w:val="15"/>
          <w:szCs w:val="15"/>
          <w:color w:val="auto"/>
        </w:rPr>
        <w:t>SECTION 6.04.</w:t>
        <w:tab/>
        <w:t>Governing Law</w:t>
      </w:r>
      <w:r>
        <w:rPr>
          <w:sz w:val="20"/>
          <w:szCs w:val="20"/>
          <w:color w:val="auto"/>
        </w:rPr>
        <w:tab/>
      </w:r>
      <w:r>
        <w:rPr>
          <w:rFonts w:ascii="Courier New" w:cs="Courier New" w:eastAsia="Courier New" w:hAnsi="Courier New"/>
          <w:sz w:val="12"/>
          <w:szCs w:val="12"/>
          <w:color w:val="auto"/>
        </w:rPr>
        <w:t>16</w:t>
      </w:r>
    </w:p>
    <w:p>
      <w:pPr>
        <w:spacing w:after="0"/>
        <w:tabs>
          <w:tab w:leader="none" w:pos="1380" w:val="left"/>
          <w:tab w:leader="dot" w:pos="6820" w:val="left"/>
        </w:tabs>
        <w:rPr>
          <w:sz w:val="20"/>
          <w:szCs w:val="20"/>
          <w:color w:val="auto"/>
        </w:rPr>
      </w:pPr>
      <w:r>
        <w:rPr>
          <w:rFonts w:ascii="Courier New" w:cs="Courier New" w:eastAsia="Courier New" w:hAnsi="Courier New"/>
          <w:sz w:val="15"/>
          <w:szCs w:val="15"/>
          <w:color w:val="auto"/>
        </w:rPr>
        <w:t>SECTION 6.05.</w:t>
        <w:tab/>
        <w:t>Governmental Approvals</w:t>
      </w:r>
      <w:r>
        <w:rPr>
          <w:sz w:val="20"/>
          <w:szCs w:val="20"/>
          <w:color w:val="auto"/>
        </w:rPr>
        <w:tab/>
      </w:r>
      <w:r>
        <w:rPr>
          <w:rFonts w:ascii="Courier New" w:cs="Courier New" w:eastAsia="Courier New" w:hAnsi="Courier New"/>
          <w:sz w:val="12"/>
          <w:szCs w:val="12"/>
          <w:color w:val="auto"/>
        </w:rPr>
        <w:t>16</w:t>
      </w:r>
    </w:p>
    <w:p>
      <w:pPr>
        <w:spacing w:after="0"/>
        <w:tabs>
          <w:tab w:leader="none" w:pos="1380" w:val="left"/>
          <w:tab w:leader="dot" w:pos="6820" w:val="left"/>
        </w:tabs>
        <w:rPr>
          <w:sz w:val="20"/>
          <w:szCs w:val="20"/>
          <w:color w:val="auto"/>
        </w:rPr>
      </w:pPr>
      <w:r>
        <w:rPr>
          <w:rFonts w:ascii="Courier New" w:cs="Courier New" w:eastAsia="Courier New" w:hAnsi="Courier New"/>
          <w:sz w:val="15"/>
          <w:szCs w:val="15"/>
          <w:color w:val="auto"/>
        </w:rPr>
        <w:t>SECTION 6.06.</w:t>
        <w:tab/>
        <w:t>Persons Having Rights Under Common Stock Warrant Agreement</w:t>
      </w:r>
      <w:r>
        <w:rPr>
          <w:sz w:val="20"/>
          <w:szCs w:val="20"/>
          <w:color w:val="auto"/>
        </w:rPr>
        <w:tab/>
      </w:r>
      <w:r>
        <w:rPr>
          <w:rFonts w:ascii="Courier New" w:cs="Courier New" w:eastAsia="Courier New" w:hAnsi="Courier New"/>
          <w:sz w:val="12"/>
          <w:szCs w:val="12"/>
          <w:color w:val="auto"/>
        </w:rPr>
        <w:t>16</w:t>
      </w:r>
    </w:p>
    <w:p>
      <w:pPr>
        <w:spacing w:after="0"/>
        <w:tabs>
          <w:tab w:leader="none" w:pos="1380" w:val="left"/>
          <w:tab w:leader="dot" w:pos="6820" w:val="left"/>
        </w:tabs>
        <w:rPr>
          <w:sz w:val="20"/>
          <w:szCs w:val="20"/>
          <w:color w:val="auto"/>
        </w:rPr>
      </w:pPr>
      <w:r>
        <w:rPr>
          <w:rFonts w:ascii="Courier New" w:cs="Courier New" w:eastAsia="Courier New" w:hAnsi="Courier New"/>
          <w:sz w:val="15"/>
          <w:szCs w:val="15"/>
          <w:color w:val="auto"/>
        </w:rPr>
        <w:t>SECTION 6.07.</w:t>
        <w:tab/>
        <w:t>Delivery of Prospectus</w:t>
      </w:r>
      <w:r>
        <w:rPr>
          <w:sz w:val="20"/>
          <w:szCs w:val="20"/>
          <w:color w:val="auto"/>
        </w:rPr>
        <w:tab/>
      </w:r>
      <w:r>
        <w:rPr>
          <w:rFonts w:ascii="Courier New" w:cs="Courier New" w:eastAsia="Courier New" w:hAnsi="Courier New"/>
          <w:sz w:val="12"/>
          <w:szCs w:val="12"/>
          <w:color w:val="auto"/>
        </w:rPr>
        <w:t>17</w:t>
      </w:r>
    </w:p>
    <w:p>
      <w:pPr>
        <w:spacing w:after="0"/>
        <w:tabs>
          <w:tab w:leader="none" w:pos="1380" w:val="left"/>
          <w:tab w:leader="dot" w:pos="6820" w:val="left"/>
        </w:tabs>
        <w:rPr>
          <w:sz w:val="20"/>
          <w:szCs w:val="20"/>
          <w:color w:val="auto"/>
        </w:rPr>
      </w:pPr>
      <w:r>
        <w:rPr>
          <w:rFonts w:ascii="Courier New" w:cs="Courier New" w:eastAsia="Courier New" w:hAnsi="Courier New"/>
          <w:sz w:val="15"/>
          <w:szCs w:val="15"/>
          <w:color w:val="auto"/>
        </w:rPr>
        <w:t>SECTION 6.08.</w:t>
        <w:tab/>
        <w:t>Headings</w:t>
      </w:r>
      <w:r>
        <w:rPr>
          <w:sz w:val="20"/>
          <w:szCs w:val="20"/>
          <w:color w:val="auto"/>
        </w:rPr>
        <w:tab/>
      </w:r>
      <w:r>
        <w:rPr>
          <w:rFonts w:ascii="Courier New" w:cs="Courier New" w:eastAsia="Courier New" w:hAnsi="Courier New"/>
          <w:sz w:val="12"/>
          <w:szCs w:val="12"/>
          <w:color w:val="auto"/>
        </w:rPr>
        <w:t>17</w:t>
      </w:r>
    </w:p>
    <w:p>
      <w:pPr>
        <w:spacing w:after="0"/>
        <w:tabs>
          <w:tab w:leader="none" w:pos="1380" w:val="left"/>
          <w:tab w:leader="dot" w:pos="6820" w:val="left"/>
        </w:tabs>
        <w:rPr>
          <w:sz w:val="20"/>
          <w:szCs w:val="20"/>
          <w:color w:val="auto"/>
        </w:rPr>
      </w:pPr>
      <w:r>
        <w:rPr>
          <w:rFonts w:ascii="Courier New" w:cs="Courier New" w:eastAsia="Courier New" w:hAnsi="Courier New"/>
          <w:sz w:val="15"/>
          <w:szCs w:val="15"/>
          <w:color w:val="auto"/>
        </w:rPr>
        <w:t>SECTION 6.09.</w:t>
        <w:tab/>
        <w:t>Counterparts</w:t>
      </w:r>
      <w:r>
        <w:rPr>
          <w:sz w:val="20"/>
          <w:szCs w:val="20"/>
          <w:color w:val="auto"/>
        </w:rPr>
        <w:tab/>
      </w:r>
      <w:r>
        <w:rPr>
          <w:rFonts w:ascii="Courier New" w:cs="Courier New" w:eastAsia="Courier New" w:hAnsi="Courier New"/>
          <w:sz w:val="12"/>
          <w:szCs w:val="12"/>
          <w:color w:val="auto"/>
        </w:rPr>
        <w:t>17</w:t>
      </w:r>
    </w:p>
    <w:p>
      <w:pPr>
        <w:spacing w:after="0"/>
        <w:tabs>
          <w:tab w:leader="none" w:pos="1380" w:val="left"/>
          <w:tab w:leader="dot" w:pos="6820" w:val="left"/>
        </w:tabs>
        <w:rPr>
          <w:sz w:val="20"/>
          <w:szCs w:val="20"/>
          <w:color w:val="auto"/>
        </w:rPr>
      </w:pPr>
      <w:r>
        <w:rPr>
          <w:rFonts w:ascii="Courier New" w:cs="Courier New" w:eastAsia="Courier New" w:hAnsi="Courier New"/>
          <w:sz w:val="15"/>
          <w:szCs w:val="15"/>
          <w:color w:val="auto"/>
        </w:rPr>
        <w:t>SECTION 6.10.</w:t>
        <w:tab/>
        <w:t>Judgment Currency</w:t>
      </w:r>
      <w:r>
        <w:rPr>
          <w:sz w:val="20"/>
          <w:szCs w:val="20"/>
          <w:color w:val="auto"/>
        </w:rPr>
        <w:tab/>
      </w:r>
      <w:r>
        <w:rPr>
          <w:rFonts w:ascii="Courier New" w:cs="Courier New" w:eastAsia="Courier New" w:hAnsi="Courier New"/>
          <w:sz w:val="12"/>
          <w:szCs w:val="12"/>
          <w:color w:val="auto"/>
        </w:rPr>
        <w:t>17</w:t>
      </w:r>
    </w:p>
    <w:p>
      <w:pPr>
        <w:spacing w:after="0"/>
        <w:tabs>
          <w:tab w:leader="none" w:pos="1380" w:val="left"/>
          <w:tab w:leader="dot" w:pos="6820" w:val="left"/>
        </w:tabs>
        <w:rPr>
          <w:sz w:val="20"/>
          <w:szCs w:val="20"/>
          <w:color w:val="auto"/>
        </w:rPr>
      </w:pPr>
      <w:r>
        <w:rPr>
          <w:rFonts w:ascii="Courier New" w:cs="Courier New" w:eastAsia="Courier New" w:hAnsi="Courier New"/>
          <w:sz w:val="15"/>
          <w:szCs w:val="15"/>
          <w:color w:val="auto"/>
        </w:rPr>
        <w:t>SECTION 6.11.</w:t>
        <w:tab/>
        <w:t>Inspection of Agreement</w:t>
      </w:r>
      <w:r>
        <w:rPr>
          <w:sz w:val="20"/>
          <w:szCs w:val="20"/>
          <w:color w:val="auto"/>
        </w:rPr>
        <w:tab/>
      </w:r>
      <w:r>
        <w:rPr>
          <w:rFonts w:ascii="Courier New" w:cs="Courier New" w:eastAsia="Courier New" w:hAnsi="Courier New"/>
          <w:sz w:val="12"/>
          <w:szCs w:val="12"/>
          <w:color w:val="auto"/>
        </w:rPr>
        <w:t>17</w:t>
      </w:r>
    </w:p>
    <w:p>
      <w:pPr>
        <w:sectPr>
          <w:pgSz w:w="11900" w:h="16838" w:orient="portrait"/>
          <w:cols w:equalWidth="0" w:num="1">
            <w:col w:w="10239"/>
          </w:cols>
          <w:pgMar w:left="220" w:top="617" w:right="1440" w:bottom="1440" w:gutter="0" w:footer="0" w:header="0"/>
        </w:sectPr>
      </w:pPr>
    </w:p>
    <w:bookmarkStart w:id="65" w:name="page66"/>
    <w:bookmarkEnd w:id="65"/>
    <w:p>
      <w:pPr>
        <w:ind w:left="1320"/>
        <w:spacing w:after="0"/>
        <w:rPr>
          <w:sz w:val="20"/>
          <w:szCs w:val="20"/>
          <w:color w:val="auto"/>
        </w:rPr>
      </w:pPr>
      <w:r>
        <w:rPr>
          <w:rFonts w:ascii="Courier New" w:cs="Courier New" w:eastAsia="Courier New" w:hAnsi="Courier New"/>
          <w:sz w:val="15"/>
          <w:szCs w:val="15"/>
          <w:color w:val="auto"/>
        </w:rPr>
        <w:t>This COMMON STOCK WARRANT AGREEMENT, dated as of______, 20__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between ClearOne Communications, Inc., a Utah corporation (the "Company"),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 a [corporation] organized and existing under the laws of</w:t>
      </w:r>
    </w:p>
    <w:p>
      <w:pPr>
        <w:spacing w:after="0" w:line="237" w:lineRule="auto"/>
        <w:rPr>
          <w:sz w:val="20"/>
          <w:szCs w:val="20"/>
          <w:color w:val="auto"/>
        </w:rPr>
      </w:pPr>
      <w:r>
        <w:rPr>
          <w:rFonts w:ascii="Courier New" w:cs="Courier New" w:eastAsia="Courier New" w:hAnsi="Courier New"/>
          <w:sz w:val="15"/>
          <w:szCs w:val="15"/>
          <w:color w:val="auto"/>
        </w:rPr>
        <w:t>________, as warrant agent (the "Common Stock Warrant Agent").</w:t>
      </w:r>
    </w:p>
    <w:p>
      <w:pPr>
        <w:spacing w:after="0" w:line="173" w:lineRule="exact"/>
        <w:rPr>
          <w:sz w:val="20"/>
          <w:szCs w:val="20"/>
          <w:color w:val="auto"/>
        </w:rPr>
      </w:pPr>
    </w:p>
    <w:p>
      <w:pPr>
        <w:ind w:right="3239" w:firstLine="1312"/>
        <w:spacing w:after="0" w:line="255" w:lineRule="auto"/>
        <w:rPr>
          <w:sz w:val="20"/>
          <w:szCs w:val="20"/>
          <w:color w:val="auto"/>
        </w:rPr>
      </w:pPr>
      <w:r>
        <w:rPr>
          <w:rFonts w:ascii="Courier New" w:cs="Courier New" w:eastAsia="Courier New" w:hAnsi="Courier New"/>
          <w:sz w:val="14"/>
          <w:szCs w:val="14"/>
          <w:color w:val="auto"/>
        </w:rPr>
        <w:t>WHEREAS, the Company proposes to sell [title of common stock or other securities being offered (the "Offered Securities") with] certificates evidencing one or more warrants (the "Common Stock Warrants" or, individually, a "Common Stock Warrant") representing the right to purchase shares of the common stock, par value $0.001 per share, of the Company (the "Common Stock"), such warrant certificates and other warrant certificates issued pursuant to this Agreement being herein called the "Common Stock Warrant Certificates"; and</w:t>
      </w:r>
    </w:p>
    <w:p>
      <w:pPr>
        <w:spacing w:after="0" w:line="166" w:lineRule="exact"/>
        <w:rPr>
          <w:sz w:val="20"/>
          <w:szCs w:val="20"/>
          <w:color w:val="auto"/>
        </w:rPr>
      </w:pPr>
    </w:p>
    <w:p>
      <w:pPr>
        <w:ind w:right="3399" w:firstLine="1312"/>
        <w:spacing w:after="0" w:line="256" w:lineRule="auto"/>
        <w:rPr>
          <w:sz w:val="20"/>
          <w:szCs w:val="20"/>
          <w:color w:val="auto"/>
        </w:rPr>
      </w:pPr>
      <w:r>
        <w:rPr>
          <w:rFonts w:ascii="Courier New" w:cs="Courier New" w:eastAsia="Courier New" w:hAnsi="Courier New"/>
          <w:sz w:val="14"/>
          <w:szCs w:val="14"/>
          <w:color w:val="auto"/>
        </w:rPr>
        <w:t>WHEREAS, the Company has duly authorized the execution and delivery of this Common Stock Warrant Agreement to provide for the issuance of Common Stock Warrants to be exercisable at such times and for such prices, and to have such other provisions, as shall be fixed as hereinafter provided;</w:t>
      </w:r>
    </w:p>
    <w:p>
      <w:pPr>
        <w:spacing w:after="0" w:line="164" w:lineRule="exact"/>
        <w:rPr>
          <w:sz w:val="20"/>
          <w:szCs w:val="20"/>
          <w:color w:val="auto"/>
        </w:rPr>
      </w:pPr>
    </w:p>
    <w:p>
      <w:pPr>
        <w:ind w:right="3759" w:firstLine="1312"/>
        <w:spacing w:after="0" w:line="261" w:lineRule="auto"/>
        <w:rPr>
          <w:sz w:val="20"/>
          <w:szCs w:val="20"/>
          <w:color w:val="auto"/>
        </w:rPr>
      </w:pPr>
      <w:r>
        <w:rPr>
          <w:rFonts w:ascii="Courier New" w:cs="Courier New" w:eastAsia="Courier New" w:hAnsi="Courier New"/>
          <w:sz w:val="14"/>
          <w:szCs w:val="14"/>
          <w:color w:val="auto"/>
        </w:rPr>
        <w:t>NOW, THEREFORE, in consideration of the premises and of the mutual agreements herein contained, the parties hereto agree as follows:</w:t>
      </w:r>
    </w:p>
    <w:p>
      <w:pPr>
        <w:spacing w:after="0" w:line="15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I</w:t>
      </w:r>
    </w:p>
    <w:p>
      <w:pPr>
        <w:jc w:val="center"/>
        <w:ind w:right="3139"/>
        <w:spacing w:after="0" w:line="237" w:lineRule="auto"/>
        <w:rPr>
          <w:sz w:val="20"/>
          <w:szCs w:val="20"/>
          <w:color w:val="auto"/>
        </w:rPr>
      </w:pPr>
      <w:r>
        <w:rPr>
          <w:rFonts w:ascii="Courier New" w:cs="Courier New" w:eastAsia="Courier New" w:hAnsi="Courier New"/>
          <w:sz w:val="15"/>
          <w:szCs w:val="15"/>
          <w:color w:val="auto"/>
        </w:rPr>
        <w:t>ISSUANCE OF COMMON STOCK WARRANTS AND EXECUTION</w:t>
      </w:r>
    </w:p>
    <w:p>
      <w:pPr>
        <w:jc w:val="center"/>
        <w:ind w:right="3139"/>
        <w:spacing w:after="0" w:line="238" w:lineRule="auto"/>
        <w:rPr>
          <w:sz w:val="20"/>
          <w:szCs w:val="20"/>
          <w:color w:val="auto"/>
        </w:rPr>
      </w:pPr>
      <w:r>
        <w:rPr>
          <w:rFonts w:ascii="Courier New" w:cs="Courier New" w:eastAsia="Courier New" w:hAnsi="Courier New"/>
          <w:sz w:val="15"/>
          <w:szCs w:val="15"/>
          <w:color w:val="auto"/>
        </w:rPr>
        <w:t>AND DELIVERY OF COMMON STOCK WARRANT CERTIFICATES</w:t>
      </w:r>
    </w:p>
    <w:p>
      <w:pPr>
        <w:spacing w:after="0" w:line="167" w:lineRule="exact"/>
        <w:rPr>
          <w:sz w:val="20"/>
          <w:szCs w:val="20"/>
          <w:color w:val="auto"/>
        </w:rPr>
      </w:pPr>
    </w:p>
    <w:p>
      <w:pPr>
        <w:ind w:left="440"/>
        <w:spacing w:after="0"/>
        <w:tabs>
          <w:tab w:leader="none" w:pos="1820" w:val="left"/>
        </w:tabs>
        <w:rPr>
          <w:sz w:val="20"/>
          <w:szCs w:val="20"/>
          <w:color w:val="auto"/>
        </w:rPr>
      </w:pPr>
      <w:r>
        <w:rPr>
          <w:rFonts w:ascii="Courier New" w:cs="Courier New" w:eastAsia="Courier New" w:hAnsi="Courier New"/>
          <w:sz w:val="15"/>
          <w:szCs w:val="15"/>
          <w:color w:val="auto"/>
        </w:rPr>
        <w:t>SECTION 1.01.</w:t>
      </w:r>
      <w:r>
        <w:rPr>
          <w:sz w:val="20"/>
          <w:szCs w:val="20"/>
          <w:color w:val="auto"/>
        </w:rPr>
        <w:tab/>
      </w:r>
      <w:r>
        <w:rPr>
          <w:rFonts w:ascii="Courier New" w:cs="Courier New" w:eastAsia="Courier New" w:hAnsi="Courier New"/>
          <w:sz w:val="14"/>
          <w:szCs w:val="14"/>
          <w:color w:val="auto"/>
        </w:rPr>
        <w:t>Issuance of Common Stock Warrants.</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firstLine="1312"/>
        <w:spacing w:after="0" w:line="256" w:lineRule="auto"/>
        <w:rPr>
          <w:sz w:val="20"/>
          <w:szCs w:val="20"/>
          <w:color w:val="auto"/>
        </w:rPr>
      </w:pPr>
      <w:r>
        <w:rPr>
          <w:rFonts w:ascii="Courier New" w:cs="Courier New" w:eastAsia="Courier New" w:hAnsi="Courier New"/>
          <w:sz w:val="14"/>
          <w:szCs w:val="14"/>
          <w:color w:val="auto"/>
        </w:rPr>
        <w:t>Common Stock Warrants may be issued from time to time, together with or separately from Offered Securities. Prior to the issuance of any Common Stock Warrants, there shall be established by or pursuant to a resolution or resolutions duly adopted by the Company's Board of Directors or by any committee thereof duly authorized to act with respect thereto (a "Board Resolution"):</w:t>
      </w:r>
    </w:p>
    <w:p>
      <w:pPr>
        <w:spacing w:after="0" w:line="163" w:lineRule="exact"/>
        <w:rPr>
          <w:sz w:val="20"/>
          <w:szCs w:val="20"/>
          <w:color w:val="auto"/>
        </w:rPr>
      </w:pPr>
    </w:p>
    <w:p>
      <w:pPr>
        <w:ind w:left="1680" w:hanging="358"/>
        <w:spacing w:after="0"/>
        <w:tabs>
          <w:tab w:leader="none" w:pos="168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title and aggregate number of such Common Stock Warrants;</w:t>
      </w:r>
    </w:p>
    <w:p>
      <w:pPr>
        <w:spacing w:after="0" w:line="171" w:lineRule="exact"/>
        <w:rPr>
          <w:rFonts w:ascii="Courier New" w:cs="Courier New" w:eastAsia="Courier New" w:hAnsi="Courier New"/>
          <w:sz w:val="14"/>
          <w:szCs w:val="14"/>
          <w:color w:val="auto"/>
        </w:rPr>
      </w:pPr>
    </w:p>
    <w:p>
      <w:pPr>
        <w:ind w:left="1680" w:hanging="358"/>
        <w:spacing w:after="0"/>
        <w:tabs>
          <w:tab w:leader="none" w:pos="168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offering price of such Common Stock Warrant;</w:t>
      </w:r>
    </w:p>
    <w:p>
      <w:pPr>
        <w:spacing w:after="0" w:line="172" w:lineRule="exact"/>
        <w:rPr>
          <w:rFonts w:ascii="Courier New" w:cs="Courier New" w:eastAsia="Courier New" w:hAnsi="Courier New"/>
          <w:sz w:val="15"/>
          <w:szCs w:val="15"/>
          <w:color w:val="auto"/>
        </w:rPr>
      </w:pPr>
    </w:p>
    <w:p>
      <w:pPr>
        <w:ind w:right="3239" w:firstLine="1322"/>
        <w:spacing w:after="0" w:line="236" w:lineRule="auto"/>
        <w:tabs>
          <w:tab w:leader="none" w:pos="1662"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Common Stock that may be purchased upon exercise of each such Common Stock Warrant; the price, or the manner of determining the price (the "Common Stock Warrant Price"), at which such shares of Common Stock may be purchased upon exercise of such Common Stock Warrants; if other than cash, the property and manner in which the Common Stock Warrant Price may be paid; and any minimum number of such Common Stock Warrants that are exercisable at any one time;</w:t>
      </w:r>
    </w:p>
    <w:p>
      <w:pPr>
        <w:spacing w:after="0" w:line="175" w:lineRule="exact"/>
        <w:rPr>
          <w:rFonts w:ascii="Courier New" w:cs="Courier New" w:eastAsia="Courier New" w:hAnsi="Courier New"/>
          <w:sz w:val="15"/>
          <w:szCs w:val="15"/>
          <w:color w:val="auto"/>
        </w:rPr>
      </w:pPr>
    </w:p>
    <w:p>
      <w:pPr>
        <w:ind w:right="3399" w:firstLine="1322"/>
        <w:spacing w:after="0" w:line="235" w:lineRule="auto"/>
        <w:tabs>
          <w:tab w:leader="none" w:pos="1662"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time or times at which, or period or periods during which, such Common Stock Warrants may be exercised and the final date on which such Common Stock Warrants may be exercised (the "Expiration Date");</w:t>
      </w:r>
    </w:p>
    <w:p>
      <w:pPr>
        <w:spacing w:after="0" w:line="173" w:lineRule="exact"/>
        <w:rPr>
          <w:rFonts w:ascii="Courier New" w:cs="Courier New" w:eastAsia="Courier New" w:hAnsi="Courier New"/>
          <w:sz w:val="15"/>
          <w:szCs w:val="15"/>
          <w:color w:val="auto"/>
        </w:rPr>
      </w:pPr>
    </w:p>
    <w:p>
      <w:pPr>
        <w:ind w:left="1680" w:hanging="358"/>
        <w:spacing w:after="0"/>
        <w:tabs>
          <w:tab w:leader="none" w:pos="168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of any right to redeem such Common Stock Warrants;</w:t>
      </w:r>
    </w:p>
    <w:p>
      <w:pPr>
        <w:sectPr>
          <w:pgSz w:w="11900" w:h="16838" w:orient="portrait"/>
          <w:cols w:equalWidth="0" w:num="1">
            <w:col w:w="10239"/>
          </w:cols>
          <w:pgMar w:left="220" w:top="785" w:right="1440" w:bottom="1440" w:gutter="0" w:footer="0" w:header="0"/>
        </w:sectPr>
      </w:pPr>
    </w:p>
    <w:bookmarkStart w:id="66" w:name="page67"/>
    <w:bookmarkEnd w:id="66"/>
    <w:p>
      <w:pPr>
        <w:ind w:right="3759" w:firstLine="1322"/>
        <w:spacing w:after="0" w:line="234" w:lineRule="auto"/>
        <w:tabs>
          <w:tab w:leader="none" w:pos="1662"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of any right of the Company to accelerate the Common Stock Warrants upon the occurrence of certain events;</w:t>
      </w:r>
    </w:p>
    <w:p>
      <w:pPr>
        <w:spacing w:after="0" w:line="173" w:lineRule="exact"/>
        <w:rPr>
          <w:rFonts w:ascii="Courier New" w:cs="Courier New" w:eastAsia="Courier New" w:hAnsi="Courier New"/>
          <w:sz w:val="15"/>
          <w:szCs w:val="15"/>
          <w:color w:val="auto"/>
        </w:rPr>
      </w:pPr>
    </w:p>
    <w:p>
      <w:pPr>
        <w:ind w:right="3579" w:firstLine="1322"/>
        <w:spacing w:after="0" w:line="235" w:lineRule="auto"/>
        <w:tabs>
          <w:tab w:leader="none" w:pos="1662"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Where the registered warrant certificates evidencing such Common Stock Warrants (the "Common Stock Warrant Certificates") may be transferred and exchanged;</w:t>
      </w:r>
    </w:p>
    <w:p>
      <w:pPr>
        <w:spacing w:after="0" w:line="173" w:lineRule="exact"/>
        <w:rPr>
          <w:rFonts w:ascii="Courier New" w:cs="Courier New" w:eastAsia="Courier New" w:hAnsi="Courier New"/>
          <w:sz w:val="15"/>
          <w:szCs w:val="15"/>
          <w:color w:val="auto"/>
        </w:rPr>
      </w:pPr>
    </w:p>
    <w:p>
      <w:pPr>
        <w:ind w:right="3319" w:firstLine="1322"/>
        <w:spacing w:after="0" w:line="235" w:lineRule="auto"/>
        <w:tabs>
          <w:tab w:leader="none" w:pos="1662"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such Common Stock Warrants are to be issued with any Offered Securities and, if so, the number and terms of any such Offered Securities;</w:t>
      </w:r>
    </w:p>
    <w:p>
      <w:pPr>
        <w:spacing w:after="0" w:line="173" w:lineRule="exact"/>
        <w:rPr>
          <w:rFonts w:ascii="Courier New" w:cs="Courier New" w:eastAsia="Courier New" w:hAnsi="Courier New"/>
          <w:sz w:val="15"/>
          <w:szCs w:val="15"/>
          <w:color w:val="auto"/>
        </w:rPr>
      </w:pPr>
    </w:p>
    <w:p>
      <w:pPr>
        <w:jc w:val="both"/>
        <w:ind w:right="3939" w:firstLine="1322"/>
        <w:spacing w:after="0" w:line="235" w:lineRule="auto"/>
        <w:tabs>
          <w:tab w:leader="none" w:pos="1662"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if any, on and after which the Common Stock Warrants and the Offered Securities will be separately transferable (the "Detachable Date"); and</w:t>
      </w:r>
    </w:p>
    <w:p>
      <w:pPr>
        <w:spacing w:after="0" w:line="167" w:lineRule="exact"/>
        <w:rPr>
          <w:rFonts w:ascii="Courier New" w:cs="Courier New" w:eastAsia="Courier New" w:hAnsi="Courier New"/>
          <w:sz w:val="15"/>
          <w:szCs w:val="15"/>
          <w:color w:val="auto"/>
        </w:rPr>
      </w:pPr>
    </w:p>
    <w:p>
      <w:pPr>
        <w:ind w:left="1680" w:hanging="358"/>
        <w:spacing w:after="0"/>
        <w:tabs>
          <w:tab w:leader="none" w:pos="168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terms of such Common Stock Warrants not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inconsistent with the provisions of this Agreement.</w:t>
      </w:r>
    </w:p>
    <w:p>
      <w:pPr>
        <w:spacing w:after="0" w:line="167" w:lineRule="exact"/>
        <w:rPr>
          <w:sz w:val="20"/>
          <w:szCs w:val="20"/>
          <w:color w:val="auto"/>
        </w:rPr>
      </w:pPr>
    </w:p>
    <w:p>
      <w:pPr>
        <w:ind w:left="440"/>
        <w:spacing w:after="0"/>
        <w:tabs>
          <w:tab w:leader="none" w:pos="1820" w:val="left"/>
        </w:tabs>
        <w:rPr>
          <w:sz w:val="20"/>
          <w:szCs w:val="20"/>
          <w:color w:val="auto"/>
        </w:rPr>
      </w:pPr>
      <w:r>
        <w:rPr>
          <w:rFonts w:ascii="Courier New" w:cs="Courier New" w:eastAsia="Courier New" w:hAnsi="Courier New"/>
          <w:sz w:val="15"/>
          <w:szCs w:val="15"/>
          <w:color w:val="auto"/>
        </w:rPr>
        <w:t>SECTION 1.02.</w:t>
      </w:r>
      <w:r>
        <w:rPr>
          <w:sz w:val="20"/>
          <w:szCs w:val="20"/>
          <w:color w:val="auto"/>
        </w:rPr>
        <w:tab/>
      </w:r>
      <w:r>
        <w:rPr>
          <w:rFonts w:ascii="Courier New" w:cs="Courier New" w:eastAsia="Courier New" w:hAnsi="Courier New"/>
          <w:sz w:val="14"/>
          <w:szCs w:val="14"/>
          <w:color w:val="auto"/>
        </w:rPr>
        <w:t>Form and Execution of Common Stock Warrant Certificates.</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firstLine="1322"/>
        <w:spacing w:after="0" w:line="255" w:lineRule="auto"/>
        <w:tabs>
          <w:tab w:leader="none" w:pos="1662"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Common Stock Warrants shall be evidenced by the Common Stock Warrant Certificates, which shall be in registered form and substantially in such form or forms as shall be established by or pursuant to a Board Resolution. Each Common Stock Warrant Certificate, whenever issued, shall be dated the date it is countersigned by the Common Stock Warrant Agent and may have such letters, numbers or other marks of identification and such legends or endorsements printed, lithographed or engraved thereon as are not inconsistent with the provisions of this Agreement, or as may be required to comply with any law, rule or regulation or with any rule or regulation of any securities exchange on which the Common Stock or Common Stock Warrants may be listed, or to conform to usage, as the officer of the Company executing the same may approve (his execution thereof to be conclusive evidence of such approval). Each Common Stock Warrant Certificate shall evidence one or more Common Stock Warrants.</w:t>
      </w:r>
    </w:p>
    <w:p>
      <w:pPr>
        <w:spacing w:after="0" w:line="164" w:lineRule="exact"/>
        <w:rPr>
          <w:rFonts w:ascii="Courier New" w:cs="Courier New" w:eastAsia="Courier New" w:hAnsi="Courier New"/>
          <w:sz w:val="14"/>
          <w:szCs w:val="14"/>
          <w:color w:val="auto"/>
        </w:rPr>
      </w:pPr>
    </w:p>
    <w:p>
      <w:pPr>
        <w:ind w:right="3239" w:firstLine="1322"/>
        <w:spacing w:after="0" w:line="237" w:lineRule="auto"/>
        <w:tabs>
          <w:tab w:leader="none" w:pos="1662"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Common Stock Warrant Certificates shall be signed in the name and on behalf of the Company by its Chairman, President, Chief Executive Officer or Chief Financial Officer under its corporate seal, and attested by its Secretary, an Assistant Secretary or any Vice President (any reference to a "Vice President" of the Company herein shall be deemed to include any Vice President of the Company whether or not designated by a number or a word or words added before or after the title Vice President). Such signatures may be manual or facsimile signatures of the present or any future holder of any such office and may be imprinted or otherwise reproduced on the Common Stock Warrant Certificates. The seal of the Company may be in the form of a facsimile thereof and may be impressed, affixed, imprinted or otherwise reproduced on the Common Stock Warrant Certificates.</w:t>
      </w:r>
    </w:p>
    <w:p>
      <w:pPr>
        <w:spacing w:after="0" w:line="173" w:lineRule="exact"/>
        <w:rPr>
          <w:rFonts w:ascii="Courier New" w:cs="Courier New" w:eastAsia="Courier New" w:hAnsi="Courier New"/>
          <w:sz w:val="15"/>
          <w:szCs w:val="15"/>
          <w:color w:val="auto"/>
        </w:rPr>
      </w:pPr>
    </w:p>
    <w:p>
      <w:pPr>
        <w:ind w:right="3239" w:firstLine="1322"/>
        <w:spacing w:after="0" w:line="255" w:lineRule="auto"/>
        <w:tabs>
          <w:tab w:leader="none" w:pos="1662"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Common Stock Warrant Certificate shall be valid for any purpose, and no Common Stock Warrant evidenced thereby shall be deemed issued or exercisable, until such Common Stock Warrant Certificate has been countersigned by the manual or facsimile signature of the Common Stock Warrant Agent. Such signature by the Common Stock Warrant Agent upon any Common Stock Warrant Certificate executed by the Company shall be conclusive evidence that the Common Stock Warrant Certificate so countersigned has been duly issued hereunder.</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4" w:right="1440" w:bottom="1440" w:gutter="0" w:footer="0" w:header="0"/>
        </w:sectPr>
      </w:pPr>
    </w:p>
    <w:bookmarkStart w:id="67" w:name="page68"/>
    <w:bookmarkEnd w:id="67"/>
    <w:p>
      <w:pPr>
        <w:ind w:right="3239" w:firstLine="1322"/>
        <w:spacing w:after="0" w:line="255" w:lineRule="auto"/>
        <w:tabs>
          <w:tab w:leader="none" w:pos="1662"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any officer of the Company who has signed any Common Stock Warrant Certificate either manually or by facsimile signature ceases to be such officer before the Common Stock Warrant Certificate so signed has been countersigned and delivered by the Common Stock Warrant Agent, such Common Stock Warrant Certificate nevertheless may be countersigned and delivered as though the person who signed such Common Stock Warrant Certificate had not ceased to be such officer of the Company; and any Common Stock Warrant Certificate may be signed on behalf of the Company by such person as, at the actual date of the execution of such Common Stock Warrant Certificate, shall be the proper officer of the Company, although at the date of the execution of this Agreement such person was not such an officer.</w:t>
      </w:r>
    </w:p>
    <w:p>
      <w:pPr>
        <w:spacing w:after="0" w:line="158" w:lineRule="exact"/>
        <w:rPr>
          <w:sz w:val="20"/>
          <w:szCs w:val="20"/>
          <w:color w:val="auto"/>
        </w:rPr>
      </w:pPr>
    </w:p>
    <w:p>
      <w:pPr>
        <w:ind w:left="440"/>
        <w:spacing w:after="0"/>
        <w:tabs>
          <w:tab w:leader="none" w:pos="1820" w:val="left"/>
        </w:tabs>
        <w:rPr>
          <w:sz w:val="20"/>
          <w:szCs w:val="20"/>
          <w:color w:val="auto"/>
        </w:rPr>
      </w:pPr>
      <w:r>
        <w:rPr>
          <w:rFonts w:ascii="Courier New" w:cs="Courier New" w:eastAsia="Courier New" w:hAnsi="Courier New"/>
          <w:sz w:val="15"/>
          <w:szCs w:val="15"/>
          <w:color w:val="auto"/>
        </w:rPr>
        <w:t>SECTION 1.03.</w:t>
      </w:r>
      <w:r>
        <w:rPr>
          <w:sz w:val="20"/>
          <w:szCs w:val="20"/>
          <w:color w:val="auto"/>
        </w:rPr>
        <w:tab/>
      </w:r>
      <w:r>
        <w:rPr>
          <w:rFonts w:ascii="Courier New" w:cs="Courier New" w:eastAsia="Courier New" w:hAnsi="Courier New"/>
          <w:sz w:val="14"/>
          <w:szCs w:val="14"/>
          <w:color w:val="auto"/>
        </w:rPr>
        <w:t>Issuance and Delivery of Common Stock Warrant Certificates.</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ind w:right="3239" w:firstLine="1312"/>
        <w:spacing w:after="0" w:line="237" w:lineRule="auto"/>
        <w:rPr>
          <w:sz w:val="20"/>
          <w:szCs w:val="20"/>
          <w:color w:val="auto"/>
        </w:rPr>
      </w:pPr>
      <w:r>
        <w:rPr>
          <w:rFonts w:ascii="Courier New" w:cs="Courier New" w:eastAsia="Courier New" w:hAnsi="Courier New"/>
          <w:sz w:val="15"/>
          <w:szCs w:val="15"/>
          <w:color w:val="auto"/>
        </w:rPr>
        <w:t>At any time and from time to time after the execution and delivery of this Agreement, the Company may deliver Common Stock Warrant Certificates executed by the Company to the Common Stock Warrant Agent for countersignature. Except as provided in the following sentence, the Common Stock Warrant Agent shall thereupon countersign and deliver such Common Stock Warrant Certificates to or upon the written request of the Company. Subsequent to the original issuance of a Common Stock Warrant Certificate evidencing Common Stock Warrants, the Common Stock Warrant Agent shall countersign a new Common Stock Warrant Certificate evidencing such Common Stock Warrants only if such Common Stock Warrant Certificate is issued in exchange or substitution for one or more previously countersigned Common Stock Warrant Certificates evidencing such Common Stock Warrants or in connection with their transfer, as hereinafter provided.</w:t>
      </w:r>
    </w:p>
    <w:p>
      <w:pPr>
        <w:spacing w:after="0" w:line="167" w:lineRule="exact"/>
        <w:rPr>
          <w:sz w:val="20"/>
          <w:szCs w:val="20"/>
          <w:color w:val="auto"/>
        </w:rPr>
      </w:pPr>
    </w:p>
    <w:p>
      <w:pPr>
        <w:ind w:left="440"/>
        <w:spacing w:after="0"/>
        <w:tabs>
          <w:tab w:leader="none" w:pos="1820" w:val="left"/>
        </w:tabs>
        <w:rPr>
          <w:sz w:val="20"/>
          <w:szCs w:val="20"/>
          <w:color w:val="auto"/>
        </w:rPr>
      </w:pPr>
      <w:r>
        <w:rPr>
          <w:rFonts w:ascii="Courier New" w:cs="Courier New" w:eastAsia="Courier New" w:hAnsi="Courier New"/>
          <w:sz w:val="15"/>
          <w:szCs w:val="15"/>
          <w:color w:val="auto"/>
        </w:rPr>
        <w:t>SECTION 1.04.</w:t>
      </w:r>
      <w:r>
        <w:rPr>
          <w:sz w:val="20"/>
          <w:szCs w:val="20"/>
          <w:color w:val="auto"/>
        </w:rPr>
        <w:tab/>
      </w:r>
      <w:r>
        <w:rPr>
          <w:rFonts w:ascii="Courier New" w:cs="Courier New" w:eastAsia="Courier New" w:hAnsi="Courier New"/>
          <w:sz w:val="14"/>
          <w:szCs w:val="14"/>
          <w:color w:val="auto"/>
        </w:rPr>
        <w:t>Temporary Common Stock Warrant Certificates.</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firstLine="1322"/>
        <w:spacing w:after="0" w:line="255" w:lineRule="auto"/>
        <w:tabs>
          <w:tab w:leader="none" w:pos="1662"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Pending the preparation of definitive Common Stock Warrant Certificates, the Company may execute, and upon the order of the Company the Common Stock Warrant Agent shall countersign and deliver, temporary Common Stock Warrant Certificates that are printed, lithographed, typewritten, mimeographed or otherwise produced, substantially of the tenor of the definitive Common Stock Warrant Certificates in lieu of which they are issued and with such appropriate insertions, omissions, substitutions and other variations as the officer executing such Common Stock Warrant Certificates may determine, as evidenced by his execution of such Common Stock Warrant Certificates.</w:t>
      </w:r>
    </w:p>
    <w:p>
      <w:pPr>
        <w:spacing w:after="0" w:line="165" w:lineRule="exact"/>
        <w:rPr>
          <w:rFonts w:ascii="Courier New" w:cs="Courier New" w:eastAsia="Courier New" w:hAnsi="Courier New"/>
          <w:sz w:val="14"/>
          <w:szCs w:val="14"/>
          <w:color w:val="auto"/>
        </w:rPr>
      </w:pPr>
    </w:p>
    <w:p>
      <w:pPr>
        <w:ind w:right="3239" w:firstLine="1322"/>
        <w:spacing w:after="0" w:line="255" w:lineRule="auto"/>
        <w:tabs>
          <w:tab w:leader="none" w:pos="1662"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temporary Common Stock Warrant Certificates are issued, the Company will cause definitive Common Stock Warrant Certificates to be prepared without unreasonable delay. After the preparation of definitive Common Stock Warrant Certificates, the temporary Common Stock Warrant Certificates shall be exchangeable for definitive Common Stock Warrant Certificates upon surrender of the temporary Common Stock Warrant Certificates at the corporate trust office of the Common Stock Warrant Agent [or ________________], without charge to the Holder (as defined in Section 1.06 hereof). Upon surrender for cancellation of any one or more temporary Common Stock Warrant Certificates, the Company shall execute and the Common Stock Warrant Agent shall countersign and deliver in exchange therefor definitive Common Stock Warrant Certificates representing the same aggregate number of Common Stock Warrants. Until so exchanged, the temporary Common Stock Warrant Certificates shall in all respects</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24" w:right="1440" w:bottom="1440" w:gutter="0" w:footer="0" w:header="0"/>
        </w:sectPr>
      </w:pPr>
    </w:p>
    <w:bookmarkStart w:id="68" w:name="page69"/>
    <w:bookmarkEnd w:id="68"/>
    <w:p>
      <w:pPr>
        <w:ind w:right="3239"/>
        <w:spacing w:after="0" w:line="234" w:lineRule="auto"/>
        <w:rPr>
          <w:sz w:val="20"/>
          <w:szCs w:val="20"/>
          <w:color w:val="auto"/>
        </w:rPr>
      </w:pPr>
      <w:r>
        <w:rPr>
          <w:rFonts w:ascii="Courier New" w:cs="Courier New" w:eastAsia="Courier New" w:hAnsi="Courier New"/>
          <w:sz w:val="15"/>
          <w:szCs w:val="15"/>
          <w:color w:val="auto"/>
        </w:rPr>
        <w:t>be entitled to the same benefits under this Agreement as definitive Common Stock Warrant Certificates.</w:t>
      </w:r>
    </w:p>
    <w:p>
      <w:pPr>
        <w:spacing w:after="0" w:line="167" w:lineRule="exact"/>
        <w:rPr>
          <w:sz w:val="20"/>
          <w:szCs w:val="20"/>
          <w:color w:val="auto"/>
        </w:rPr>
      </w:pPr>
    </w:p>
    <w:p>
      <w:pPr>
        <w:ind w:left="440"/>
        <w:spacing w:after="0"/>
        <w:tabs>
          <w:tab w:leader="none" w:pos="1820" w:val="left"/>
        </w:tabs>
        <w:rPr>
          <w:sz w:val="20"/>
          <w:szCs w:val="20"/>
          <w:color w:val="auto"/>
        </w:rPr>
      </w:pPr>
      <w:r>
        <w:rPr>
          <w:rFonts w:ascii="Courier New" w:cs="Courier New" w:eastAsia="Courier New" w:hAnsi="Courier New"/>
          <w:sz w:val="15"/>
          <w:szCs w:val="15"/>
          <w:color w:val="auto"/>
        </w:rPr>
        <w:t>SECTION 1.05.</w:t>
      </w:r>
      <w:r>
        <w:rPr>
          <w:sz w:val="20"/>
          <w:szCs w:val="20"/>
          <w:color w:val="auto"/>
        </w:rPr>
        <w:tab/>
      </w:r>
      <w:r>
        <w:rPr>
          <w:rFonts w:ascii="Courier New" w:cs="Courier New" w:eastAsia="Courier New" w:hAnsi="Courier New"/>
          <w:sz w:val="14"/>
          <w:szCs w:val="14"/>
          <w:color w:val="auto"/>
        </w:rPr>
        <w:t>Payment of Taxes.</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firstLine="1312"/>
        <w:spacing w:after="0" w:line="236" w:lineRule="auto"/>
        <w:rPr>
          <w:sz w:val="20"/>
          <w:szCs w:val="20"/>
          <w:color w:val="auto"/>
        </w:rPr>
      </w:pPr>
      <w:r>
        <w:rPr>
          <w:rFonts w:ascii="Courier New" w:cs="Courier New" w:eastAsia="Courier New" w:hAnsi="Courier New"/>
          <w:sz w:val="15"/>
          <w:szCs w:val="15"/>
          <w:color w:val="auto"/>
        </w:rPr>
        <w:t>The Company will pay all stamp and other similar duties, if any, to which this Agreement or the original issuance of the Common Stock Warrants or the issuance of Common Stock upon exercise of the Common Stock Warrants may be subject under the laws of the United States of America or any state or locality, provided, however, the Company is not responsible for the payment of any tax or taxes which may be payable in respect of any transfer involved in the issue of Common Stock Warrant Certificates or any issue or transfer of Common Stock to a person other than the Holder.</w:t>
      </w:r>
    </w:p>
    <w:p>
      <w:pPr>
        <w:spacing w:after="0" w:line="171" w:lineRule="exact"/>
        <w:rPr>
          <w:sz w:val="20"/>
          <w:szCs w:val="20"/>
          <w:color w:val="auto"/>
        </w:rPr>
      </w:pPr>
    </w:p>
    <w:p>
      <w:pPr>
        <w:ind w:left="440"/>
        <w:spacing w:after="0"/>
        <w:tabs>
          <w:tab w:leader="none" w:pos="1820" w:val="left"/>
        </w:tabs>
        <w:rPr>
          <w:sz w:val="20"/>
          <w:szCs w:val="20"/>
          <w:color w:val="auto"/>
        </w:rPr>
      </w:pPr>
      <w:r>
        <w:rPr>
          <w:rFonts w:ascii="Courier New" w:cs="Courier New" w:eastAsia="Courier New" w:hAnsi="Courier New"/>
          <w:sz w:val="15"/>
          <w:szCs w:val="15"/>
          <w:color w:val="auto"/>
        </w:rPr>
        <w:t>SECTION 1.06.</w:t>
      </w:r>
      <w:r>
        <w:rPr>
          <w:sz w:val="20"/>
          <w:szCs w:val="20"/>
          <w:color w:val="auto"/>
        </w:rPr>
        <w:tab/>
      </w:r>
      <w:r>
        <w:rPr>
          <w:rFonts w:ascii="Courier New" w:cs="Courier New" w:eastAsia="Courier New" w:hAnsi="Courier New"/>
          <w:sz w:val="14"/>
          <w:szCs w:val="14"/>
          <w:color w:val="auto"/>
        </w:rPr>
        <w:t>"Holder".</w:t>
      </w:r>
    </w:p>
    <w:p>
      <w:pPr>
        <w:ind w:left="194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firstLine="1312"/>
        <w:spacing w:after="0" w:line="255" w:lineRule="auto"/>
        <w:rPr>
          <w:sz w:val="20"/>
          <w:szCs w:val="20"/>
          <w:color w:val="auto"/>
        </w:rPr>
      </w:pPr>
      <w:r>
        <w:rPr>
          <w:rFonts w:ascii="Courier New" w:cs="Courier New" w:eastAsia="Courier New" w:hAnsi="Courier New"/>
          <w:sz w:val="14"/>
          <w:szCs w:val="14"/>
          <w:color w:val="auto"/>
        </w:rPr>
        <w:t>The term "Holder" or "Holders" as used herein with reference to a Common Stock Warrant Certificate shall mean the person or persons in whose name such Common Stock Warrant Certificate shall then be registered as set forth in the Common Stock Warrant Register (as defined in Section 4.01 hereof) to be maintained by the Common Stock Warrant Agent pursuant to Section 4.01 for that purpose or, in the case of Common Stock Warrants that are issued with Offered Securities and cannot then be transferred separately therefrom, the person or persons in whose name the related Offered Securities shall be registered as set forth in the security register for such Offered Securities, prior to the Detachable Date. In the case of Common Stock Warrants that are issued with Offered Securities and cannot then be transferred separately therefrom, the Company will, or will cause the security registrar of any such Offered Securities to, make available to the Common Stock Warrant Agent at all times (including on and after the Detachable Date, in the case of Common Stock Warrants originally issued with Offered Securities and not subsequently transferred separately therefrom) such information as to Holders of Offered Securities with Common Stock Warrants attached thereto as may be necessary to keep the Common Stock Warrant Register up to date.</w:t>
      </w:r>
    </w:p>
    <w:p>
      <w:pPr>
        <w:spacing w:after="0" w:line="32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II</w:t>
      </w:r>
    </w:p>
    <w:p>
      <w:pPr>
        <w:jc w:val="center"/>
        <w:ind w:right="3239"/>
        <w:spacing w:after="0" w:line="237" w:lineRule="auto"/>
        <w:rPr>
          <w:sz w:val="20"/>
          <w:szCs w:val="20"/>
          <w:color w:val="auto"/>
        </w:rPr>
      </w:pPr>
      <w:r>
        <w:rPr>
          <w:rFonts w:ascii="Courier New" w:cs="Courier New" w:eastAsia="Courier New" w:hAnsi="Courier New"/>
          <w:sz w:val="15"/>
          <w:szCs w:val="15"/>
          <w:color w:val="auto"/>
        </w:rPr>
        <w:t>DURATION AND EXERCISE OF COMMON STOCK WARRANTS</w:t>
      </w:r>
    </w:p>
    <w:p>
      <w:pPr>
        <w:spacing w:after="0" w:line="167" w:lineRule="exact"/>
        <w:rPr>
          <w:sz w:val="20"/>
          <w:szCs w:val="20"/>
          <w:color w:val="auto"/>
        </w:rPr>
      </w:pPr>
    </w:p>
    <w:p>
      <w:pPr>
        <w:ind w:left="440"/>
        <w:spacing w:after="0"/>
        <w:tabs>
          <w:tab w:leader="none" w:pos="1820" w:val="left"/>
        </w:tabs>
        <w:rPr>
          <w:sz w:val="20"/>
          <w:szCs w:val="20"/>
          <w:color w:val="auto"/>
        </w:rPr>
      </w:pPr>
      <w:r>
        <w:rPr>
          <w:rFonts w:ascii="Courier New" w:cs="Courier New" w:eastAsia="Courier New" w:hAnsi="Courier New"/>
          <w:sz w:val="15"/>
          <w:szCs w:val="15"/>
          <w:color w:val="auto"/>
        </w:rPr>
        <w:t>SECTION 2.01.</w:t>
      </w:r>
      <w:r>
        <w:rPr>
          <w:sz w:val="20"/>
          <w:szCs w:val="20"/>
          <w:color w:val="auto"/>
        </w:rPr>
        <w:tab/>
      </w:r>
      <w:r>
        <w:rPr>
          <w:rFonts w:ascii="Courier New" w:cs="Courier New" w:eastAsia="Courier New" w:hAnsi="Courier New"/>
          <w:sz w:val="14"/>
          <w:szCs w:val="14"/>
          <w:color w:val="auto"/>
        </w:rPr>
        <w:t>Duration of Common Stock Warrants.</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firstLine="1312"/>
        <w:spacing w:after="0" w:line="255" w:lineRule="auto"/>
        <w:rPr>
          <w:sz w:val="20"/>
          <w:szCs w:val="20"/>
          <w:color w:val="auto"/>
        </w:rPr>
      </w:pPr>
      <w:r>
        <w:rPr>
          <w:rFonts w:ascii="Courier New" w:cs="Courier New" w:eastAsia="Courier New" w:hAnsi="Courier New"/>
          <w:sz w:val="14"/>
          <w:szCs w:val="14"/>
          <w:color w:val="auto"/>
        </w:rPr>
        <w:t>Each Common Stock Warrant may be exercised at the time or times, or during the period or periods, provided by or pursuant to the Board Resolution relating thereto and specified in the Common Stock Warrant Certificate evidencing such Common Stock Warrant. Each Common Stock Warrant not exercised at or before 5:00 P.M., New York City time, on its Expiration Date shall become void, and all rights of the Holder of such Common Stock Warrant thereunder and under this Agreement shall cease; provided, however that the Company reserves the right to, and may, in its sole discretion, at any time and from time to time, at such time or times as the Company so determines, extend the Expiration Date of the Common Stock Warrants for such periods of time as it chooses; provided further that in no case may the Expiration Date of the Common Stock Warrants be extended beyond [ ] years from the original Expiration Date. To extend the Expiration Date, the Company shall, at least 20 days prior to the</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24" w:right="1440" w:bottom="1440" w:gutter="0" w:footer="0" w:header="0"/>
        </w:sectPr>
      </w:pPr>
    </w:p>
    <w:bookmarkStart w:id="69" w:name="page70"/>
    <w:bookmarkEnd w:id="69"/>
    <w:p>
      <w:pPr>
        <w:ind w:right="3499"/>
        <w:spacing w:after="0" w:line="235" w:lineRule="auto"/>
        <w:rPr>
          <w:sz w:val="20"/>
          <w:szCs w:val="20"/>
          <w:color w:val="auto"/>
        </w:rPr>
      </w:pPr>
      <w:r>
        <w:rPr>
          <w:rFonts w:ascii="Courier New" w:cs="Courier New" w:eastAsia="Courier New" w:hAnsi="Courier New"/>
          <w:sz w:val="15"/>
          <w:szCs w:val="15"/>
          <w:color w:val="auto"/>
        </w:rPr>
        <w:t>Expiration Date, cause to be mailed to the Common Stock Warrant Agent and the Holders in accordance with the provisions of Section 5.04(e) hereof a notice stating that the Expiration Date has been extended and setting forth the new Expiration Date.</w:t>
      </w:r>
    </w:p>
    <w:p>
      <w:pPr>
        <w:spacing w:after="0" w:line="169" w:lineRule="exact"/>
        <w:rPr>
          <w:sz w:val="20"/>
          <w:szCs w:val="20"/>
          <w:color w:val="auto"/>
        </w:rPr>
      </w:pPr>
    </w:p>
    <w:p>
      <w:pPr>
        <w:ind w:left="440"/>
        <w:spacing w:after="0"/>
        <w:tabs>
          <w:tab w:leader="none" w:pos="1820" w:val="left"/>
        </w:tabs>
        <w:rPr>
          <w:sz w:val="20"/>
          <w:szCs w:val="20"/>
          <w:color w:val="auto"/>
        </w:rPr>
      </w:pPr>
      <w:r>
        <w:rPr>
          <w:rFonts w:ascii="Courier New" w:cs="Courier New" w:eastAsia="Courier New" w:hAnsi="Courier New"/>
          <w:sz w:val="15"/>
          <w:szCs w:val="15"/>
          <w:color w:val="auto"/>
        </w:rPr>
        <w:t>SECTION 2.02.</w:t>
      </w:r>
      <w:r>
        <w:rPr>
          <w:sz w:val="20"/>
          <w:szCs w:val="20"/>
          <w:color w:val="auto"/>
        </w:rPr>
        <w:tab/>
      </w:r>
      <w:r>
        <w:rPr>
          <w:rFonts w:ascii="Courier New" w:cs="Courier New" w:eastAsia="Courier New" w:hAnsi="Courier New"/>
          <w:sz w:val="14"/>
          <w:szCs w:val="14"/>
          <w:color w:val="auto"/>
        </w:rPr>
        <w:t>Exercise of Common Stock Warrants.</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firstLine="1322"/>
        <w:spacing w:after="0" w:line="237" w:lineRule="auto"/>
        <w:tabs>
          <w:tab w:leader="none" w:pos="1662"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shall have the right, at its option, to exercise such Common Stock Warrant and, subject to Subsection (f) of this Section 2.02, purchase the number of shares of Common Stock provided for therein at the time or times or during the period or periods referred to in Section 2.01 and specified in the Common Stock Warrant Certificate evidencing such Common Stock Warrant. No fewer than the minimum number of Common Stock Warrants as set forth in the Common Stock Warrant Certificate may be exercised by or on behalf of any one Holder at any one time. Except as may be provided in a Common Stock Warrant Certificate, a Common Stock Warrant may be exercised by completing the form of election to purchase set forth on the reverse side of the Common Stock Warrant Certificate, by duly executing the same, and by delivering the same, together with payment in full of the Common Stock Warrant Price, in lawful money of the United States of America, in cash or by certified or official bank check or by bank wire transfer, or in property, in the manner provided by or pursuant to the Board Resolution relative thereto and specified in the Common Stock Warrant Certificate evidencing such Common Stock Warrant, to the Common Stock Warrant Agent. Except as may be provided in a Common Stock Warrant Certificate, the date on which such Common Stock Warrant Certificate and payment are received by the Common Stock Warrant Agent as aforesaid shall be deemed to be the date on which the Common Stock Warrant is exercised and the relevant shares of Common Stock are issued.</w:t>
      </w:r>
    </w:p>
    <w:p>
      <w:pPr>
        <w:spacing w:after="0" w:line="176" w:lineRule="exact"/>
        <w:rPr>
          <w:rFonts w:ascii="Courier New" w:cs="Courier New" w:eastAsia="Courier New" w:hAnsi="Courier New"/>
          <w:sz w:val="15"/>
          <w:szCs w:val="15"/>
          <w:color w:val="auto"/>
        </w:rPr>
      </w:pPr>
    </w:p>
    <w:p>
      <w:pPr>
        <w:ind w:right="3319" w:firstLine="1322"/>
        <w:spacing w:after="0" w:line="236" w:lineRule="auto"/>
        <w:tabs>
          <w:tab w:leader="none" w:pos="1662"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exercise of a Common Stock Warrant, the Company shall issue, to or upon the order of the Holder of such Common Stock Warrant, the shares of Common Stock to which such Holder is entitled, registered, in the case of shares of Common Stock in registered form, in such name or names as may be directed by such Holder.</w:t>
      </w:r>
    </w:p>
    <w:p>
      <w:pPr>
        <w:spacing w:after="0" w:line="173" w:lineRule="exact"/>
        <w:rPr>
          <w:rFonts w:ascii="Courier New" w:cs="Courier New" w:eastAsia="Courier New" w:hAnsi="Courier New"/>
          <w:sz w:val="15"/>
          <w:szCs w:val="15"/>
          <w:color w:val="auto"/>
        </w:rPr>
      </w:pPr>
    </w:p>
    <w:p>
      <w:pPr>
        <w:ind w:right="3239" w:firstLine="1322"/>
        <w:spacing w:after="0" w:line="236" w:lineRule="auto"/>
        <w:tabs>
          <w:tab w:leader="none" w:pos="1662"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fewer than all of the Common Stock Warrants evidenced by a Common Stock Warrant Certificate are exercised, the Company shall execute, and the Common Stock Warrant Agent shall countersign and deliver, a new Common Stock Warrant Certificate evidencing the number of Common Stock Warrants remaining unexercised.</w:t>
      </w:r>
    </w:p>
    <w:p>
      <w:pPr>
        <w:spacing w:after="0" w:line="173" w:lineRule="exact"/>
        <w:rPr>
          <w:rFonts w:ascii="Courier New" w:cs="Courier New" w:eastAsia="Courier New" w:hAnsi="Courier New"/>
          <w:sz w:val="15"/>
          <w:szCs w:val="15"/>
          <w:color w:val="auto"/>
        </w:rPr>
      </w:pPr>
    </w:p>
    <w:p>
      <w:pPr>
        <w:ind w:right="3239" w:firstLine="1322"/>
        <w:spacing w:after="0" w:line="236" w:lineRule="auto"/>
        <w:tabs>
          <w:tab w:leader="none" w:pos="1662"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Common Stock Warrant Agent shall deposit all funds received by it in payment of the Common Stock Warrant Price for Common Stock Warrants in the account of the Company maintained with it for such purpose and shall advise the Company by telephone by 5:00 P.M., New York City time, of each day on which a payment of the Common Stock Warrant Price for Common Stock Warrants is received of the amount so deposited in its account. The Common Stock Warrant Agent shall promptly confirm such telephone advice in writing to the Company.</w:t>
      </w:r>
    </w:p>
    <w:p>
      <w:pPr>
        <w:spacing w:after="0" w:line="177" w:lineRule="exact"/>
        <w:rPr>
          <w:rFonts w:ascii="Courier New" w:cs="Courier New" w:eastAsia="Courier New" w:hAnsi="Courier New"/>
          <w:sz w:val="15"/>
          <w:szCs w:val="15"/>
          <w:color w:val="auto"/>
        </w:rPr>
      </w:pPr>
    </w:p>
    <w:p>
      <w:pPr>
        <w:ind w:right="3239" w:firstLine="1322"/>
        <w:spacing w:after="0" w:line="256" w:lineRule="auto"/>
        <w:tabs>
          <w:tab w:leader="none" w:pos="1662"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Common Stock Warrant Agent shall, from time to time, as promptly as practicable, advise the Company of (1) the number of Common Stock Warrants of each title exercised as provided herein, (2) the instructions of each Holder with respect to delivery of the Common Stock issued upon exercise of such Common Stock Warrants to which such Holder is entitled upon such exercise,</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4" w:right="1440" w:bottom="1440" w:gutter="0" w:footer="0" w:header="0"/>
        </w:sectPr>
      </w:pPr>
    </w:p>
    <w:bookmarkStart w:id="70" w:name="page71"/>
    <w:bookmarkEnd w:id="70"/>
    <w:p>
      <w:pPr>
        <w:ind w:right="3399"/>
        <w:spacing w:after="0" w:line="235" w:lineRule="auto"/>
        <w:rPr>
          <w:sz w:val="20"/>
          <w:szCs w:val="20"/>
          <w:color w:val="auto"/>
        </w:rPr>
      </w:pPr>
      <w:r>
        <w:rPr>
          <w:rFonts w:ascii="Courier New" w:cs="Courier New" w:eastAsia="Courier New" w:hAnsi="Courier New"/>
          <w:sz w:val="15"/>
          <w:szCs w:val="15"/>
          <w:color w:val="auto"/>
        </w:rPr>
        <w:t>and (3) such other information as the Company or such Trustee shall reasonably require. Such notice may be given by telephone to be promptly confirmed in writing.</w:t>
      </w:r>
    </w:p>
    <w:p>
      <w:pPr>
        <w:spacing w:after="0" w:line="174" w:lineRule="exact"/>
        <w:rPr>
          <w:sz w:val="20"/>
          <w:szCs w:val="20"/>
          <w:color w:val="auto"/>
        </w:rPr>
      </w:pPr>
    </w:p>
    <w:p>
      <w:pPr>
        <w:ind w:right="3239" w:firstLine="1322"/>
        <w:spacing w:after="0" w:line="236" w:lineRule="auto"/>
        <w:tabs>
          <w:tab w:leader="none" w:pos="1662"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and not the Company, shall be required to pay any stamp or other tax or other governmental charge that may be imposed in connection with any issue of the Common Stock to a person other than the Holder, and in the event that any such issue is involved, the Company shall not be required to issue any Common Stock (and such person's purchase of the shares of Common Stock issued upon the exercise of such Holder's Common Stock Warrant shall not be deemed to have been consummated) until such tax or other charge shall have been paid or it has been established to the Company's satisfaction that no such tax or other charge is due.</w:t>
      </w:r>
    </w:p>
    <w:p>
      <w:pPr>
        <w:spacing w:after="0" w:line="172" w:lineRule="exact"/>
        <w:rPr>
          <w:sz w:val="20"/>
          <w:szCs w:val="20"/>
          <w:color w:val="auto"/>
        </w:rPr>
      </w:pPr>
    </w:p>
    <w:p>
      <w:pPr>
        <w:ind w:left="440"/>
        <w:spacing w:after="0"/>
        <w:tabs>
          <w:tab w:leader="none" w:pos="1820" w:val="left"/>
        </w:tabs>
        <w:rPr>
          <w:sz w:val="20"/>
          <w:szCs w:val="20"/>
          <w:color w:val="auto"/>
        </w:rPr>
      </w:pPr>
      <w:r>
        <w:rPr>
          <w:rFonts w:ascii="Courier New" w:cs="Courier New" w:eastAsia="Courier New" w:hAnsi="Courier New"/>
          <w:sz w:val="15"/>
          <w:szCs w:val="15"/>
          <w:color w:val="auto"/>
        </w:rPr>
        <w:t>SECTION 2.03.</w:t>
      </w:r>
      <w:r>
        <w:rPr>
          <w:sz w:val="20"/>
          <w:szCs w:val="20"/>
          <w:color w:val="auto"/>
        </w:rPr>
        <w:tab/>
      </w:r>
      <w:r>
        <w:rPr>
          <w:rFonts w:ascii="Courier New" w:cs="Courier New" w:eastAsia="Courier New" w:hAnsi="Courier New"/>
          <w:sz w:val="14"/>
          <w:szCs w:val="14"/>
          <w:color w:val="auto"/>
        </w:rPr>
        <w:t>Common Stock Warrant Adjustments.</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99" w:firstLine="1312"/>
        <w:spacing w:after="0" w:line="258" w:lineRule="auto"/>
        <w:rPr>
          <w:sz w:val="20"/>
          <w:szCs w:val="20"/>
          <w:color w:val="auto"/>
        </w:rPr>
      </w:pPr>
      <w:r>
        <w:rPr>
          <w:rFonts w:ascii="Courier New" w:cs="Courier New" w:eastAsia="Courier New" w:hAnsi="Courier New"/>
          <w:sz w:val="14"/>
          <w:szCs w:val="14"/>
          <w:color w:val="auto"/>
        </w:rPr>
        <w:t>[(a) The terms and conditions, if any, on which the exercise price of and/or the number of shares of Common Stock covered by a Common Stock Warrant are subject to adjustments will be set forth in this Section 2.03.]</w:t>
      </w:r>
    </w:p>
    <w:p>
      <w:pPr>
        <w:spacing w:after="0" w:line="161" w:lineRule="exact"/>
        <w:rPr>
          <w:sz w:val="20"/>
          <w:szCs w:val="20"/>
          <w:color w:val="auto"/>
        </w:rPr>
      </w:pPr>
    </w:p>
    <w:p>
      <w:pPr>
        <w:ind w:right="3239" w:firstLine="1322"/>
        <w:spacing w:after="0" w:line="236" w:lineRule="auto"/>
        <w:tabs>
          <w:tab w:leader="none" w:pos="1662"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[any exceptions that may be set forth in the prospectus supplement], no adjustment in the number of shares of Common Stock purchasable hereunder shall be required unless such adjustment would require an increase or decrease of at least one percent (1%) in the number of shares of Common Stock purchasable upon the exercise of each Common Stock Warrant; provided, however, that any adjustments which by reason of this paragraph (b) are not required to be made shall be carried forward and taken into account in any subsequent adjustment. All calculations shall be made to the nearest cent and to the nearest one-hundredth of a share of Common Stock, as the case may be.</w:t>
      </w:r>
    </w:p>
    <w:p>
      <w:pPr>
        <w:spacing w:after="0" w:line="179" w:lineRule="exact"/>
        <w:rPr>
          <w:rFonts w:ascii="Courier New" w:cs="Courier New" w:eastAsia="Courier New" w:hAnsi="Courier New"/>
          <w:sz w:val="15"/>
          <w:szCs w:val="15"/>
          <w:color w:val="auto"/>
        </w:rPr>
      </w:pPr>
    </w:p>
    <w:p>
      <w:pPr>
        <w:ind w:right="3239" w:firstLine="1322"/>
        <w:spacing w:after="0" w:line="237" w:lineRule="auto"/>
        <w:tabs>
          <w:tab w:leader="none" w:pos="1662"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any adjustment of the number of shares of Common Stock purchasable upon exercise of each Common Stock Warrant, the Common Stock Warrant Price or the number of Common Stock Warrants outstanding, the Company shall, within 20 calendar days thereafter, (1) cause to be filed with the Common Stock Warrant Agent a certificate of a firm of independent public accountants of recognized standing selected by the Company (who may be the regular auditors of the Company) setting forth the Common Stock Warrant Price and either the number of shares of Common Stock purchasable upon exercise of each Common Stock Warrant or the additional number of Common Stock Warrants to be issued for each previously outstanding Common Stock Warrant, as the case may be, after such adjustment, and setting forth in reasonable detail the method of calculation and the facts upon which such adjustment was made, which certificate shall be conclusive evidence of the correctness of the matters set forth therein, and (2) cause to be given to each Holder at such Holder's address appearing on the Common Stock Warrant Register written notice of such adjustments by first class mail, postage prepaid.</w:t>
      </w:r>
    </w:p>
    <w:p>
      <w:pPr>
        <w:spacing w:after="0" w:line="168" w:lineRule="exact"/>
        <w:rPr>
          <w:sz w:val="20"/>
          <w:szCs w:val="20"/>
          <w:color w:val="auto"/>
        </w:rPr>
      </w:pPr>
    </w:p>
    <w:p>
      <w:pPr>
        <w:ind w:left="440"/>
        <w:spacing w:after="0"/>
        <w:tabs>
          <w:tab w:leader="none" w:pos="1820" w:val="left"/>
        </w:tabs>
        <w:rPr>
          <w:sz w:val="20"/>
          <w:szCs w:val="20"/>
          <w:color w:val="auto"/>
        </w:rPr>
      </w:pPr>
      <w:r>
        <w:rPr>
          <w:rFonts w:ascii="Courier New" w:cs="Courier New" w:eastAsia="Courier New" w:hAnsi="Courier New"/>
          <w:sz w:val="15"/>
          <w:szCs w:val="15"/>
          <w:color w:val="auto"/>
        </w:rPr>
        <w:t>SECTION 2.04.</w:t>
      </w:r>
      <w:r>
        <w:rPr>
          <w:sz w:val="20"/>
          <w:szCs w:val="20"/>
          <w:color w:val="auto"/>
        </w:rPr>
        <w:tab/>
      </w:r>
      <w:r>
        <w:rPr>
          <w:rFonts w:ascii="Courier New" w:cs="Courier New" w:eastAsia="Courier New" w:hAnsi="Courier New"/>
          <w:sz w:val="14"/>
          <w:szCs w:val="14"/>
          <w:color w:val="auto"/>
        </w:rPr>
        <w:t>Fractional Common Stock.</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99" w:firstLine="1322"/>
        <w:spacing w:after="0" w:line="256" w:lineRule="auto"/>
        <w:tabs>
          <w:tab w:leader="none" w:pos="1662"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adjustment pursuant to Section 2.03 in the number of shares of Common Stock purchasable upon the exercise of a Common Stock Warrant, the Company shall not be required to issue fractions of Common Stock upon exercise of the Common Stock Warrants or to distribute certificates</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4" w:right="1440" w:bottom="1440" w:gutter="0" w:footer="0" w:header="0"/>
        </w:sectPr>
      </w:pPr>
    </w:p>
    <w:bookmarkStart w:id="71" w:name="page72"/>
    <w:bookmarkEnd w:id="71"/>
    <w:p>
      <w:pPr>
        <w:ind w:right="3399"/>
        <w:spacing w:after="0" w:line="236" w:lineRule="auto"/>
        <w:rPr>
          <w:sz w:val="20"/>
          <w:szCs w:val="20"/>
          <w:color w:val="auto"/>
        </w:rPr>
      </w:pPr>
      <w:r>
        <w:rPr>
          <w:rFonts w:ascii="Courier New" w:cs="Courier New" w:eastAsia="Courier New" w:hAnsi="Courier New"/>
          <w:sz w:val="15"/>
          <w:szCs w:val="15"/>
          <w:color w:val="auto"/>
        </w:rPr>
        <w:t>which evidence fractional shares of Common Stock. In lieu of fractional shares of Common Stock, there shall be paid to the Holders at the time the Holders' Common Stock Warrants are exercised as herein provided an amount in cash equal to the fraction of the current market value of a share of Common Stock. For purposes of this Section 2.04, the current market value of a share of Common Stock shall be the closing price of a share of Common Stock (as determined pursuant to Subsection (b) below) for the trading day immediately prior to the date of such exercise.</w:t>
      </w:r>
    </w:p>
    <w:p>
      <w:pPr>
        <w:spacing w:after="0" w:line="177" w:lineRule="exact"/>
        <w:rPr>
          <w:sz w:val="20"/>
          <w:szCs w:val="20"/>
          <w:color w:val="auto"/>
        </w:rPr>
      </w:pPr>
    </w:p>
    <w:p>
      <w:pPr>
        <w:ind w:right="3239" w:firstLine="1322"/>
        <w:spacing w:after="0" w:line="255" w:lineRule="auto"/>
        <w:tabs>
          <w:tab w:leader="none" w:pos="1662"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closing price for each day shall be the last sale price, regular way, or, if no such sale takes place on such day, the average of the closing bid and asked prices, regular way, for such day, in either case as reported in the principal consolidated transaction reporting system with respect to securities listed or admitted to trading on the New York Stock Exchange or, if the Common Stock is not listed or admitted to trading on the New York Stock Exchange, as reported on the principal consolidated transaction reporting system with respect to securities listed on the principal national securities exchange on which the Common Stock is listed or admitted to trading, or if the Common Stock is not listed or admitted to trading on any national securities exchange, as reported on the Nasdaq National Market.</w:t>
      </w:r>
    </w:p>
    <w:p>
      <w:pPr>
        <w:spacing w:after="0" w:line="158"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III</w:t>
      </w:r>
    </w:p>
    <w:p>
      <w:pPr>
        <w:ind w:left="2020"/>
        <w:spacing w:after="0" w:line="237" w:lineRule="auto"/>
        <w:rPr>
          <w:sz w:val="20"/>
          <w:szCs w:val="20"/>
          <w:color w:val="auto"/>
        </w:rPr>
      </w:pPr>
      <w:r>
        <w:rPr>
          <w:rFonts w:ascii="Courier New" w:cs="Courier New" w:eastAsia="Courier New" w:hAnsi="Courier New"/>
          <w:sz w:val="15"/>
          <w:szCs w:val="15"/>
          <w:color w:val="auto"/>
        </w:rPr>
        <w:t>OTHER PROVISIONS RELATING TO RIGHTS</w:t>
      </w:r>
    </w:p>
    <w:p>
      <w:pPr>
        <w:ind w:left="2020"/>
        <w:spacing w:after="0" w:line="238" w:lineRule="auto"/>
        <w:rPr>
          <w:sz w:val="20"/>
          <w:szCs w:val="20"/>
          <w:color w:val="auto"/>
        </w:rPr>
      </w:pPr>
      <w:r>
        <w:rPr>
          <w:rFonts w:ascii="Courier New" w:cs="Courier New" w:eastAsia="Courier New" w:hAnsi="Courier New"/>
          <w:sz w:val="15"/>
          <w:szCs w:val="15"/>
          <w:color w:val="auto"/>
        </w:rPr>
        <w:t>OF HOLDERS OF COMMON STOCK WARRANTS</w:t>
      </w:r>
    </w:p>
    <w:p>
      <w:pPr>
        <w:spacing w:after="0" w:line="167" w:lineRule="exact"/>
        <w:rPr>
          <w:sz w:val="20"/>
          <w:szCs w:val="20"/>
          <w:color w:val="auto"/>
        </w:rPr>
      </w:pPr>
    </w:p>
    <w:p>
      <w:pPr>
        <w:ind w:left="440"/>
        <w:spacing w:after="0"/>
        <w:tabs>
          <w:tab w:leader="none" w:pos="1820" w:val="left"/>
        </w:tabs>
        <w:rPr>
          <w:sz w:val="20"/>
          <w:szCs w:val="20"/>
          <w:color w:val="auto"/>
        </w:rPr>
      </w:pPr>
      <w:r>
        <w:rPr>
          <w:rFonts w:ascii="Courier New" w:cs="Courier New" w:eastAsia="Courier New" w:hAnsi="Courier New"/>
          <w:sz w:val="15"/>
          <w:szCs w:val="15"/>
          <w:color w:val="auto"/>
        </w:rPr>
        <w:t>SECTION 3.01.</w:t>
      </w:r>
      <w:r>
        <w:rPr>
          <w:sz w:val="20"/>
          <w:szCs w:val="20"/>
          <w:color w:val="auto"/>
        </w:rPr>
        <w:tab/>
      </w:r>
      <w:r>
        <w:rPr>
          <w:rFonts w:ascii="Courier New" w:cs="Courier New" w:eastAsia="Courier New" w:hAnsi="Courier New"/>
          <w:sz w:val="14"/>
          <w:szCs w:val="14"/>
          <w:color w:val="auto"/>
        </w:rPr>
        <w:t>No Rights as Holder of Common Stock.</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right="3839" w:firstLine="1312"/>
        <w:spacing w:after="0" w:line="261" w:lineRule="auto"/>
        <w:rPr>
          <w:sz w:val="20"/>
          <w:szCs w:val="20"/>
          <w:color w:val="auto"/>
        </w:rPr>
      </w:pPr>
      <w:r>
        <w:rPr>
          <w:rFonts w:ascii="Courier New" w:cs="Courier New" w:eastAsia="Courier New" w:hAnsi="Courier New"/>
          <w:sz w:val="14"/>
          <w:szCs w:val="14"/>
          <w:color w:val="auto"/>
        </w:rPr>
        <w:t>A Holder of a Common Stock Warrant or Common Stock Warrant Certificate shall not have any of the rights of a holder of Common Stock.</w:t>
      </w:r>
    </w:p>
    <w:p>
      <w:pPr>
        <w:spacing w:after="0" w:line="153" w:lineRule="exact"/>
        <w:rPr>
          <w:sz w:val="20"/>
          <w:szCs w:val="20"/>
          <w:color w:val="auto"/>
        </w:rPr>
      </w:pPr>
    </w:p>
    <w:p>
      <w:pPr>
        <w:ind w:left="440"/>
        <w:spacing w:after="0"/>
        <w:tabs>
          <w:tab w:leader="none" w:pos="1820" w:val="left"/>
        </w:tabs>
        <w:rPr>
          <w:sz w:val="20"/>
          <w:szCs w:val="20"/>
          <w:color w:val="auto"/>
        </w:rPr>
      </w:pPr>
      <w:r>
        <w:rPr>
          <w:rFonts w:ascii="Courier New" w:cs="Courier New" w:eastAsia="Courier New" w:hAnsi="Courier New"/>
          <w:sz w:val="15"/>
          <w:szCs w:val="15"/>
          <w:color w:val="auto"/>
        </w:rPr>
        <w:t>SECTION 3.02.</w:t>
      </w:r>
      <w:r>
        <w:rPr>
          <w:sz w:val="20"/>
          <w:szCs w:val="20"/>
          <w:color w:val="auto"/>
        </w:rPr>
        <w:tab/>
      </w:r>
      <w:r>
        <w:rPr>
          <w:rFonts w:ascii="Courier New" w:cs="Courier New" w:eastAsia="Courier New" w:hAnsi="Courier New"/>
          <w:sz w:val="14"/>
          <w:szCs w:val="14"/>
          <w:color w:val="auto"/>
        </w:rPr>
        <w:t>Lost, Stolen, Destroyed or Mutilated Certificates.</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firstLine="1312"/>
        <w:spacing w:after="0" w:line="254" w:lineRule="auto"/>
        <w:rPr>
          <w:sz w:val="20"/>
          <w:szCs w:val="20"/>
          <w:color w:val="auto"/>
        </w:rPr>
      </w:pPr>
      <w:r>
        <w:rPr>
          <w:rFonts w:ascii="Courier New" w:cs="Courier New" w:eastAsia="Courier New" w:hAnsi="Courier New"/>
          <w:sz w:val="14"/>
          <w:szCs w:val="14"/>
          <w:color w:val="auto"/>
        </w:rPr>
        <w:t>Upon receipt by the Company and the Common Stock Warrant Agent of evidence reasonably satisfactory to them of the ownership of and the loss, theft, destruction or mutilation of any Common Stock Warrant Certificate and of indemnity (other than in connection with any mutilated Common Stock Warrant Certificates surrendered to the Common Stock Warrant Agent for cancellation) reasonably satisfactory to them, the Company shall execute, and the Common Stock Warrant Agent shall countersign and deliver, in exchange for or in lieu of each lost, stolen, destroyed or mutilated Common Stock Warrant Certificate, a new Common Stock Warrant Certificate evidencing a like number of Common Stock Warrants of the same title. Upon the issuance of a new Common Stock Warrant Certificate under this Section 3.02, the Company may require the payment of a sum sufficient to cover any stamp or other similar tax or other governmental charge that may be imposed in connection therewith and any other expenses (including the fees and expenses of the Common Stock Warrant Agent) in connection therewith. Every substitute Common Stock Warrant Certificate executed and delivered pursuant to this Section in lieu of any lost, stolen or destroyed Common Stock Warrant Certificate shall be at any time enforceable by the Holder thereof, and shall be entitled to the benefits of this Agreement equally and proportionately with any and all other Common Stock Warrant Certificates, duly executed and delivered hereunder. The provisions of this Section are exclusive</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24" w:right="1440" w:bottom="1440" w:gutter="0" w:footer="0" w:header="0"/>
        </w:sectPr>
      </w:pPr>
    </w:p>
    <w:bookmarkStart w:id="72" w:name="page73"/>
    <w:bookmarkEnd w:id="72"/>
    <w:p>
      <w:pPr>
        <w:ind w:right="3319"/>
        <w:spacing w:after="0" w:line="235" w:lineRule="auto"/>
        <w:rPr>
          <w:sz w:val="20"/>
          <w:szCs w:val="20"/>
          <w:color w:val="auto"/>
        </w:rPr>
      </w:pPr>
      <w:r>
        <w:rPr>
          <w:rFonts w:ascii="Courier New" w:cs="Courier New" w:eastAsia="Courier New" w:hAnsi="Courier New"/>
          <w:sz w:val="15"/>
          <w:szCs w:val="15"/>
          <w:color w:val="auto"/>
        </w:rPr>
        <w:t>and shall preclude (to the extent lawful) all other rights and remedies with respect to the replacement of lost, stolen, destroyed or mutilated Common Stock Warrant Certificates.</w:t>
      </w:r>
    </w:p>
    <w:p>
      <w:pPr>
        <w:spacing w:after="0" w:line="167" w:lineRule="exact"/>
        <w:rPr>
          <w:sz w:val="20"/>
          <w:szCs w:val="20"/>
          <w:color w:val="auto"/>
        </w:rPr>
      </w:pPr>
    </w:p>
    <w:p>
      <w:pPr>
        <w:ind w:left="440"/>
        <w:spacing w:after="0"/>
        <w:tabs>
          <w:tab w:leader="none" w:pos="1820" w:val="left"/>
        </w:tabs>
        <w:rPr>
          <w:sz w:val="20"/>
          <w:szCs w:val="20"/>
          <w:color w:val="auto"/>
        </w:rPr>
      </w:pPr>
      <w:r>
        <w:rPr>
          <w:rFonts w:ascii="Courier New" w:cs="Courier New" w:eastAsia="Courier New" w:hAnsi="Courier New"/>
          <w:sz w:val="15"/>
          <w:szCs w:val="15"/>
          <w:color w:val="auto"/>
        </w:rPr>
        <w:t>SECTION 3.03.</w:t>
      </w:r>
      <w:r>
        <w:rPr>
          <w:sz w:val="20"/>
          <w:szCs w:val="20"/>
          <w:color w:val="auto"/>
        </w:rPr>
        <w:tab/>
      </w:r>
      <w:r>
        <w:rPr>
          <w:rFonts w:ascii="Courier New" w:cs="Courier New" w:eastAsia="Courier New" w:hAnsi="Courier New"/>
          <w:sz w:val="14"/>
          <w:szCs w:val="14"/>
          <w:color w:val="auto"/>
        </w:rPr>
        <w:t>Holders of Common Stock Warrants May Enforce Rights.</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99" w:firstLine="1312"/>
        <w:spacing w:after="0" w:line="236" w:lineRule="auto"/>
        <w:rPr>
          <w:sz w:val="20"/>
          <w:szCs w:val="20"/>
          <w:color w:val="auto"/>
        </w:rPr>
      </w:pPr>
      <w:r>
        <w:rPr>
          <w:rFonts w:ascii="Courier New" w:cs="Courier New" w:eastAsia="Courier New" w:hAnsi="Courier New"/>
          <w:sz w:val="15"/>
          <w:szCs w:val="15"/>
          <w:color w:val="auto"/>
        </w:rPr>
        <w:t>Notwithstanding any of the provisions of this Agreement, any Holder may, without the consent of the Common Stock Warrant Agent, enforce and may institute and maintain any suit, action or proceeding against the Company suitable to enforce, or otherwise in respect of, his right to exercise his Common Stock Warrants as provided in the Common Stock Warrants and in this Agreement.</w:t>
      </w:r>
    </w:p>
    <w:p>
      <w:pPr>
        <w:spacing w:after="0" w:line="168" w:lineRule="exact"/>
        <w:rPr>
          <w:sz w:val="20"/>
          <w:szCs w:val="20"/>
          <w:color w:val="auto"/>
        </w:rPr>
      </w:pPr>
    </w:p>
    <w:p>
      <w:pPr>
        <w:ind w:left="440"/>
        <w:spacing w:after="0"/>
        <w:tabs>
          <w:tab w:leader="none" w:pos="1820" w:val="left"/>
        </w:tabs>
        <w:rPr>
          <w:sz w:val="20"/>
          <w:szCs w:val="20"/>
          <w:color w:val="auto"/>
        </w:rPr>
      </w:pPr>
      <w:r>
        <w:rPr>
          <w:rFonts w:ascii="Courier New" w:cs="Courier New" w:eastAsia="Courier New" w:hAnsi="Courier New"/>
          <w:sz w:val="15"/>
          <w:szCs w:val="15"/>
          <w:color w:val="auto"/>
        </w:rPr>
        <w:t>SECTION 3.04.</w:t>
      </w:r>
      <w:r>
        <w:rPr>
          <w:sz w:val="20"/>
          <w:szCs w:val="20"/>
          <w:color w:val="auto"/>
        </w:rPr>
        <w:tab/>
      </w:r>
      <w:r>
        <w:rPr>
          <w:rFonts w:ascii="Courier New" w:cs="Courier New" w:eastAsia="Courier New" w:hAnsi="Courier New"/>
          <w:sz w:val="14"/>
          <w:szCs w:val="14"/>
          <w:color w:val="auto"/>
        </w:rPr>
        <w:t>Merger, Consolidation, Sale, Transfer or Conveyance.</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firstLine="1322"/>
        <w:spacing w:after="0" w:line="254" w:lineRule="auto"/>
        <w:tabs>
          <w:tab w:leader="none" w:pos="1662"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any of the following shall occur while any Common Stock Warrants are outstanding: (1) any reclassification or change of the outstanding shares of Common Stock; or (2) any consolidation or merger to which the Company is party (other than a consolidation or a merger in which the Company is the continuing corporation and which does not result in any reclassification of, or change in, the outstanding shares of Common Stock issuable upon exercise of the Common Stock Warrants); or (3) any sale, conveyance or lease to another corporation of the property of the Company as an entirety or substantially as an entirety; then the Company, or such successor or purchasing corporation, as the case may be, shall make appropriate provision by amendment of this Agreement or otherwise so that the Holders of the Common Stock Warrants then outstanding shall have the right at any time thereafter, upon exercise of such Common Stock Warrants, to purchase the kind and amount of shares of stock and other securities and property receivable upon such a reclassification, change, consolidation, merger, sale, conveyance or lease as would be received by a holder of the number of shares of Common Stock issuable upon exercise of such Common Stock Warrant immediately prior to such reclassification, change, consolidation, merger, sale, conveyance or lease, and, in the case of a consolidation, merger, sale, conveyance or lease as contemplated in this Section 3.04(a), the Company shall thereupon be relieved of any further obligation hereunder or under the Common Stock Warrants, and the Company as the predecessor corporation may thereupon or at any time thereafter be dissolved, wound up or liquidated. Such successor or assuming corporation thereupon may cause to be signed, and may issue either in its own name or in the name of the Company, any or all of the Common Stock Warrant Certificates issuable hereunder which theretofore have not been signed by the Company, and may execute and deliver common stock in its own name, in fulfillment of its obligations to deliver Common Stock upon exercise of the Common Stock Warrants. All the Common Stock Warrants so issued shall in all respects have the same legal rank and benefit under this Agreement as the Common Stock Warrants theretofore or thereafter issued in accordance with the terms of this Agreement as though all of such Common Stock Warrants had been issued at the date of the execution hereof. In case of any such reclassification, change, consolidation, merger, conveyance, transfer or lease, such changes in phraseology and form (but not in substance) may be made in the Common Stock Warrants thereafter to be issued as may be appropriate.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24" w:right="1440" w:bottom="1440" w:gutter="0" w:footer="0" w:header="0"/>
        </w:sectPr>
      </w:pPr>
    </w:p>
    <w:bookmarkStart w:id="73" w:name="page74"/>
    <w:bookmarkEnd w:id="73"/>
    <w:p>
      <w:pPr>
        <w:ind w:right="3319" w:firstLine="1322"/>
        <w:spacing w:after="0" w:line="256" w:lineRule="auto"/>
        <w:tabs>
          <w:tab w:leader="none" w:pos="1662"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Common Stock Warrant Agent may receive a written opinion of legal counsel as conclusive evidence that any such merger, consolidation, sale, transfer, conveyance or other disposition of substantially all of the assets of the Company complies with the provisions of this Section 3.04.</w:t>
      </w:r>
    </w:p>
    <w:p>
      <w:pPr>
        <w:spacing w:after="0" w:line="158" w:lineRule="exact"/>
        <w:rPr>
          <w:sz w:val="20"/>
          <w:szCs w:val="20"/>
          <w:color w:val="auto"/>
        </w:rPr>
      </w:pPr>
    </w:p>
    <w:p>
      <w:pPr>
        <w:ind w:left="440"/>
        <w:spacing w:after="0"/>
        <w:tabs>
          <w:tab w:leader="none" w:pos="1820" w:val="left"/>
        </w:tabs>
        <w:rPr>
          <w:sz w:val="20"/>
          <w:szCs w:val="20"/>
          <w:color w:val="auto"/>
        </w:rPr>
      </w:pPr>
      <w:r>
        <w:rPr>
          <w:rFonts w:ascii="Courier New" w:cs="Courier New" w:eastAsia="Courier New" w:hAnsi="Courier New"/>
          <w:sz w:val="15"/>
          <w:szCs w:val="15"/>
          <w:color w:val="auto"/>
        </w:rPr>
        <w:t>SECTION 3.05.</w:t>
      </w:r>
      <w:r>
        <w:rPr>
          <w:sz w:val="20"/>
          <w:szCs w:val="20"/>
          <w:color w:val="auto"/>
        </w:rPr>
        <w:tab/>
      </w:r>
      <w:r>
        <w:rPr>
          <w:rFonts w:ascii="Courier New" w:cs="Courier New" w:eastAsia="Courier New" w:hAnsi="Courier New"/>
          <w:sz w:val="14"/>
          <w:szCs w:val="14"/>
          <w:color w:val="auto"/>
        </w:rPr>
        <w:t>Treatment of Holders of Common Stock Warrant Certificates.</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19" w:firstLine="1322"/>
        <w:spacing w:after="0" w:line="237" w:lineRule="auto"/>
        <w:tabs>
          <w:tab w:leader="none" w:pos="1662"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Common Stock Warrants are offered together with, and, prior to the Detachable Date, are not detachable from, Offered Securities, the Company, the Common Stock Warrant Agent and all other persons may, prior to such Detachable Date, treat the holder of the Offered Security as the Holder of the Common Stock Warrant Certificates initially attached thereto for any purpose and as the person entitled to exercise the rights represented by the Common Stock Warrants evidenced by such Common Stock Warrant Certificates, any notice to the contrary notwithstanding. After the Detachable Date and prior to due presentment of a Common Stock Warrant Certificate for registration of transfer, the Company and the Common Stock Warrant Agent may treat the Holder of a Common Stock Warrant Certificate as the absolute Holder thereof for any purpose and as the person entitled to exercise the rights represented by the Common Stock Warrants evidenced thereby, any notice to the contrary notwithstanding.</w:t>
      </w:r>
    </w:p>
    <w:p>
      <w:pPr>
        <w:spacing w:after="0" w:line="173" w:lineRule="exact"/>
        <w:rPr>
          <w:rFonts w:ascii="Courier New" w:cs="Courier New" w:eastAsia="Courier New" w:hAnsi="Courier New"/>
          <w:sz w:val="15"/>
          <w:szCs w:val="15"/>
          <w:color w:val="auto"/>
        </w:rPr>
      </w:pPr>
    </w:p>
    <w:p>
      <w:pPr>
        <w:ind w:right="3239" w:firstLine="1322"/>
        <w:spacing w:after="0" w:line="236" w:lineRule="auto"/>
        <w:tabs>
          <w:tab w:leader="none" w:pos="1662"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all other cases, the Company and the Common Stock Warrant Agent may treat the Holder of a Common Stock Warrant Certificate as the absolute Holder thereof for any purpose and as the person entitled to exercise the rights represented by the Common Stock Warrants evidenced thereby, any notice to the contrary notwithstanding.</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IV</w:t>
      </w:r>
    </w:p>
    <w:p>
      <w:pPr>
        <w:jc w:val="center"/>
        <w:ind w:right="3239"/>
        <w:spacing w:after="0" w:line="237" w:lineRule="auto"/>
        <w:rPr>
          <w:sz w:val="20"/>
          <w:szCs w:val="20"/>
          <w:color w:val="auto"/>
        </w:rPr>
      </w:pPr>
      <w:r>
        <w:rPr>
          <w:rFonts w:ascii="Courier New" w:cs="Courier New" w:eastAsia="Courier New" w:hAnsi="Courier New"/>
          <w:sz w:val="15"/>
          <w:szCs w:val="15"/>
          <w:color w:val="auto"/>
        </w:rPr>
        <w:t>EXCHANGE AND TRANSFER OF COMMON STOCK WARRANTS</w:t>
      </w:r>
    </w:p>
    <w:p>
      <w:pPr>
        <w:spacing w:after="0" w:line="167" w:lineRule="exact"/>
        <w:rPr>
          <w:sz w:val="20"/>
          <w:szCs w:val="20"/>
          <w:color w:val="auto"/>
        </w:rPr>
      </w:pPr>
    </w:p>
    <w:p>
      <w:pPr>
        <w:ind w:left="440"/>
        <w:spacing w:after="0"/>
        <w:tabs>
          <w:tab w:leader="none" w:pos="1820" w:val="left"/>
        </w:tabs>
        <w:rPr>
          <w:sz w:val="20"/>
          <w:szCs w:val="20"/>
          <w:color w:val="auto"/>
        </w:rPr>
      </w:pPr>
      <w:r>
        <w:rPr>
          <w:rFonts w:ascii="Courier New" w:cs="Courier New" w:eastAsia="Courier New" w:hAnsi="Courier New"/>
          <w:sz w:val="15"/>
          <w:szCs w:val="15"/>
          <w:color w:val="auto"/>
        </w:rPr>
        <w:t>SECTION 4.01.</w:t>
      </w:r>
      <w:r>
        <w:rPr>
          <w:sz w:val="20"/>
          <w:szCs w:val="20"/>
          <w:color w:val="auto"/>
        </w:rPr>
        <w:tab/>
      </w:r>
      <w:r>
        <w:rPr>
          <w:rFonts w:ascii="Courier New" w:cs="Courier New" w:eastAsia="Courier New" w:hAnsi="Courier New"/>
          <w:sz w:val="14"/>
          <w:szCs w:val="14"/>
          <w:color w:val="auto"/>
        </w:rPr>
        <w:t>Common Stock Warrant Register; Exchange and Transfer of</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ind w:left="1840"/>
        <w:spacing w:after="0" w:line="238" w:lineRule="auto"/>
        <w:rPr>
          <w:sz w:val="20"/>
          <w:szCs w:val="20"/>
          <w:color w:val="auto"/>
        </w:rPr>
      </w:pPr>
      <w:r>
        <w:rPr>
          <w:rFonts w:ascii="Courier New" w:cs="Courier New" w:eastAsia="Courier New" w:hAnsi="Courier New"/>
          <w:sz w:val="15"/>
          <w:szCs w:val="15"/>
          <w:color w:val="auto"/>
        </w:rPr>
        <w:t>Common Stock Warrants.</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firstLine="1322"/>
        <w:spacing w:after="0" w:line="236" w:lineRule="auto"/>
        <w:tabs>
          <w:tab w:leader="none" w:pos="1662"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Common Stock Warrant Agent shall maintain, at its corporate trust office [or at _______], a register (the "Common Stock Warrant Register") in which, upon the issuance of Common Stock Warrants, or on and after the Detachable Date in the case of Common Stock Warrants not separately transferable prior thereto, and, subject to such reasonable regulations as the Common Stock Warrant Agent may prescribe, it shall register Common Stock Warrant Certificates and exchanges and transfers thereof. The Common Stock Warrant Register shall be in written form or in any other form capable of being converted into written form within a reasonable time.</w:t>
      </w:r>
    </w:p>
    <w:p>
      <w:pPr>
        <w:spacing w:after="0" w:line="178" w:lineRule="exact"/>
        <w:rPr>
          <w:rFonts w:ascii="Courier New" w:cs="Courier New" w:eastAsia="Courier New" w:hAnsi="Courier New"/>
          <w:sz w:val="15"/>
          <w:szCs w:val="15"/>
          <w:color w:val="auto"/>
        </w:rPr>
      </w:pPr>
    </w:p>
    <w:p>
      <w:pPr>
        <w:ind w:right="3239" w:firstLine="1322"/>
        <w:spacing w:after="0" w:line="255" w:lineRule="auto"/>
        <w:tabs>
          <w:tab w:leader="none" w:pos="1662"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in the following sentence, upon surrender at the corporate trust office of the Common Stock Warrant Agent [or at _______], Common Stock Warrant Certificates may be exchanged for one or more other Common Stock Warrant Certificates evidencing the same aggregate number of Common Stock Warrants of the same title, or may be transferred in whole or in part. A Common Stock Warrant Certificate evidencing Common Stock Warrants that are not then transferable separately from the Offered Security with which they were issued may be exchanged or transferred prior to its Detachable Date only together with</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24" w:right="1440" w:bottom="1440" w:gutter="0" w:footer="0" w:header="0"/>
        </w:sectPr>
      </w:pPr>
    </w:p>
    <w:bookmarkStart w:id="74" w:name="page75"/>
    <w:bookmarkEnd w:id="74"/>
    <w:p>
      <w:pPr>
        <w:ind w:right="3239"/>
        <w:spacing w:after="0" w:line="254" w:lineRule="auto"/>
        <w:rPr>
          <w:sz w:val="20"/>
          <w:szCs w:val="20"/>
          <w:color w:val="auto"/>
        </w:rPr>
      </w:pPr>
      <w:r>
        <w:rPr>
          <w:rFonts w:ascii="Courier New" w:cs="Courier New" w:eastAsia="Courier New" w:hAnsi="Courier New"/>
          <w:sz w:val="14"/>
          <w:szCs w:val="14"/>
          <w:color w:val="auto"/>
        </w:rPr>
        <w:t>such Offered Security and only for the purpose of effecting, or in conjunction with, an exchange or transfer of such Offered Security; and on or prior to the Detachable Date, each exchange or transfer of such Offered Security on the Security Register of the Offered Securities shall operate also to exchange or transfer the related Common Stock Warrants. A transfer shall be registered upon surrender of a Common Stock Warrant Certificate to the Common Stock Warrant Agent at its corporate trust office [or at ______________________] for transfer,</w:t>
      </w:r>
    </w:p>
    <w:p>
      <w:pPr>
        <w:spacing w:after="0" w:line="2"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properly endorsed or accompanied by appropriate instruments of transfer and written instructions for transfer, all in form satisfactory to the Company and the Common Stock Warrant Agent. Whenever a Common Stock Warrant Certificate is surrendered for exchange or transfer, the Common Stock Warrant Agent shall countersign and deliver to the person or persons entitled thereto one or more Common Stock Warrant Certificates duly executed by the Company, as so requested. The Common Stock Warrant Agent shall not be required to effect any exchange or transfer which will result in the issuance of a Common Stock Warrant Certificate evidencing a fraction of a Common Stock Warrant. All Common Stock Warrant Certificates issued upon any exchange or transfer of a Common Stock Warrant Certificate shall be the valid obligations of the Company, evidencing the same obligations, and entitled to the same benefits under this Agreement, as the Common Stock Warrant Certificate surrendered for such exchange or transfer.</w:t>
      </w:r>
    </w:p>
    <w:p>
      <w:pPr>
        <w:spacing w:after="0" w:line="164" w:lineRule="exact"/>
        <w:rPr>
          <w:sz w:val="20"/>
          <w:szCs w:val="20"/>
          <w:color w:val="auto"/>
        </w:rPr>
      </w:pPr>
    </w:p>
    <w:p>
      <w:pPr>
        <w:ind w:right="3319" w:firstLine="1322"/>
        <w:spacing w:after="0" w:line="236" w:lineRule="auto"/>
        <w:tabs>
          <w:tab w:leader="none" w:pos="1662"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service charge shall be made for any exchange or transfer of Common Stock Warrants, but the Company may require payment of a sum sufficient to cover any tax or other governmental charge that may be imposed in connection with any such exchange or transfer, in accordance with Section 2.02(f) hereof.</w:t>
      </w:r>
    </w:p>
    <w:p>
      <w:pPr>
        <w:spacing w:after="0" w:line="167" w:lineRule="exact"/>
        <w:rPr>
          <w:sz w:val="20"/>
          <w:szCs w:val="20"/>
          <w:color w:val="auto"/>
        </w:rPr>
      </w:pPr>
    </w:p>
    <w:p>
      <w:pPr>
        <w:ind w:left="440"/>
        <w:spacing w:after="0"/>
        <w:tabs>
          <w:tab w:leader="none" w:pos="1820" w:val="left"/>
        </w:tabs>
        <w:rPr>
          <w:sz w:val="20"/>
          <w:szCs w:val="20"/>
          <w:color w:val="auto"/>
        </w:rPr>
      </w:pPr>
      <w:r>
        <w:rPr>
          <w:rFonts w:ascii="Courier New" w:cs="Courier New" w:eastAsia="Courier New" w:hAnsi="Courier New"/>
          <w:sz w:val="15"/>
          <w:szCs w:val="15"/>
          <w:color w:val="auto"/>
        </w:rPr>
        <w:t>SECTION 4.02.</w:t>
      </w:r>
      <w:r>
        <w:rPr>
          <w:sz w:val="20"/>
          <w:szCs w:val="20"/>
          <w:color w:val="auto"/>
        </w:rPr>
        <w:tab/>
      </w:r>
      <w:r>
        <w:rPr>
          <w:rFonts w:ascii="Courier New" w:cs="Courier New" w:eastAsia="Courier New" w:hAnsi="Courier New"/>
          <w:sz w:val="14"/>
          <w:szCs w:val="14"/>
          <w:color w:val="auto"/>
        </w:rPr>
        <w:t>Treatment of Holders of Common Stock Warrants.</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19" w:firstLine="1312"/>
        <w:spacing w:after="0" w:line="236" w:lineRule="auto"/>
        <w:rPr>
          <w:sz w:val="20"/>
          <w:szCs w:val="20"/>
          <w:color w:val="auto"/>
        </w:rPr>
      </w:pPr>
      <w:r>
        <w:rPr>
          <w:rFonts w:ascii="Courier New" w:cs="Courier New" w:eastAsia="Courier New" w:hAnsi="Courier New"/>
          <w:sz w:val="15"/>
          <w:szCs w:val="15"/>
          <w:color w:val="auto"/>
        </w:rPr>
        <w:t>Every Holder, by accepting the Common Stock Warrant Certificate evidencing the same, consents and agrees with the Company, the Common Stock Warrant Agent and with every other Holder of Common Stock Warrants of the same title that the Company and the Common Stock Warrant Agent may treat the Holder (or, if the Common Stock Warrant Certificate is not then detachable, the Holder of the related Offered Security) as the absolute owner of such Common Stock Warrant for all purposes and as the person entitled to exercise the rights represented by such Common Stock Warrant, any notice to the contrary notwithstanding.</w:t>
      </w:r>
    </w:p>
    <w:p>
      <w:pPr>
        <w:spacing w:after="0" w:line="172" w:lineRule="exact"/>
        <w:rPr>
          <w:sz w:val="20"/>
          <w:szCs w:val="20"/>
          <w:color w:val="auto"/>
        </w:rPr>
      </w:pPr>
    </w:p>
    <w:p>
      <w:pPr>
        <w:ind w:left="440"/>
        <w:spacing w:after="0"/>
        <w:tabs>
          <w:tab w:leader="none" w:pos="1820" w:val="left"/>
        </w:tabs>
        <w:rPr>
          <w:sz w:val="20"/>
          <w:szCs w:val="20"/>
          <w:color w:val="auto"/>
        </w:rPr>
      </w:pPr>
      <w:r>
        <w:rPr>
          <w:rFonts w:ascii="Courier New" w:cs="Courier New" w:eastAsia="Courier New" w:hAnsi="Courier New"/>
          <w:sz w:val="15"/>
          <w:szCs w:val="15"/>
          <w:color w:val="auto"/>
        </w:rPr>
        <w:t>SECTION 4.03.</w:t>
      </w:r>
      <w:r>
        <w:rPr>
          <w:sz w:val="20"/>
          <w:szCs w:val="20"/>
          <w:color w:val="auto"/>
        </w:rPr>
        <w:tab/>
      </w:r>
      <w:r>
        <w:rPr>
          <w:rFonts w:ascii="Courier New" w:cs="Courier New" w:eastAsia="Courier New" w:hAnsi="Courier New"/>
          <w:sz w:val="14"/>
          <w:szCs w:val="14"/>
          <w:color w:val="auto"/>
        </w:rPr>
        <w:t>Cancellation of Common Stock Warrant Certificates.</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firstLine="1312"/>
        <w:spacing w:after="0" w:line="236" w:lineRule="auto"/>
        <w:rPr>
          <w:sz w:val="20"/>
          <w:szCs w:val="20"/>
          <w:color w:val="auto"/>
        </w:rPr>
      </w:pPr>
      <w:r>
        <w:rPr>
          <w:rFonts w:ascii="Courier New" w:cs="Courier New" w:eastAsia="Courier New" w:hAnsi="Courier New"/>
          <w:sz w:val="15"/>
          <w:szCs w:val="15"/>
          <w:color w:val="auto"/>
        </w:rPr>
        <w:t>In the event that the Company shall purchase, redeem or otherwise acquire any Common Stock Warrants after the issuance thereof, the Common Stock Warrant Certificate or Certificates evidencing such Common Stock Warrants shall thereupon be delivered to the Common Stock Warrant Agent and be cancelled by it. The Common Stock Warrant Agent shall also cancel any Common Stock Warrant Certificate (including any mutilated Common Stock Warrant Certificate) delivered to it for exercise, in whole or in part, or for exchange or transfer. Common Stock Warrant Certificates so cancelled shall be delivered by the Common Stock Warrant Agent to the Company from time to time, or disposed of in accordance with the instructions of the Company.</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24" w:right="1440" w:bottom="1440" w:gutter="0" w:footer="0" w:header="0"/>
        </w:sectPr>
      </w:pPr>
    </w:p>
    <w:bookmarkStart w:id="75" w:name="page76"/>
    <w:bookmarkEnd w:id="75"/>
    <w:p>
      <w:pPr>
        <w:ind w:left="3080"/>
        <w:spacing w:after="0"/>
        <w:rPr>
          <w:sz w:val="20"/>
          <w:szCs w:val="20"/>
          <w:color w:val="auto"/>
        </w:rPr>
      </w:pPr>
      <w:r>
        <w:rPr>
          <w:rFonts w:ascii="Courier New" w:cs="Courier New" w:eastAsia="Courier New" w:hAnsi="Courier New"/>
          <w:sz w:val="15"/>
          <w:szCs w:val="15"/>
          <w:color w:val="auto"/>
        </w:rPr>
        <w:t>ARTICLE V</w:t>
      </w:r>
    </w:p>
    <w:p>
      <w:pPr>
        <w:ind w:left="1760"/>
        <w:spacing w:after="0" w:line="237" w:lineRule="auto"/>
        <w:rPr>
          <w:sz w:val="20"/>
          <w:szCs w:val="20"/>
          <w:color w:val="auto"/>
        </w:rPr>
      </w:pPr>
      <w:r>
        <w:rPr>
          <w:rFonts w:ascii="Courier New" w:cs="Courier New" w:eastAsia="Courier New" w:hAnsi="Courier New"/>
          <w:sz w:val="15"/>
          <w:szCs w:val="15"/>
          <w:color w:val="auto"/>
        </w:rPr>
        <w:t>CONCERNING THE COMMON STOCK WARRANT AGENT</w:t>
      </w:r>
    </w:p>
    <w:p>
      <w:pPr>
        <w:spacing w:after="0" w:line="167" w:lineRule="exact"/>
        <w:rPr>
          <w:sz w:val="20"/>
          <w:szCs w:val="20"/>
          <w:color w:val="auto"/>
        </w:rPr>
      </w:pPr>
    </w:p>
    <w:p>
      <w:pPr>
        <w:ind w:left="440"/>
        <w:spacing w:after="0"/>
        <w:tabs>
          <w:tab w:leader="none" w:pos="1820" w:val="left"/>
        </w:tabs>
        <w:rPr>
          <w:sz w:val="20"/>
          <w:szCs w:val="20"/>
          <w:color w:val="auto"/>
        </w:rPr>
      </w:pPr>
      <w:r>
        <w:rPr>
          <w:rFonts w:ascii="Courier New" w:cs="Courier New" w:eastAsia="Courier New" w:hAnsi="Courier New"/>
          <w:sz w:val="15"/>
          <w:szCs w:val="15"/>
          <w:color w:val="auto"/>
        </w:rPr>
        <w:t>SECTION 5.01.</w:t>
      </w:r>
      <w:r>
        <w:rPr>
          <w:sz w:val="20"/>
          <w:szCs w:val="20"/>
          <w:color w:val="auto"/>
        </w:rPr>
        <w:tab/>
      </w:r>
      <w:r>
        <w:rPr>
          <w:rFonts w:ascii="Courier New" w:cs="Courier New" w:eastAsia="Courier New" w:hAnsi="Courier New"/>
          <w:sz w:val="14"/>
          <w:szCs w:val="14"/>
          <w:color w:val="auto"/>
        </w:rPr>
        <w:t>Common Stock Warrant Agent.</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The Company hereby appoints ___________ as Common Stock Warrant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Agent of the Company in respect of the Common Stock Warrants upon the terms and subject to the conditions set forth herein and __________________ hereby accepts</w:t>
      </w:r>
    </w:p>
    <w:p>
      <w:pPr>
        <w:spacing w:after="0" w:line="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such appointment. The Common Stock Warrant Agent shall have the powers and authority granted to and conferred upon it in the Common Stock Warrant Certificates and hereby and such further powers and authority acceptable to it to act on behalf of the Company as the Company may hereafter grant to or confer upon it. All of the terms and provisions with respect to such powers and authority contained in the Common Stock Warrant Certificates are subject to and governed by the terms and provisions hereof.</w:t>
      </w:r>
    </w:p>
    <w:p>
      <w:pPr>
        <w:spacing w:after="0" w:line="169" w:lineRule="exact"/>
        <w:rPr>
          <w:sz w:val="20"/>
          <w:szCs w:val="20"/>
          <w:color w:val="auto"/>
        </w:rPr>
      </w:pPr>
    </w:p>
    <w:p>
      <w:pPr>
        <w:ind w:left="440"/>
        <w:spacing w:after="0"/>
        <w:tabs>
          <w:tab w:leader="none" w:pos="1820" w:val="left"/>
        </w:tabs>
        <w:rPr>
          <w:sz w:val="20"/>
          <w:szCs w:val="20"/>
          <w:color w:val="auto"/>
        </w:rPr>
      </w:pPr>
      <w:r>
        <w:rPr>
          <w:rFonts w:ascii="Courier New" w:cs="Courier New" w:eastAsia="Courier New" w:hAnsi="Courier New"/>
          <w:sz w:val="15"/>
          <w:szCs w:val="15"/>
          <w:color w:val="auto"/>
        </w:rPr>
        <w:t>SECTION 5.02.</w:t>
      </w:r>
      <w:r>
        <w:rPr>
          <w:sz w:val="20"/>
          <w:szCs w:val="20"/>
          <w:color w:val="auto"/>
        </w:rPr>
        <w:tab/>
      </w:r>
      <w:r>
        <w:rPr>
          <w:rFonts w:ascii="Courier New" w:cs="Courier New" w:eastAsia="Courier New" w:hAnsi="Courier New"/>
          <w:sz w:val="14"/>
          <w:szCs w:val="14"/>
          <w:color w:val="auto"/>
        </w:rPr>
        <w:t>Conditions of Common Stock Warrant Agent's Obligations.</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right="3239" w:firstLine="1312"/>
        <w:spacing w:after="0" w:line="235" w:lineRule="auto"/>
        <w:rPr>
          <w:sz w:val="20"/>
          <w:szCs w:val="20"/>
          <w:color w:val="auto"/>
        </w:rPr>
      </w:pPr>
      <w:r>
        <w:rPr>
          <w:rFonts w:ascii="Courier New" w:cs="Courier New" w:eastAsia="Courier New" w:hAnsi="Courier New"/>
          <w:sz w:val="15"/>
          <w:szCs w:val="15"/>
          <w:color w:val="auto"/>
        </w:rPr>
        <w:t>The Common Stock Warrant Agent accepts its obligations set forth herein upon the terms and conditions hereof, including the following, to all of which the Company agrees and to all of which the rights hereunder of the Holders shall be subject:</w:t>
      </w:r>
    </w:p>
    <w:p>
      <w:pPr>
        <w:spacing w:after="0" w:line="175" w:lineRule="exact"/>
        <w:rPr>
          <w:sz w:val="20"/>
          <w:szCs w:val="20"/>
          <w:color w:val="auto"/>
        </w:rPr>
      </w:pPr>
    </w:p>
    <w:p>
      <w:pPr>
        <w:ind w:right="3319" w:firstLine="1322"/>
        <w:spacing w:after="0" w:line="255" w:lineRule="auto"/>
        <w:tabs>
          <w:tab w:leader="none" w:pos="1662"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And Indemnification. The Company agrees to promptly pay the Common Stock Warrant Agent the compensation set forth in Exhibit A hereto and to reimburse the Common Stock Warrant Agent for reasonable out-of-pocket expenses (including counsel fees) incurred by the Common Stock Warrant Agent in connection with the services rendered hereunder by the Common Stock Warrant Agent. The Company also agrees to indemnify the Common Stock Warrant Agent for, and to hold it harmless against, any loss, liability or expense (including the reasonable costs and expenses of defending against any claim of liability) incurred without negligence or bad faith on the part of the Common Stock Warrant Agent arising out of or in connection with its appointment as Common Stock Warrant Agent hereunder.</w:t>
      </w:r>
    </w:p>
    <w:p>
      <w:pPr>
        <w:spacing w:after="0" w:line="164" w:lineRule="exact"/>
        <w:rPr>
          <w:rFonts w:ascii="Courier New" w:cs="Courier New" w:eastAsia="Courier New" w:hAnsi="Courier New"/>
          <w:sz w:val="14"/>
          <w:szCs w:val="14"/>
          <w:color w:val="auto"/>
        </w:rPr>
      </w:pPr>
    </w:p>
    <w:p>
      <w:pPr>
        <w:ind w:right="3319" w:firstLine="1322"/>
        <w:spacing w:after="0" w:line="235" w:lineRule="auto"/>
        <w:tabs>
          <w:tab w:leader="none" w:pos="1662"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Agent For The Company. In acting under this Agreement and in connection with any Common Stock Warrant Certificate, the Common Stock Warrant Agent is acting solely as agent of the Company and does not assume any obligation or relationship of agency or trust for or with any Holder.</w:t>
      </w:r>
    </w:p>
    <w:p>
      <w:pPr>
        <w:spacing w:after="0" w:line="175" w:lineRule="exact"/>
        <w:rPr>
          <w:rFonts w:ascii="Courier New" w:cs="Courier New" w:eastAsia="Courier New" w:hAnsi="Courier New"/>
          <w:sz w:val="15"/>
          <w:szCs w:val="15"/>
          <w:color w:val="auto"/>
        </w:rPr>
      </w:pPr>
    </w:p>
    <w:p>
      <w:pPr>
        <w:ind w:right="3399" w:firstLine="1322"/>
        <w:spacing w:after="0" w:line="236" w:lineRule="auto"/>
        <w:tabs>
          <w:tab w:leader="none" w:pos="1662"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Counsel. The Common Stock Warrant Agent may consult with counsel satisfactory to it, and the advice of such counsel shall be full and complete authorization and protection in respect of any action taken, suffered or omitted by it hereunder in good faith and in accordance with the advice of such counsel.</w:t>
      </w:r>
    </w:p>
    <w:p>
      <w:pPr>
        <w:spacing w:after="0" w:line="173" w:lineRule="exact"/>
        <w:rPr>
          <w:rFonts w:ascii="Courier New" w:cs="Courier New" w:eastAsia="Courier New" w:hAnsi="Courier New"/>
          <w:sz w:val="15"/>
          <w:szCs w:val="15"/>
          <w:color w:val="auto"/>
        </w:rPr>
      </w:pPr>
    </w:p>
    <w:p>
      <w:pPr>
        <w:ind w:right="3319" w:firstLine="1322"/>
        <w:spacing w:after="0" w:line="256" w:lineRule="auto"/>
        <w:tabs>
          <w:tab w:leader="none" w:pos="1662"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Documents. The Common Stock Warrant Agent shall be protected and shall incur no liability for or in respect of any action taken, suffered or omitted by it in reliance upon any notice, direction, consent, certificate, affidavit, statement or other paper or document reasonably believed by it to be genuine and to have been presented or signed by the proper parties.</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17" w:right="1440" w:bottom="1440" w:gutter="0" w:footer="0" w:header="0"/>
        </w:sectPr>
      </w:pPr>
    </w:p>
    <w:bookmarkStart w:id="76" w:name="page77"/>
    <w:bookmarkEnd w:id="76"/>
    <w:p>
      <w:pPr>
        <w:ind w:left="-1220" w:right="3319" w:firstLine="1322"/>
        <w:spacing w:after="0" w:line="255" w:lineRule="auto"/>
        <w:tabs>
          <w:tab w:leader="none" w:pos="442"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Officer's Certificate. Whenever in the performance of its duties hereunder the Common Stock Warrant Agent shall reasonably deem it necessary that any fact or matter be proved or established by the Company prior to taking, suffering or omitting any action hereunder, the Common Stock Warrant Agent may (unless other evidence in respect thereof be herein specifically prescribed), in the absence of bad faith on its part, rely upon a certificate signed by the Chairman, the President, the Chief Executive Officer, Chief Financial Officer, any Vice President, the Controller or the Secretary of the Company delivered by the Company to the Common Stock Warrant Agent.</w:t>
      </w:r>
    </w:p>
    <w:p>
      <w:pPr>
        <w:spacing w:after="0" w:line="165" w:lineRule="exact"/>
        <w:rPr>
          <w:rFonts w:ascii="Courier New" w:cs="Courier New" w:eastAsia="Courier New" w:hAnsi="Courier New"/>
          <w:sz w:val="14"/>
          <w:szCs w:val="14"/>
          <w:color w:val="auto"/>
        </w:rPr>
      </w:pPr>
    </w:p>
    <w:p>
      <w:pPr>
        <w:ind w:left="-1220" w:right="3319" w:firstLine="1322"/>
        <w:spacing w:after="0" w:line="255" w:lineRule="auto"/>
        <w:tabs>
          <w:tab w:leader="none" w:pos="442"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Actions Through Agents. The Common Stock Warrant Agent may execute and exercise any of the rights or powers hereby vested in it or perform any duty hereunder either itself or by or through its attorneys or agents, and the Common Stock Warrant Agent shall not be answerable or accountable for any act, default, neglect or misconduct of any such attorney or agent or for any loss to the Company resulting from such neglect or misconduct; provided, however, that reasonable care shall have been exercised in the selection and continued employment of such attorneys and agents.</w:t>
      </w:r>
    </w:p>
    <w:p>
      <w:pPr>
        <w:spacing w:after="0" w:line="165" w:lineRule="exact"/>
        <w:rPr>
          <w:rFonts w:ascii="Courier New" w:cs="Courier New" w:eastAsia="Courier New" w:hAnsi="Courier New"/>
          <w:sz w:val="14"/>
          <w:szCs w:val="14"/>
          <w:color w:val="auto"/>
        </w:rPr>
      </w:pPr>
    </w:p>
    <w:p>
      <w:pPr>
        <w:ind w:left="-1220" w:right="3239" w:firstLine="1322"/>
        <w:spacing w:after="0" w:line="236" w:lineRule="auto"/>
        <w:tabs>
          <w:tab w:leader="none" w:pos="442"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Transactions. The Common Stock Warrant Agent, and any officer, director or employee thereof, may become the owner of, or acquire any interest in, any Common Stock Warrant, with the same rights that he, she or it would have if it were not the Common Stock Warrant Agent, and, to the extent permitted by applicable law, he, she or it may engage or be interested in any financial or other transaction with the Company and may serve on, or as depositary, trustee or agent for, any committee or body of holders of Common Stock or other obligations of the Company as if it were not the Common Stock Warrant Agent.</w:t>
      </w:r>
    </w:p>
    <w:p>
      <w:pPr>
        <w:spacing w:after="0" w:line="178" w:lineRule="exact"/>
        <w:rPr>
          <w:rFonts w:ascii="Courier New" w:cs="Courier New" w:eastAsia="Courier New" w:hAnsi="Courier New"/>
          <w:sz w:val="15"/>
          <w:szCs w:val="15"/>
          <w:color w:val="auto"/>
        </w:rPr>
      </w:pPr>
    </w:p>
    <w:p>
      <w:pPr>
        <w:ind w:left="-1220" w:right="3579" w:firstLine="1322"/>
        <w:spacing w:after="0" w:line="256" w:lineRule="auto"/>
        <w:tabs>
          <w:tab w:leader="none" w:pos="442"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Liability For Interest. The Common Stock Warrant Agent shall not be liable for interest on any monies at any time received by it pursuant to any of the provisions of this Agreement or of the Common Stock Warrant Certificates, except as otherwise agreed with the Company.</w:t>
      </w:r>
    </w:p>
    <w:p>
      <w:pPr>
        <w:spacing w:after="0" w:line="164" w:lineRule="exact"/>
        <w:rPr>
          <w:rFonts w:ascii="Courier New" w:cs="Courier New" w:eastAsia="Courier New" w:hAnsi="Courier New"/>
          <w:sz w:val="14"/>
          <w:szCs w:val="14"/>
          <w:color w:val="auto"/>
        </w:rPr>
      </w:pPr>
    </w:p>
    <w:p>
      <w:pPr>
        <w:ind w:left="-1220" w:right="3319" w:firstLine="1322"/>
        <w:spacing w:after="0" w:line="236" w:lineRule="auto"/>
        <w:tabs>
          <w:tab w:leader="none" w:pos="442"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Liability For Invalidity. The Common Stock Warrant Agent shall incur no liability with respect to the validity of this Agreement (except as to the due execution hereof by the Common Stock Warrant Agent) or any Common Stock Warrant Certificate (except as to the countersignature thereof by the Common Stock Warrant Agent).</w:t>
      </w:r>
    </w:p>
    <w:p>
      <w:pPr>
        <w:spacing w:after="0" w:line="173" w:lineRule="exact"/>
        <w:rPr>
          <w:rFonts w:ascii="Courier New" w:cs="Courier New" w:eastAsia="Courier New" w:hAnsi="Courier New"/>
          <w:sz w:val="15"/>
          <w:szCs w:val="15"/>
          <w:color w:val="auto"/>
        </w:rPr>
      </w:pPr>
    </w:p>
    <w:p>
      <w:pPr>
        <w:ind w:left="-1220" w:right="3239" w:firstLine="1322"/>
        <w:spacing w:after="0" w:line="236" w:lineRule="auto"/>
        <w:tabs>
          <w:tab w:leader="none" w:pos="442"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Responsibility For Company Representations. The Common Stock Warrant Agent shall not be responsible for any of the recitals or representations contained herein (except as to such statements or recitals as describe the Common Stock Warrant Agent or action taken or to be taken by it) or in any Common Stock Warrant Certificate (except as to the Common Stock Warrant Agent's countersignature on such Common Stock Warrant Certificate), all of which recitals and representations are made solely by the Company.</w:t>
      </w:r>
    </w:p>
    <w:p>
      <w:pPr>
        <w:spacing w:after="0" w:line="175" w:lineRule="exact"/>
        <w:rPr>
          <w:rFonts w:ascii="Courier New" w:cs="Courier New" w:eastAsia="Courier New" w:hAnsi="Courier New"/>
          <w:sz w:val="15"/>
          <w:szCs w:val="15"/>
          <w:color w:val="auto"/>
        </w:rPr>
      </w:pPr>
    </w:p>
    <w:p>
      <w:pPr>
        <w:ind w:left="-1220" w:right="3239" w:firstLine="1322"/>
        <w:spacing w:after="0" w:line="255" w:lineRule="auto"/>
        <w:tabs>
          <w:tab w:leader="none" w:pos="442"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Implied Obligations. The Common Stock Warrant Agent shall be obligated to perform only such duties as are specifically set forth herein, and no other duties or obligations shall be implied. The Common Stock Warrant Agent shall not be under any obligation to take any action hereunder that may subject it to any expense or liability, the payment of which within a reasonable time is not, in its reasonable opinion, assured to it. The Common Stock Warrant</w:t>
      </w:r>
    </w:p>
    <w:p>
      <w:pPr>
        <w:spacing w:after="0" w:line="328"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019"/>
          </w:cols>
          <w:pgMar w:left="1440" w:top="623" w:right="1440" w:bottom="1440" w:gutter="0" w:footer="0" w:header="0"/>
        </w:sectPr>
      </w:pPr>
    </w:p>
    <w:bookmarkStart w:id="77" w:name="page78"/>
    <w:bookmarkEnd w:id="77"/>
    <w:p>
      <w:pPr>
        <w:ind w:right="3239"/>
        <w:spacing w:after="0" w:line="255" w:lineRule="auto"/>
        <w:rPr>
          <w:sz w:val="20"/>
          <w:szCs w:val="20"/>
          <w:color w:val="auto"/>
        </w:rPr>
      </w:pPr>
      <w:r>
        <w:rPr>
          <w:rFonts w:ascii="Courier New" w:cs="Courier New" w:eastAsia="Courier New" w:hAnsi="Courier New"/>
          <w:sz w:val="14"/>
          <w:szCs w:val="14"/>
          <w:color w:val="auto"/>
        </w:rPr>
        <w:t>Agent shall not be accountable or under any duty or responsibility for the use by the Company of any Common Stock Warrant Certificate countersigned by the Common Stock Warrant Agent and delivered by it to the Company pursuant to this Agreement or for the application by the Company of the proceeds of the issuance or exercise of Common Stock Warrants. The Common Stock Warrant Agent shall have no duty or responsibility in case of any default by the Company in the performance of its covenants or agreements contained herein or in any Common Stock Warrant Certificate or in case of the receipt of any written demand from a Holder with respect to such default, including, without limiting the generality of the foregoing, any duty or responsibility to initiate or attempt to initiate any proceedings at law or otherwise or, except as provided in Section 6.02 hereof, to make any demand upon the Company.</w:t>
      </w:r>
    </w:p>
    <w:p>
      <w:pPr>
        <w:spacing w:after="0" w:line="158" w:lineRule="exact"/>
        <w:rPr>
          <w:sz w:val="20"/>
          <w:szCs w:val="20"/>
          <w:color w:val="auto"/>
        </w:rPr>
      </w:pPr>
    </w:p>
    <w:p>
      <w:pPr>
        <w:ind w:left="440"/>
        <w:spacing w:after="0"/>
        <w:tabs>
          <w:tab w:leader="none" w:pos="1820" w:val="left"/>
        </w:tabs>
        <w:rPr>
          <w:sz w:val="20"/>
          <w:szCs w:val="20"/>
          <w:color w:val="auto"/>
        </w:rPr>
      </w:pPr>
      <w:r>
        <w:rPr>
          <w:rFonts w:ascii="Courier New" w:cs="Courier New" w:eastAsia="Courier New" w:hAnsi="Courier New"/>
          <w:sz w:val="15"/>
          <w:szCs w:val="15"/>
          <w:color w:val="auto"/>
        </w:rPr>
        <w:t>SECTION 5.03.</w:t>
      </w:r>
      <w:r>
        <w:rPr>
          <w:sz w:val="20"/>
          <w:szCs w:val="20"/>
          <w:color w:val="auto"/>
        </w:rPr>
        <w:tab/>
      </w:r>
      <w:r>
        <w:rPr>
          <w:rFonts w:ascii="Courier New" w:cs="Courier New" w:eastAsia="Courier New" w:hAnsi="Courier New"/>
          <w:sz w:val="14"/>
          <w:szCs w:val="14"/>
          <w:color w:val="auto"/>
        </w:rPr>
        <w:t>Compliance with Applicable Laws.</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99" w:firstLine="1312"/>
        <w:spacing w:after="0" w:line="255" w:lineRule="auto"/>
        <w:rPr>
          <w:sz w:val="20"/>
          <w:szCs w:val="20"/>
          <w:color w:val="auto"/>
        </w:rPr>
      </w:pPr>
      <w:r>
        <w:rPr>
          <w:rFonts w:ascii="Courier New" w:cs="Courier New" w:eastAsia="Courier New" w:hAnsi="Courier New"/>
          <w:sz w:val="14"/>
          <w:szCs w:val="14"/>
          <w:color w:val="auto"/>
        </w:rPr>
        <w:t>The Common Stock Warrant Agent agrees to comply with all applicable federal and state laws imposing obligations on it in respect of the services rendered by it under this Common Stock Warrant Agreement and in connection with the Common Stock Warrants, including (but not limited to) the provisions of United States federal income tax laws regarding information reporting and backup withholding. The Common Stock Warrant Agent expressly assumes all liability for its failure to comply with any such laws imposing obligations on it, including (but not limited to) any liability for failure to comply with any applicable provisions of United States federal income tax laws regarding information reporting and backup withholding.</w:t>
      </w:r>
    </w:p>
    <w:p>
      <w:pPr>
        <w:spacing w:after="0" w:line="159" w:lineRule="exact"/>
        <w:rPr>
          <w:sz w:val="20"/>
          <w:szCs w:val="20"/>
          <w:color w:val="auto"/>
        </w:rPr>
      </w:pPr>
    </w:p>
    <w:p>
      <w:pPr>
        <w:ind w:left="440"/>
        <w:spacing w:after="0"/>
        <w:tabs>
          <w:tab w:leader="none" w:pos="1820" w:val="left"/>
        </w:tabs>
        <w:rPr>
          <w:sz w:val="20"/>
          <w:szCs w:val="20"/>
          <w:color w:val="auto"/>
        </w:rPr>
      </w:pPr>
      <w:r>
        <w:rPr>
          <w:rFonts w:ascii="Courier New" w:cs="Courier New" w:eastAsia="Courier New" w:hAnsi="Courier New"/>
          <w:sz w:val="15"/>
          <w:szCs w:val="15"/>
          <w:color w:val="auto"/>
        </w:rPr>
        <w:t>SECTION 5.04.</w:t>
      </w:r>
      <w:r>
        <w:rPr>
          <w:sz w:val="20"/>
          <w:szCs w:val="20"/>
          <w:color w:val="auto"/>
        </w:rPr>
        <w:tab/>
      </w:r>
      <w:r>
        <w:rPr>
          <w:rFonts w:ascii="Courier New" w:cs="Courier New" w:eastAsia="Courier New" w:hAnsi="Courier New"/>
          <w:sz w:val="14"/>
          <w:szCs w:val="14"/>
          <w:color w:val="auto"/>
        </w:rPr>
        <w:t>Resignation and Removal; Appointment of Successor.</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99" w:firstLine="1322"/>
        <w:spacing w:after="0" w:line="258" w:lineRule="auto"/>
        <w:tabs>
          <w:tab w:leader="none" w:pos="1662"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agrees, for the benefit of the Holders of the Common Stock Warrants, that there shall at all times be a Common Stock Warrant Agent hereunder until all the Common Stock Warrants are no longer exercisable.</w:t>
      </w:r>
    </w:p>
    <w:p>
      <w:pPr>
        <w:spacing w:after="0" w:line="161" w:lineRule="exact"/>
        <w:rPr>
          <w:rFonts w:ascii="Courier New" w:cs="Courier New" w:eastAsia="Courier New" w:hAnsi="Courier New"/>
          <w:sz w:val="14"/>
          <w:szCs w:val="14"/>
          <w:color w:val="auto"/>
        </w:rPr>
      </w:pPr>
    </w:p>
    <w:p>
      <w:pPr>
        <w:ind w:right="3239" w:firstLine="1322"/>
        <w:spacing w:after="0" w:line="254" w:lineRule="auto"/>
        <w:tabs>
          <w:tab w:leader="none" w:pos="1662"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Common Stock Warrant Agent may at any time resign as such agent by giving written notice to the Company of such intention on its part, specifying the date on which its desired resignation shall become effective, subject to the appointment of a successor Common Stock Warrant Agent and acceptance of such appointment by such successor Common Stock Warrant Agent, as hereinafter provided. The Common Stock Warrant Agent hereunder may be removed at any time by the filing with it of an instrument in writing signed by or on behalf of the Company and specifying such removal and the date when it shall become effective. Notwithstanding the two preceding sentences, such resignation or removal shall take effect upon the appointment by the Company, as hereinafter provided, of a successor Common Stock Warrant Agent (which shall be a banking institution organized under the laws of the United States of America, or one of the states thereof and having an office or an agent's office in the City of New York) and the acceptance of such appointment by such successor Common Stock Warrant Agent. In the event a successor Common Stock Warrant Agent has not been appointed and has not accepted its duties within 90 days of the Common Stock Warrant Agent's notice of resignation, the Common Stock Warrant Agent may apply to any court of competent jurisdiction for the designation of a successor Common Stock Warrant Agent. The obligation of the Company under Section 5.02(a) shall continue to the extent set forth therein notwithstanding the resignation or removal of the Common Stock Warrant Agent.</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24" w:right="1440" w:bottom="1440" w:gutter="0" w:footer="0" w:header="0"/>
        </w:sectPr>
      </w:pPr>
    </w:p>
    <w:bookmarkStart w:id="78" w:name="page79"/>
    <w:bookmarkEnd w:id="78"/>
    <w:p>
      <w:pPr>
        <w:ind w:left="1680" w:hanging="358"/>
        <w:spacing w:after="0"/>
        <w:tabs>
          <w:tab w:leader="none" w:pos="168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at any time the Common Stock Warrant Agent shall:</w:t>
      </w:r>
    </w:p>
    <w:p>
      <w:pPr>
        <w:spacing w:after="0" w:line="172" w:lineRule="exact"/>
        <w:rPr>
          <w:rFonts w:ascii="Courier New" w:cs="Courier New" w:eastAsia="Courier New" w:hAnsi="Courier New"/>
          <w:sz w:val="15"/>
          <w:szCs w:val="15"/>
          <w:color w:val="auto"/>
        </w:rPr>
      </w:pPr>
    </w:p>
    <w:p>
      <w:pPr>
        <w:ind w:left="1580" w:right="3499" w:firstLine="4"/>
        <w:spacing w:after="0" w:line="234" w:lineRule="auto"/>
        <w:tabs>
          <w:tab w:leader="none" w:pos="2017"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resign, or shall be removed, or shall become incapable of acting, or</w:t>
      </w:r>
    </w:p>
    <w:p>
      <w:pPr>
        <w:spacing w:after="0" w:line="166" w:lineRule="exact"/>
        <w:rPr>
          <w:rFonts w:ascii="Courier New" w:cs="Courier New" w:eastAsia="Courier New" w:hAnsi="Courier New"/>
          <w:sz w:val="15"/>
          <w:szCs w:val="15"/>
          <w:color w:val="auto"/>
        </w:rPr>
      </w:pPr>
    </w:p>
    <w:p>
      <w:pPr>
        <w:ind w:left="2020" w:hanging="436"/>
        <w:spacing w:after="0"/>
        <w:tabs>
          <w:tab w:leader="none" w:pos="2020"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 adjudged bankrupt or insolvent, or</w:t>
      </w:r>
    </w:p>
    <w:p>
      <w:pPr>
        <w:spacing w:after="0" w:line="172" w:lineRule="exact"/>
        <w:rPr>
          <w:rFonts w:ascii="Courier New" w:cs="Courier New" w:eastAsia="Courier New" w:hAnsi="Courier New"/>
          <w:sz w:val="15"/>
          <w:szCs w:val="15"/>
          <w:color w:val="auto"/>
        </w:rPr>
      </w:pPr>
    </w:p>
    <w:p>
      <w:pPr>
        <w:ind w:left="1580" w:right="3399" w:firstLine="4"/>
        <w:spacing w:after="0" w:line="235" w:lineRule="auto"/>
        <w:tabs>
          <w:tab w:leader="none" w:pos="2017"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 a petition seeking relief under Title 11 of the United States Code, as now constituted or hereafter amended, or under any other applicable federal or state bankruptcy or similar law, or</w:t>
      </w:r>
    </w:p>
    <w:p>
      <w:pPr>
        <w:spacing w:after="0" w:line="175" w:lineRule="exact"/>
        <w:rPr>
          <w:rFonts w:ascii="Courier New" w:cs="Courier New" w:eastAsia="Courier New" w:hAnsi="Courier New"/>
          <w:sz w:val="15"/>
          <w:szCs w:val="15"/>
          <w:color w:val="auto"/>
        </w:rPr>
      </w:pPr>
    </w:p>
    <w:p>
      <w:pPr>
        <w:ind w:left="1580" w:right="3399" w:firstLine="4"/>
        <w:spacing w:after="0" w:line="258" w:lineRule="auto"/>
        <w:tabs>
          <w:tab w:leader="none" w:pos="2017" w:val="left"/>
        </w:tabs>
        <w:numPr>
          <w:ilvl w:val="1"/>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an assignment for the benefit of its creditors, or shall consent to the appointment of a receiver or custodian of all or any substantial part of its property, or</w:t>
      </w:r>
    </w:p>
    <w:p>
      <w:pPr>
        <w:spacing w:after="0" w:line="161" w:lineRule="exact"/>
        <w:rPr>
          <w:rFonts w:ascii="Courier New" w:cs="Courier New" w:eastAsia="Courier New" w:hAnsi="Courier New"/>
          <w:sz w:val="14"/>
          <w:szCs w:val="14"/>
          <w:color w:val="auto"/>
        </w:rPr>
      </w:pPr>
    </w:p>
    <w:p>
      <w:pPr>
        <w:ind w:left="1580" w:right="3399" w:firstLine="4"/>
        <w:spacing w:after="0" w:line="234" w:lineRule="auto"/>
        <w:tabs>
          <w:tab w:leader="none" w:pos="2017"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admit in writing its inability to pay or meet its debts as they mature, or</w:t>
      </w:r>
    </w:p>
    <w:p>
      <w:pPr>
        <w:spacing w:after="0" w:line="173" w:lineRule="exact"/>
        <w:rPr>
          <w:rFonts w:ascii="Courier New" w:cs="Courier New" w:eastAsia="Courier New" w:hAnsi="Courier New"/>
          <w:sz w:val="15"/>
          <w:szCs w:val="15"/>
          <w:color w:val="auto"/>
        </w:rPr>
      </w:pPr>
    </w:p>
    <w:p>
      <w:pPr>
        <w:ind w:left="1580" w:right="3319" w:firstLine="4"/>
        <w:spacing w:after="0" w:line="234" w:lineRule="auto"/>
        <w:tabs>
          <w:tab w:leader="none" w:pos="2017"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a receiver or custodian appointed for it or for all or any substantial part of its property, or</w:t>
      </w:r>
    </w:p>
    <w:p>
      <w:pPr>
        <w:spacing w:after="0" w:line="173" w:lineRule="exact"/>
        <w:rPr>
          <w:rFonts w:ascii="Courier New" w:cs="Courier New" w:eastAsia="Courier New" w:hAnsi="Courier New"/>
          <w:sz w:val="15"/>
          <w:szCs w:val="15"/>
          <w:color w:val="auto"/>
        </w:rPr>
      </w:pPr>
    </w:p>
    <w:p>
      <w:pPr>
        <w:ind w:left="1580" w:right="3319" w:firstLine="4"/>
        <w:spacing w:after="0" w:line="256" w:lineRule="auto"/>
        <w:tabs>
          <w:tab w:leader="none" w:pos="2017" w:val="left"/>
        </w:tabs>
        <w:numPr>
          <w:ilvl w:val="1"/>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have an order of any court entered for relief against it under the provisions of Title 11 of the United States Code, as now constituted or hereafter amended, or under any other applicable federal or state bankruptcy or similar law, or</w:t>
      </w:r>
    </w:p>
    <w:p>
      <w:pPr>
        <w:spacing w:after="0" w:line="164" w:lineRule="exact"/>
        <w:rPr>
          <w:rFonts w:ascii="Courier New" w:cs="Courier New" w:eastAsia="Courier New" w:hAnsi="Courier New"/>
          <w:sz w:val="14"/>
          <w:szCs w:val="14"/>
          <w:color w:val="auto"/>
        </w:rPr>
      </w:pPr>
    </w:p>
    <w:p>
      <w:pPr>
        <w:ind w:left="1580" w:right="3579" w:firstLine="4"/>
        <w:spacing w:after="0" w:line="235" w:lineRule="auto"/>
        <w:tabs>
          <w:tab w:leader="none" w:pos="2017"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any public officer take charge or control of the Common Stock Warrant Agent or of its property or affairs, for the purpose of rehabilitation, conservation or liquidation,</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 successor Common Stock Warrant Agent, qualified as aforesaid, shall be appointed by the Company by an instrument in writing, filed with the successor Common Stock Warrant Agent. Upon the appointment as aforesaid of a successor Common Stock Warrant Agent and acceptance by the latter of such appointment, the Common Stock Warrant Agent so superseded shall cease to be Common Stock Warrant Agent hereunder.</w:t>
      </w:r>
    </w:p>
    <w:p>
      <w:pPr>
        <w:spacing w:after="0" w:line="175" w:lineRule="exact"/>
        <w:rPr>
          <w:sz w:val="20"/>
          <w:szCs w:val="20"/>
          <w:color w:val="auto"/>
        </w:rPr>
      </w:pPr>
    </w:p>
    <w:p>
      <w:pPr>
        <w:ind w:right="3239" w:firstLine="1322"/>
        <w:spacing w:after="0" w:line="237" w:lineRule="auto"/>
        <w:tabs>
          <w:tab w:leader="none" w:pos="1662"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successor Common Stock Warrant Agent appointed hereunder shall execute, acknowledge and deliver to its predecessor and to the Company an instrument accepting such appointment hereunder, and thereupon such successor Common Stock Warrant Agent, without any further act, deed or conveyance, shall become vested with all the authority, rights, powers, trusts, immunities, duties and obligations of such predecessor with like effect as if originally named as Common Stock Warrant Agent hereunder, and such predecessor, upon payment of its charges and disbursements then unpaid, shall thereupon become obligated to transfer, deliver and pay over, and such successor Common Stock Warrant Agent shall be entitled to receive all moneys, securities and other property on deposit with or held by such predecessor, as Common Stock Warrant Agent hereunder.</w:t>
      </w:r>
    </w:p>
    <w:p>
      <w:pPr>
        <w:spacing w:after="0" w:line="173" w:lineRule="exact"/>
        <w:rPr>
          <w:rFonts w:ascii="Courier New" w:cs="Courier New" w:eastAsia="Courier New" w:hAnsi="Courier New"/>
          <w:sz w:val="15"/>
          <w:szCs w:val="15"/>
          <w:color w:val="auto"/>
        </w:rPr>
      </w:pPr>
    </w:p>
    <w:p>
      <w:pPr>
        <w:ind w:right="3399" w:firstLine="1322"/>
        <w:spacing w:after="0" w:line="256" w:lineRule="auto"/>
        <w:tabs>
          <w:tab w:leader="none" w:pos="1662"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cause notice of the appointment of any successor Common Stock Warrant Agent to be mailed by first class mail, postage prepaid, to each Holder at its address appearing on the Common Stock Warrant Register. Such notice shall set forth the name and address of the successor</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17" w:right="1440" w:bottom="1440" w:gutter="0" w:footer="0" w:header="0"/>
        </w:sectPr>
      </w:pPr>
    </w:p>
    <w:bookmarkStart w:id="79" w:name="page80"/>
    <w:bookmarkEnd w:id="79"/>
    <w:p>
      <w:pPr>
        <w:ind w:right="3319"/>
        <w:spacing w:after="0" w:line="258" w:lineRule="auto"/>
        <w:rPr>
          <w:sz w:val="20"/>
          <w:szCs w:val="20"/>
          <w:color w:val="auto"/>
        </w:rPr>
      </w:pPr>
      <w:r>
        <w:rPr>
          <w:rFonts w:ascii="Courier New" w:cs="Courier New" w:eastAsia="Courier New" w:hAnsi="Courier New"/>
          <w:sz w:val="14"/>
          <w:szCs w:val="14"/>
          <w:color w:val="auto"/>
        </w:rPr>
        <w:t>Common Stock Warrant Agent. Failure to give any notice provided for in this Section 5.04(e), or any defect therein, shall not, however, affect the legality or validity of the appointment of the successor Common Stock Warrant Agent.</w:t>
      </w:r>
    </w:p>
    <w:p>
      <w:pPr>
        <w:spacing w:after="0" w:line="161" w:lineRule="exact"/>
        <w:rPr>
          <w:sz w:val="20"/>
          <w:szCs w:val="20"/>
          <w:color w:val="auto"/>
        </w:rPr>
      </w:pPr>
    </w:p>
    <w:p>
      <w:pPr>
        <w:ind w:right="3319" w:firstLine="1322"/>
        <w:spacing w:after="0" w:line="255" w:lineRule="auto"/>
        <w:tabs>
          <w:tab w:leader="none" w:pos="1662"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corporation into which the Common Stock Warrant Agent hereunder may be merged or converted or any corporation with which the Common Stock Warrant Agent may be consolidated, or any corporation resulting from any merger, conversion or consolidation to which the Common Stock Warrant Agent shall be a party, or any corporation to which the Common Stock Warrant Agent shall sell or otherwise transfer all or substantially all of the assets and business of the Common Stock Warrant Agent, provided that it shall be qualified as provided in Section 5.04(b), shall be the successor Common Stock Warrant Agent under this Agreement without the execution or filing of any paper or any further act on the part of any of the parties hereto.</w:t>
      </w:r>
    </w:p>
    <w:p>
      <w:pPr>
        <w:spacing w:after="0" w:line="15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VI</w:t>
      </w:r>
    </w:p>
    <w:p>
      <w:pPr>
        <w:ind w:left="2980"/>
        <w:spacing w:after="0" w:line="237" w:lineRule="auto"/>
        <w:rPr>
          <w:sz w:val="20"/>
          <w:szCs w:val="20"/>
          <w:color w:val="auto"/>
        </w:rPr>
      </w:pPr>
      <w:r>
        <w:rPr>
          <w:rFonts w:ascii="Courier New" w:cs="Courier New" w:eastAsia="Courier New" w:hAnsi="Courier New"/>
          <w:sz w:val="15"/>
          <w:szCs w:val="15"/>
          <w:color w:val="auto"/>
        </w:rPr>
        <w:t>MISCELLANEOUS</w:t>
      </w:r>
    </w:p>
    <w:p>
      <w:pPr>
        <w:spacing w:after="0" w:line="167" w:lineRule="exact"/>
        <w:rPr>
          <w:sz w:val="20"/>
          <w:szCs w:val="20"/>
          <w:color w:val="auto"/>
        </w:rPr>
      </w:pPr>
    </w:p>
    <w:p>
      <w:pPr>
        <w:ind w:left="440"/>
        <w:spacing w:after="0"/>
        <w:tabs>
          <w:tab w:leader="none" w:pos="1820" w:val="left"/>
        </w:tabs>
        <w:rPr>
          <w:sz w:val="20"/>
          <w:szCs w:val="20"/>
          <w:color w:val="auto"/>
        </w:rPr>
      </w:pPr>
      <w:r>
        <w:rPr>
          <w:rFonts w:ascii="Courier New" w:cs="Courier New" w:eastAsia="Courier New" w:hAnsi="Courier New"/>
          <w:sz w:val="15"/>
          <w:szCs w:val="15"/>
          <w:color w:val="auto"/>
        </w:rPr>
        <w:t>SECTION 6.01.</w:t>
      </w:r>
      <w:r>
        <w:rPr>
          <w:sz w:val="20"/>
          <w:szCs w:val="20"/>
          <w:color w:val="auto"/>
        </w:rPr>
        <w:tab/>
      </w:r>
      <w:r>
        <w:rPr>
          <w:rFonts w:ascii="Courier New" w:cs="Courier New" w:eastAsia="Courier New" w:hAnsi="Courier New"/>
          <w:sz w:val="14"/>
          <w:szCs w:val="14"/>
          <w:color w:val="auto"/>
        </w:rPr>
        <w:t>Supplements and Amendments.</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firstLine="1322"/>
        <w:spacing w:after="0" w:line="237" w:lineRule="auto"/>
        <w:tabs>
          <w:tab w:leader="none" w:pos="1662"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and the Common Stock Warrants may be supplemented or amended by the Company and the Common Stock Warrant Agent, without the consent of the Holders, for the purpose of curing any ambiguity, or of curing, correcting or supplementing any defective or inconsistent provision contained herein or therein or in any other manner which the Company may deem to be necessary or desirable and which will not materially adversely affect the interests of the Holders of the Common Stock Warrants. Every Holder of Common Stock Warrants, whether issued before or after any such supplement or amendment, shall be bound thereby. Promptly after the effectiveness of any supplement or amendment that affects the interests of the Holders, the Company shall give notice thereof, as provided in Section 5.04(e) hereof, to the Holders affected thereby, setting forth in general terms the substance of such supplement or amendment.</w:t>
      </w:r>
    </w:p>
    <w:p>
      <w:pPr>
        <w:spacing w:after="0" w:line="173" w:lineRule="exact"/>
        <w:rPr>
          <w:rFonts w:ascii="Courier New" w:cs="Courier New" w:eastAsia="Courier New" w:hAnsi="Courier New"/>
          <w:sz w:val="15"/>
          <w:szCs w:val="15"/>
          <w:color w:val="auto"/>
        </w:rPr>
      </w:pPr>
    </w:p>
    <w:p>
      <w:pPr>
        <w:ind w:right="3239" w:firstLine="1322"/>
        <w:spacing w:after="0" w:line="255" w:lineRule="auto"/>
        <w:tabs>
          <w:tab w:leader="none" w:pos="1662"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the Common Stock Warrant Agent may modify or amend this Agreement and the Common Stock Warrant Certificates with the consent of the Holders of not fewer than a majority in number of the then outstanding unexercised Common Stock Warrants affected by such modification or amendment, for any purpose; provided, however, that no such modification or amendment that shortens the period of time during which the Common Stock Warrants may be exercised, [affects other material terms of the Common Stock Warrants that may be set forth in a prospectus supplement] or reduces the percentage of Holders of outstanding Common Stock Warrants the consent of which is required for modification or amendment of this Agreement or the Common Stock Warrants, may be made without the consent of each Holder affected thereby.</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24" w:right="1440" w:bottom="1440" w:gutter="0" w:footer="0" w:header="0"/>
        </w:sectPr>
      </w:pPr>
    </w:p>
    <w:bookmarkStart w:id="80" w:name="page81"/>
    <w:bookmarkEnd w:id="80"/>
    <w:p>
      <w:pPr>
        <w:ind w:left="440"/>
        <w:spacing w:after="0"/>
        <w:tabs>
          <w:tab w:leader="none" w:pos="1820" w:val="left"/>
        </w:tabs>
        <w:rPr>
          <w:sz w:val="20"/>
          <w:szCs w:val="20"/>
          <w:color w:val="auto"/>
        </w:rPr>
      </w:pPr>
      <w:r>
        <w:rPr>
          <w:rFonts w:ascii="Courier New" w:cs="Courier New" w:eastAsia="Courier New" w:hAnsi="Courier New"/>
          <w:sz w:val="15"/>
          <w:szCs w:val="15"/>
          <w:color w:val="auto"/>
        </w:rPr>
        <w:t>SECTION 6.02.</w:t>
      </w:r>
      <w:r>
        <w:rPr>
          <w:sz w:val="20"/>
          <w:szCs w:val="20"/>
          <w:color w:val="auto"/>
        </w:rPr>
        <w:tab/>
      </w:r>
      <w:r>
        <w:rPr>
          <w:rFonts w:ascii="Courier New" w:cs="Courier New" w:eastAsia="Courier New" w:hAnsi="Courier New"/>
          <w:sz w:val="14"/>
          <w:szCs w:val="14"/>
          <w:color w:val="auto"/>
        </w:rPr>
        <w:t>Notices and Demands.</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firstLine="1312"/>
        <w:spacing w:after="0" w:line="235" w:lineRule="auto"/>
        <w:rPr>
          <w:sz w:val="20"/>
          <w:szCs w:val="20"/>
          <w:color w:val="auto"/>
        </w:rPr>
      </w:pPr>
      <w:r>
        <w:rPr>
          <w:rFonts w:ascii="Courier New" w:cs="Courier New" w:eastAsia="Courier New" w:hAnsi="Courier New"/>
          <w:sz w:val="15"/>
          <w:szCs w:val="15"/>
          <w:color w:val="auto"/>
        </w:rPr>
        <w:t>If the Common Stock Warrant Agent shall receive any notice or demand addressed to the Company by any Holder pursuant to the provisions of the Common Stock Warrant Certificates, the Common Stock Warrant Agent shall promptly forward such notice or demand to the Company.</w:t>
      </w:r>
    </w:p>
    <w:p>
      <w:pPr>
        <w:spacing w:after="0" w:line="169" w:lineRule="exact"/>
        <w:rPr>
          <w:sz w:val="20"/>
          <w:szCs w:val="20"/>
          <w:color w:val="auto"/>
        </w:rPr>
      </w:pPr>
    </w:p>
    <w:p>
      <w:pPr>
        <w:ind w:left="440"/>
        <w:spacing w:after="0"/>
        <w:tabs>
          <w:tab w:leader="none" w:pos="1820" w:val="left"/>
        </w:tabs>
        <w:rPr>
          <w:sz w:val="20"/>
          <w:szCs w:val="20"/>
          <w:color w:val="auto"/>
        </w:rPr>
      </w:pPr>
      <w:r>
        <w:rPr>
          <w:rFonts w:ascii="Courier New" w:cs="Courier New" w:eastAsia="Courier New" w:hAnsi="Courier New"/>
          <w:sz w:val="15"/>
          <w:szCs w:val="15"/>
          <w:color w:val="auto"/>
        </w:rPr>
        <w:t>SECTION 6.03.</w:t>
      </w:r>
      <w:r>
        <w:rPr>
          <w:sz w:val="20"/>
          <w:szCs w:val="20"/>
          <w:color w:val="auto"/>
        </w:rPr>
        <w:tab/>
      </w:r>
      <w:r>
        <w:rPr>
          <w:rFonts w:ascii="Courier New" w:cs="Courier New" w:eastAsia="Courier New" w:hAnsi="Courier New"/>
          <w:sz w:val="14"/>
          <w:szCs w:val="14"/>
          <w:color w:val="auto"/>
        </w:rPr>
        <w:t>Addresses for Notices.</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firstLine="1312"/>
        <w:spacing w:after="0" w:line="254" w:lineRule="auto"/>
        <w:rPr>
          <w:sz w:val="20"/>
          <w:szCs w:val="20"/>
          <w:color w:val="auto"/>
        </w:rPr>
      </w:pPr>
      <w:r>
        <w:rPr>
          <w:rFonts w:ascii="Courier New" w:cs="Courier New" w:eastAsia="Courier New" w:hAnsi="Courier New"/>
          <w:sz w:val="14"/>
          <w:szCs w:val="14"/>
          <w:color w:val="auto"/>
        </w:rPr>
        <w:t>Any communications from the Company to the Common Stock Warrant Agent with respect to this Agreement shall be addressed to [name of Common Stock Warrant Agent], [__________________, New York, New York __________], Attention:</w:t>
      </w:r>
    </w:p>
    <w:p>
      <w:pPr>
        <w:spacing w:after="0" w:line="1"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[Corporate Trust Department]; any communications from the Common Stock Warrant Agent to the Company with respect to this Agreement shall be addressed to ClearOne Communications, Inc., 1825 Research Way, Salt Lake City, Utah, 84119, Attention: Chief Executive Officer (with a copy to Bruce Czachor, Shearman &amp; Sterling, 1080 Marsh Road, Menlo Park, CA 94025-1022); or such other addresses as shall be specified in writing by the Common Stock Warrant Agent or by the Company.</w:t>
      </w:r>
    </w:p>
    <w:p>
      <w:pPr>
        <w:spacing w:after="0" w:line="169" w:lineRule="exact"/>
        <w:rPr>
          <w:sz w:val="20"/>
          <w:szCs w:val="20"/>
          <w:color w:val="auto"/>
        </w:rPr>
      </w:pPr>
    </w:p>
    <w:p>
      <w:pPr>
        <w:ind w:left="440"/>
        <w:spacing w:after="0"/>
        <w:tabs>
          <w:tab w:leader="none" w:pos="1820" w:val="left"/>
        </w:tabs>
        <w:rPr>
          <w:sz w:val="20"/>
          <w:szCs w:val="20"/>
          <w:color w:val="auto"/>
        </w:rPr>
      </w:pPr>
      <w:r>
        <w:rPr>
          <w:rFonts w:ascii="Courier New" w:cs="Courier New" w:eastAsia="Courier New" w:hAnsi="Courier New"/>
          <w:sz w:val="15"/>
          <w:szCs w:val="15"/>
          <w:color w:val="auto"/>
        </w:rPr>
        <w:t>SECTION 6.04.</w:t>
      </w:r>
      <w:r>
        <w:rPr>
          <w:sz w:val="20"/>
          <w:szCs w:val="20"/>
          <w:color w:val="auto"/>
        </w:rPr>
        <w:tab/>
      </w:r>
      <w:r>
        <w:rPr>
          <w:rFonts w:ascii="Courier New" w:cs="Courier New" w:eastAsia="Courier New" w:hAnsi="Courier New"/>
          <w:sz w:val="14"/>
          <w:szCs w:val="14"/>
          <w:color w:val="auto"/>
        </w:rPr>
        <w:t>Governing Law.</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firstLine="1312"/>
        <w:spacing w:after="0" w:line="234" w:lineRule="auto"/>
        <w:rPr>
          <w:sz w:val="20"/>
          <w:szCs w:val="20"/>
          <w:color w:val="auto"/>
        </w:rPr>
      </w:pPr>
      <w:r>
        <w:rPr>
          <w:rFonts w:ascii="Courier New" w:cs="Courier New" w:eastAsia="Courier New" w:hAnsi="Courier New"/>
          <w:sz w:val="15"/>
          <w:szCs w:val="15"/>
          <w:color w:val="auto"/>
        </w:rPr>
        <w:t>This Agreement and the Common Stock Warrants shall be governed by and construed in accordance with the laws of the State of New York.</w:t>
      </w:r>
    </w:p>
    <w:p>
      <w:pPr>
        <w:spacing w:after="0" w:line="167" w:lineRule="exact"/>
        <w:rPr>
          <w:sz w:val="20"/>
          <w:szCs w:val="20"/>
          <w:color w:val="auto"/>
        </w:rPr>
      </w:pPr>
    </w:p>
    <w:p>
      <w:pPr>
        <w:ind w:left="440"/>
        <w:spacing w:after="0"/>
        <w:tabs>
          <w:tab w:leader="none" w:pos="1820" w:val="left"/>
        </w:tabs>
        <w:rPr>
          <w:sz w:val="20"/>
          <w:szCs w:val="20"/>
          <w:color w:val="auto"/>
        </w:rPr>
      </w:pPr>
      <w:r>
        <w:rPr>
          <w:rFonts w:ascii="Courier New" w:cs="Courier New" w:eastAsia="Courier New" w:hAnsi="Courier New"/>
          <w:sz w:val="15"/>
          <w:szCs w:val="15"/>
          <w:color w:val="auto"/>
        </w:rPr>
        <w:t>SECTION 6.05.</w:t>
      </w:r>
      <w:r>
        <w:rPr>
          <w:sz w:val="20"/>
          <w:szCs w:val="20"/>
          <w:color w:val="auto"/>
        </w:rPr>
        <w:tab/>
      </w:r>
      <w:r>
        <w:rPr>
          <w:rFonts w:ascii="Courier New" w:cs="Courier New" w:eastAsia="Courier New" w:hAnsi="Courier New"/>
          <w:sz w:val="14"/>
          <w:szCs w:val="14"/>
          <w:color w:val="auto"/>
        </w:rPr>
        <w:t>Governmental Approvals.</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firstLine="1312"/>
        <w:spacing w:after="0" w:line="236" w:lineRule="auto"/>
        <w:rPr>
          <w:sz w:val="20"/>
          <w:szCs w:val="20"/>
          <w:color w:val="auto"/>
        </w:rPr>
      </w:pPr>
      <w:r>
        <w:rPr>
          <w:rFonts w:ascii="Courier New" w:cs="Courier New" w:eastAsia="Courier New" w:hAnsi="Courier New"/>
          <w:sz w:val="15"/>
          <w:szCs w:val="15"/>
          <w:color w:val="auto"/>
        </w:rPr>
        <w:t>The Company will from time to time use all reasonable efforts to obtain and keep effective any and all permits, consents and approvals of governmental agencies and authorities and the national securities exchange on which the Common Stock Warrants may be listed or authorized for trading and to make all filings under the United States federal and state laws, which may be or become requisite in connection with the issuance, sale, trading, transfer or delivery of the Common Stock Warrants, and the exercise of the Common Stock Warrants.</w:t>
      </w:r>
    </w:p>
    <w:p>
      <w:pPr>
        <w:spacing w:after="0" w:line="171" w:lineRule="exact"/>
        <w:rPr>
          <w:sz w:val="20"/>
          <w:szCs w:val="20"/>
          <w:color w:val="auto"/>
        </w:rPr>
      </w:pPr>
    </w:p>
    <w:p>
      <w:pPr>
        <w:ind w:left="440"/>
        <w:spacing w:after="0"/>
        <w:tabs>
          <w:tab w:leader="none" w:pos="1820" w:val="left"/>
        </w:tabs>
        <w:rPr>
          <w:sz w:val="20"/>
          <w:szCs w:val="20"/>
          <w:color w:val="auto"/>
        </w:rPr>
      </w:pPr>
      <w:r>
        <w:rPr>
          <w:rFonts w:ascii="Courier New" w:cs="Courier New" w:eastAsia="Courier New" w:hAnsi="Courier New"/>
          <w:sz w:val="15"/>
          <w:szCs w:val="15"/>
          <w:color w:val="auto"/>
        </w:rPr>
        <w:t>SECTION 6.06.</w:t>
      </w:r>
      <w:r>
        <w:rPr>
          <w:sz w:val="20"/>
          <w:szCs w:val="20"/>
          <w:color w:val="auto"/>
        </w:rPr>
        <w:tab/>
      </w:r>
      <w:r>
        <w:rPr>
          <w:rFonts w:ascii="Courier New" w:cs="Courier New" w:eastAsia="Courier New" w:hAnsi="Courier New"/>
          <w:sz w:val="14"/>
          <w:szCs w:val="14"/>
          <w:color w:val="auto"/>
        </w:rPr>
        <w:t>Persons Having Rights Under Common Stock Warrant Agreement.</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ind w:right="3239" w:firstLine="1312"/>
        <w:spacing w:after="0" w:line="236" w:lineRule="auto"/>
        <w:rPr>
          <w:sz w:val="20"/>
          <w:szCs w:val="20"/>
          <w:color w:val="auto"/>
        </w:rPr>
      </w:pPr>
      <w:r>
        <w:rPr>
          <w:rFonts w:ascii="Courier New" w:cs="Courier New" w:eastAsia="Courier New" w:hAnsi="Courier New"/>
          <w:sz w:val="15"/>
          <w:szCs w:val="15"/>
          <w:color w:val="auto"/>
        </w:rPr>
        <w:t>Nothing in this Agreement expressed or implied and nothing that may be inferred from any of the provisions hereof is intended, or shall be construed, to confer upon, or give to, any person or corporation other than the Company, the Common Stock Warrant Agent and the Holders any right, remedy or claim under or by reason of this Agreement or of any covenant, condition, stipulation, promise or agreement hereof; and all covenants, conditions, stipulations, promises and agreements in this Agreement contained shall be for the sole and exclusive benefit of the Company and the Common Stock Warrant Agent and their successors and of the Holders.</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17" w:right="1440" w:bottom="1440" w:gutter="0" w:footer="0" w:header="0"/>
        </w:sectPr>
      </w:pPr>
    </w:p>
    <w:bookmarkStart w:id="81" w:name="page82"/>
    <w:bookmarkEnd w:id="81"/>
    <w:p>
      <w:pPr>
        <w:ind w:left="440"/>
        <w:spacing w:after="0"/>
        <w:tabs>
          <w:tab w:leader="none" w:pos="1820" w:val="left"/>
        </w:tabs>
        <w:rPr>
          <w:sz w:val="20"/>
          <w:szCs w:val="20"/>
          <w:color w:val="auto"/>
        </w:rPr>
      </w:pPr>
      <w:r>
        <w:rPr>
          <w:rFonts w:ascii="Courier New" w:cs="Courier New" w:eastAsia="Courier New" w:hAnsi="Courier New"/>
          <w:sz w:val="15"/>
          <w:szCs w:val="15"/>
          <w:color w:val="auto"/>
        </w:rPr>
        <w:t>SECTION 6.07.</w:t>
      </w:r>
      <w:r>
        <w:rPr>
          <w:sz w:val="20"/>
          <w:szCs w:val="20"/>
          <w:color w:val="auto"/>
        </w:rPr>
        <w:tab/>
      </w:r>
      <w:r>
        <w:rPr>
          <w:rFonts w:ascii="Courier New" w:cs="Courier New" w:eastAsia="Courier New" w:hAnsi="Courier New"/>
          <w:sz w:val="14"/>
          <w:szCs w:val="14"/>
          <w:color w:val="auto"/>
        </w:rPr>
        <w:t>Delivery of Prospectus.</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99" w:firstLine="1312"/>
        <w:spacing w:after="0" w:line="236" w:lineRule="auto"/>
        <w:rPr>
          <w:sz w:val="20"/>
          <w:szCs w:val="20"/>
          <w:color w:val="auto"/>
        </w:rPr>
      </w:pPr>
      <w:r>
        <w:rPr>
          <w:rFonts w:ascii="Courier New" w:cs="Courier New" w:eastAsia="Courier New" w:hAnsi="Courier New"/>
          <w:sz w:val="15"/>
          <w:szCs w:val="15"/>
          <w:color w:val="auto"/>
        </w:rPr>
        <w:t>The Company will furnish to the Common Stock Warrant Agent sufficient copies of a prospectus or prospectuses relating to the Common Stock deliverable upon exercise of any outstanding Common Stock Warrants (each a "Prospectus"), and the Common Stock Warrant, prior to or concurrently with the delivery of the Common Stock issued upon the exercise thereof, a copy of the Prospectus relating to such Common Stock.</w:t>
      </w:r>
    </w:p>
    <w:p>
      <w:pPr>
        <w:spacing w:after="0" w:line="168" w:lineRule="exact"/>
        <w:rPr>
          <w:sz w:val="20"/>
          <w:szCs w:val="20"/>
          <w:color w:val="auto"/>
        </w:rPr>
      </w:pPr>
    </w:p>
    <w:p>
      <w:pPr>
        <w:ind w:left="440"/>
        <w:spacing w:after="0"/>
        <w:tabs>
          <w:tab w:leader="none" w:pos="1820" w:val="left"/>
        </w:tabs>
        <w:rPr>
          <w:sz w:val="20"/>
          <w:szCs w:val="20"/>
          <w:color w:val="auto"/>
        </w:rPr>
      </w:pPr>
      <w:r>
        <w:rPr>
          <w:rFonts w:ascii="Courier New" w:cs="Courier New" w:eastAsia="Courier New" w:hAnsi="Courier New"/>
          <w:sz w:val="15"/>
          <w:szCs w:val="15"/>
          <w:color w:val="auto"/>
        </w:rPr>
        <w:t>SECTION 6.08.</w:t>
      </w:r>
      <w:r>
        <w:rPr>
          <w:sz w:val="20"/>
          <w:szCs w:val="20"/>
          <w:color w:val="auto"/>
        </w:rPr>
        <w:tab/>
      </w:r>
      <w:r>
        <w:rPr>
          <w:rFonts w:ascii="Courier New" w:cs="Courier New" w:eastAsia="Courier New" w:hAnsi="Courier New"/>
          <w:sz w:val="14"/>
          <w:szCs w:val="14"/>
          <w:color w:val="auto"/>
        </w:rPr>
        <w:t>Headings.</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firstLine="1312"/>
        <w:spacing w:after="0" w:line="258" w:lineRule="auto"/>
        <w:rPr>
          <w:sz w:val="20"/>
          <w:szCs w:val="20"/>
          <w:color w:val="auto"/>
        </w:rPr>
      </w:pPr>
      <w:r>
        <w:rPr>
          <w:rFonts w:ascii="Courier New" w:cs="Courier New" w:eastAsia="Courier New" w:hAnsi="Courier New"/>
          <w:sz w:val="14"/>
          <w:szCs w:val="14"/>
          <w:color w:val="auto"/>
        </w:rPr>
        <w:t>The descriptive headings of the several Articles and Sections and the Table of Contents of this Agreement are for convenience only and shall not control or affect the meaning or construction of any of the provisions hereof.</w:t>
      </w:r>
    </w:p>
    <w:p>
      <w:pPr>
        <w:spacing w:after="0" w:line="155" w:lineRule="exact"/>
        <w:rPr>
          <w:sz w:val="20"/>
          <w:szCs w:val="20"/>
          <w:color w:val="auto"/>
        </w:rPr>
      </w:pPr>
    </w:p>
    <w:p>
      <w:pPr>
        <w:ind w:left="440"/>
        <w:spacing w:after="0"/>
        <w:tabs>
          <w:tab w:leader="none" w:pos="1820" w:val="left"/>
        </w:tabs>
        <w:rPr>
          <w:sz w:val="20"/>
          <w:szCs w:val="20"/>
          <w:color w:val="auto"/>
        </w:rPr>
      </w:pPr>
      <w:r>
        <w:rPr>
          <w:rFonts w:ascii="Courier New" w:cs="Courier New" w:eastAsia="Courier New" w:hAnsi="Courier New"/>
          <w:sz w:val="15"/>
          <w:szCs w:val="15"/>
          <w:color w:val="auto"/>
        </w:rPr>
        <w:t>SECTION 6.09.</w:t>
      </w:r>
      <w:r>
        <w:rPr>
          <w:sz w:val="20"/>
          <w:szCs w:val="20"/>
          <w:color w:val="auto"/>
        </w:rPr>
        <w:tab/>
      </w:r>
      <w:r>
        <w:rPr>
          <w:rFonts w:ascii="Courier New" w:cs="Courier New" w:eastAsia="Courier New" w:hAnsi="Courier New"/>
          <w:sz w:val="14"/>
          <w:szCs w:val="14"/>
          <w:color w:val="auto"/>
        </w:rPr>
        <w:t>Counterparts.</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499" w:firstLine="1312"/>
        <w:spacing w:after="0" w:line="235" w:lineRule="auto"/>
        <w:rPr>
          <w:sz w:val="20"/>
          <w:szCs w:val="20"/>
          <w:color w:val="auto"/>
        </w:rPr>
      </w:pPr>
      <w:r>
        <w:rPr>
          <w:rFonts w:ascii="Courier New" w:cs="Courier New" w:eastAsia="Courier New" w:hAnsi="Courier New"/>
          <w:sz w:val="15"/>
          <w:szCs w:val="15"/>
          <w:color w:val="auto"/>
        </w:rPr>
        <w:t>This Agreement may be executed by the parties hereto in any number of counterparts, each of which when so executed and delivered shall be deemed to be an original; but all such counterparts shall together constitute but one and the same instrument.</w:t>
      </w:r>
    </w:p>
    <w:p>
      <w:pPr>
        <w:spacing w:after="0" w:line="169" w:lineRule="exact"/>
        <w:rPr>
          <w:sz w:val="20"/>
          <w:szCs w:val="20"/>
          <w:color w:val="auto"/>
        </w:rPr>
      </w:pPr>
    </w:p>
    <w:p>
      <w:pPr>
        <w:ind w:left="440"/>
        <w:spacing w:after="0"/>
        <w:tabs>
          <w:tab w:leader="none" w:pos="1820" w:val="left"/>
        </w:tabs>
        <w:rPr>
          <w:sz w:val="20"/>
          <w:szCs w:val="20"/>
          <w:color w:val="auto"/>
        </w:rPr>
      </w:pPr>
      <w:r>
        <w:rPr>
          <w:rFonts w:ascii="Courier New" w:cs="Courier New" w:eastAsia="Courier New" w:hAnsi="Courier New"/>
          <w:sz w:val="15"/>
          <w:szCs w:val="15"/>
          <w:color w:val="auto"/>
        </w:rPr>
        <w:t>SECTION 6.10.</w:t>
      </w:r>
      <w:r>
        <w:rPr>
          <w:sz w:val="20"/>
          <w:szCs w:val="20"/>
          <w:color w:val="auto"/>
        </w:rPr>
        <w:tab/>
      </w:r>
      <w:r>
        <w:rPr>
          <w:rFonts w:ascii="Courier New" w:cs="Courier New" w:eastAsia="Courier New" w:hAnsi="Courier New"/>
          <w:sz w:val="14"/>
          <w:szCs w:val="14"/>
          <w:color w:val="auto"/>
        </w:rPr>
        <w:t>Judgment Currency.</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firstLine="1312"/>
        <w:spacing w:after="0" w:line="237" w:lineRule="auto"/>
        <w:rPr>
          <w:sz w:val="20"/>
          <w:szCs w:val="20"/>
          <w:color w:val="auto"/>
        </w:rPr>
      </w:pPr>
      <w:r>
        <w:rPr>
          <w:rFonts w:ascii="Courier New" w:cs="Courier New" w:eastAsia="Courier New" w:hAnsi="Courier New"/>
          <w:sz w:val="15"/>
          <w:szCs w:val="15"/>
          <w:color w:val="auto"/>
        </w:rPr>
        <w:t>The Company agrees to indemnify each Holder against any loss incurred by such party as a result of any judgment or order being given or made for any amount due under this Agreement and such judgment or order being expressed and paid in a currency (the "Judgment Currency") other than United States dollars and as a result of any variation as between (a) the rate of exchange at which the United States dollar amount is converted into the Judgment Currency for the purpose of such judgment or order and (b) the spot rate of exchange in the City of New York at which such party on the date of payment of such judgment or order is able to purchase United States dollars with the amount of the Judgment Currency actually received by such party. The foregoing indemnity shall continue in full force and effect notwithstanding any such judgment or order as aforesaid. The term "spot rate of exchange" shall include any premiums and costs of exchange payable in connection with the purchase of, or conversion into, United States dollars.</w:t>
      </w:r>
    </w:p>
    <w:p>
      <w:pPr>
        <w:spacing w:after="0" w:line="167" w:lineRule="exact"/>
        <w:rPr>
          <w:sz w:val="20"/>
          <w:szCs w:val="20"/>
          <w:color w:val="auto"/>
        </w:rPr>
      </w:pPr>
    </w:p>
    <w:p>
      <w:pPr>
        <w:ind w:left="440"/>
        <w:spacing w:after="0"/>
        <w:tabs>
          <w:tab w:leader="none" w:pos="1820" w:val="left"/>
        </w:tabs>
        <w:rPr>
          <w:sz w:val="20"/>
          <w:szCs w:val="20"/>
          <w:color w:val="auto"/>
        </w:rPr>
      </w:pPr>
      <w:r>
        <w:rPr>
          <w:rFonts w:ascii="Courier New" w:cs="Courier New" w:eastAsia="Courier New" w:hAnsi="Courier New"/>
          <w:sz w:val="15"/>
          <w:szCs w:val="15"/>
          <w:color w:val="auto"/>
        </w:rPr>
        <w:t>SECTION 6.11.</w:t>
      </w:r>
      <w:r>
        <w:rPr>
          <w:sz w:val="20"/>
          <w:szCs w:val="20"/>
          <w:color w:val="auto"/>
        </w:rPr>
        <w:tab/>
      </w:r>
      <w:r>
        <w:rPr>
          <w:rFonts w:ascii="Courier New" w:cs="Courier New" w:eastAsia="Courier New" w:hAnsi="Courier New"/>
          <w:sz w:val="14"/>
          <w:szCs w:val="14"/>
          <w:color w:val="auto"/>
        </w:rPr>
        <w:t>Inspection of Agreement.</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firstLine="1312"/>
        <w:spacing w:after="0" w:line="236" w:lineRule="auto"/>
        <w:rPr>
          <w:sz w:val="20"/>
          <w:szCs w:val="20"/>
          <w:color w:val="auto"/>
        </w:rPr>
      </w:pPr>
      <w:r>
        <w:rPr>
          <w:rFonts w:ascii="Courier New" w:cs="Courier New" w:eastAsia="Courier New" w:hAnsi="Courier New"/>
          <w:sz w:val="15"/>
          <w:szCs w:val="15"/>
          <w:color w:val="auto"/>
        </w:rPr>
        <w:t>A copy of this Agreement shall be available during normal business hours at the principal corporate trust office of the Common Stock Warrant Agent, for inspection by any Holder of Common Stock Warrants. The Common Stock Warrant Agent may require such Holder to submit its Common Stock Warrant Certificate for inspection prior to making such copy available.</w:t>
      </w:r>
    </w:p>
    <w:p>
      <w:pPr>
        <w:spacing w:after="0" w:line="16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17" w:right="1440" w:bottom="1440" w:gutter="0" w:footer="0" w:header="0"/>
        </w:sectPr>
      </w:pPr>
    </w:p>
    <w:bookmarkStart w:id="82" w:name="page83"/>
    <w:bookmarkEnd w:id="82"/>
    <w:p>
      <w:pPr>
        <w:ind w:right="3579"/>
        <w:spacing w:after="0" w:line="235" w:lineRule="auto"/>
        <w:rPr>
          <w:sz w:val="20"/>
          <w:szCs w:val="20"/>
          <w:color w:val="auto"/>
        </w:rPr>
      </w:pPr>
      <w:r>
        <w:rPr>
          <w:rFonts w:ascii="Courier New" w:cs="Courier New" w:eastAsia="Courier New" w:hAnsi="Courier New"/>
          <w:sz w:val="15"/>
          <w:szCs w:val="15"/>
          <w:color w:val="auto"/>
        </w:rPr>
        <w:t>IN WITNESS WHEREOF, the parties hereto have caused this Agreement to be duly executed and their respective corporate seals to be hereunto affixed and attested, all as of the day and year first above written.</w:t>
      </w:r>
    </w:p>
    <w:p>
      <w:pPr>
        <w:spacing w:after="0" w:line="167"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CLEARONE COMMUNICATIONS, INC.</w:t>
      </w:r>
    </w:p>
    <w:p>
      <w:pPr>
        <w:spacing w:after="0" w:line="200" w:lineRule="exact"/>
        <w:rPr>
          <w:sz w:val="20"/>
          <w:szCs w:val="20"/>
          <w:color w:val="auto"/>
        </w:rPr>
      </w:pPr>
    </w:p>
    <w:p>
      <w:pPr>
        <w:spacing w:after="0" w:line="30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Name and Title</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Attest:</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By:</w:t>
      </w:r>
    </w:p>
    <w:p>
      <w:pPr>
        <w:ind w:left="440"/>
        <w:spacing w:after="0" w:line="237" w:lineRule="auto"/>
        <w:rPr>
          <w:sz w:val="20"/>
          <w:szCs w:val="20"/>
          <w:color w:val="auto"/>
        </w:rPr>
      </w:pPr>
      <w:r>
        <w:rPr>
          <w:rFonts w:ascii="Courier New" w:cs="Courier New" w:eastAsia="Courier New" w:hAnsi="Courier New"/>
          <w:sz w:val="15"/>
          <w:szCs w:val="15"/>
          <w:color w:val="auto"/>
        </w:rPr>
        <w:t>----------------------------</w:t>
      </w:r>
    </w:p>
    <w:p>
      <w:pPr>
        <w:ind w:left="440"/>
        <w:spacing w:after="0" w:line="238" w:lineRule="auto"/>
        <w:rPr>
          <w:sz w:val="20"/>
          <w:szCs w:val="20"/>
          <w:color w:val="auto"/>
        </w:rPr>
      </w:pPr>
      <w:r>
        <w:rPr>
          <w:rFonts w:ascii="Courier New" w:cs="Courier New" w:eastAsia="Courier New" w:hAnsi="Courier New"/>
          <w:sz w:val="15"/>
          <w:szCs w:val="15"/>
          <w:color w:val="auto"/>
        </w:rPr>
        <w:t>Name and Title</w:t>
      </w:r>
    </w:p>
    <w:p>
      <w:pPr>
        <w:spacing w:after="0" w:line="335"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5"/>
          <w:szCs w:val="15"/>
          <w:color w:val="auto"/>
        </w:rPr>
        <w:t>[COMMON STOCK WARRANT AGENT]</w:t>
      </w:r>
    </w:p>
    <w:p>
      <w:pPr>
        <w:spacing w:after="0" w:line="200" w:lineRule="exact"/>
        <w:rPr>
          <w:sz w:val="20"/>
          <w:szCs w:val="20"/>
          <w:color w:val="auto"/>
        </w:rPr>
      </w:pPr>
    </w:p>
    <w:p>
      <w:pPr>
        <w:spacing w:after="0" w:line="30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Name and Title</w:t>
      </w:r>
    </w:p>
    <w:p>
      <w:pPr>
        <w:spacing w:after="0" w:line="33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Attest:</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By:</w:t>
      </w:r>
    </w:p>
    <w:p>
      <w:pPr>
        <w:ind w:left="440"/>
        <w:spacing w:after="0" w:line="237" w:lineRule="auto"/>
        <w:rPr>
          <w:sz w:val="20"/>
          <w:szCs w:val="20"/>
          <w:color w:val="auto"/>
        </w:rPr>
      </w:pPr>
      <w:r>
        <w:rPr>
          <w:rFonts w:ascii="Courier New" w:cs="Courier New" w:eastAsia="Courier New" w:hAnsi="Courier New"/>
          <w:sz w:val="15"/>
          <w:szCs w:val="15"/>
          <w:color w:val="auto"/>
        </w:rPr>
        <w:t>----------------------------</w:t>
      </w:r>
    </w:p>
    <w:p>
      <w:pPr>
        <w:ind w:left="440"/>
        <w:spacing w:after="0" w:line="238" w:lineRule="auto"/>
        <w:rPr>
          <w:sz w:val="20"/>
          <w:szCs w:val="20"/>
          <w:color w:val="auto"/>
        </w:rPr>
      </w:pPr>
      <w:r>
        <w:rPr>
          <w:rFonts w:ascii="Courier New" w:cs="Courier New" w:eastAsia="Courier New" w:hAnsi="Courier New"/>
          <w:sz w:val="15"/>
          <w:szCs w:val="15"/>
          <w:color w:val="auto"/>
        </w:rPr>
        <w:t>Name and 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960" w:right="1440" w:bottom="1440" w:gutter="0" w:footer="0" w:header="0"/>
        </w:sectPr>
      </w:pPr>
    </w:p>
    <w:bookmarkStart w:id="83" w:name="page84"/>
    <w:bookmarkEnd w:id="83"/>
    <w:p>
      <w:pPr>
        <w:ind w:left="1940"/>
        <w:spacing w:after="0"/>
        <w:rPr>
          <w:sz w:val="20"/>
          <w:szCs w:val="20"/>
          <w:color w:val="auto"/>
        </w:rPr>
      </w:pPr>
      <w:r>
        <w:rPr>
          <w:rFonts w:ascii="Courier New" w:cs="Courier New" w:eastAsia="Courier New" w:hAnsi="Courier New"/>
          <w:sz w:val="15"/>
          <w:szCs w:val="15"/>
          <w:color w:val="auto"/>
        </w:rPr>
        <w:t>Exhibit A</w:t>
      </w:r>
    </w:p>
    <w:p>
      <w:pPr>
        <w:spacing w:after="0" w:line="166" w:lineRule="exact"/>
        <w:rPr>
          <w:sz w:val="20"/>
          <w:szCs w:val="20"/>
          <w:color w:val="auto"/>
        </w:rPr>
      </w:pPr>
    </w:p>
    <w:p>
      <w:pPr>
        <w:jc w:val="center"/>
        <w:ind w:right="4439"/>
        <w:spacing w:after="0"/>
        <w:rPr>
          <w:sz w:val="20"/>
          <w:szCs w:val="20"/>
          <w:color w:val="auto"/>
        </w:rPr>
      </w:pPr>
      <w:r>
        <w:rPr>
          <w:rFonts w:ascii="Courier New" w:cs="Courier New" w:eastAsia="Courier New" w:hAnsi="Courier New"/>
          <w:sz w:val="15"/>
          <w:szCs w:val="15"/>
          <w:color w:val="auto"/>
        </w:rPr>
        <w:t>to</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Common Stock Warrant Agreement</w:t>
      </w:r>
    </w:p>
    <w:p>
      <w:pPr>
        <w:spacing w:after="0" w:line="166"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dated as of _______, 20__</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[Compensation of Common Stock Warrant Agent]</w:t>
      </w:r>
    </w:p>
    <w:p>
      <w:pPr>
        <w:sectPr>
          <w:pgSz w:w="11900" w:h="16838" w:orient="portrait"/>
          <w:cols w:equalWidth="0" w:num="1">
            <w:col w:w="9019"/>
          </w:cols>
          <w:pgMar w:left="1440" w:top="785" w:right="1440" w:bottom="1440" w:gutter="0" w:footer="0" w:header="0"/>
        </w:sectPr>
      </w:pPr>
    </w:p>
    <w:bookmarkStart w:id="84" w:name="page85"/>
    <w:bookmarkEnd w:id="84"/>
    <w:p>
      <w:pPr>
        <w:ind w:left="6040"/>
        <w:spacing w:after="0"/>
        <w:rPr>
          <w:sz w:val="20"/>
          <w:szCs w:val="20"/>
          <w:color w:val="auto"/>
        </w:rPr>
      </w:pPr>
      <w:r>
        <w:rPr>
          <w:rFonts w:ascii="Courier New" w:cs="Courier New" w:eastAsia="Courier New" w:hAnsi="Courier New"/>
          <w:sz w:val="14"/>
          <w:szCs w:val="14"/>
          <w:color w:val="auto"/>
        </w:rPr>
        <w:t>Exhibit 4.4</w:t>
      </w:r>
    </w:p>
    <w:p>
      <w:pPr>
        <w:spacing w:after="0" w:line="17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DEBT WARRANT AGREEMENT*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Dated as of _______, 200_</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between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[NAME OF DEBT WARRANT AGENT], as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Debt Warrant Agent</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14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40" w:hanging="430"/>
        <w:spacing w:after="0" w:line="235" w:lineRule="auto"/>
        <w:tabs>
          <w:tab w:leader="none" w:pos="44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DETAILS YET TO BE DETERMINED, REPRESENTED HEREIN, SHALL BE DETERMINED IN CONFORMITY SUPPLEMENT OR SUPPLEMENTS.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BY BRACKETED OR BLANK SECTIONS</w:t>
      </w:r>
    </w:p>
    <w:p>
      <w:pPr>
        <w:spacing w:after="0" w:line="3" w:lineRule="exact"/>
        <w:rPr>
          <w:sz w:val="20"/>
          <w:szCs w:val="20"/>
          <w:color w:val="auto"/>
        </w:rPr>
      </w:pPr>
    </w:p>
    <w:p>
      <w:pPr>
        <w:spacing w:after="0"/>
        <w:tabs>
          <w:tab w:leader="none" w:pos="1820" w:val="left"/>
        </w:tabs>
        <w:rPr>
          <w:sz w:val="20"/>
          <w:szCs w:val="20"/>
          <w:color w:val="auto"/>
        </w:rPr>
      </w:pPr>
      <w:r>
        <w:rPr>
          <w:rFonts w:ascii="Courier New" w:cs="Courier New" w:eastAsia="Courier New" w:hAnsi="Courier New"/>
          <w:sz w:val="15"/>
          <w:szCs w:val="15"/>
          <w:color w:val="auto"/>
        </w:rPr>
        <w:t>WITH THE APPLICABLE</w:t>
      </w:r>
      <w:r>
        <w:rPr>
          <w:sz w:val="20"/>
          <w:szCs w:val="20"/>
          <w:color w:val="auto"/>
        </w:rPr>
        <w:tab/>
      </w:r>
      <w:r>
        <w:rPr>
          <w:rFonts w:ascii="Courier New" w:cs="Courier New" w:eastAsia="Courier New" w:hAnsi="Courier New"/>
          <w:sz w:val="14"/>
          <w:szCs w:val="14"/>
          <w:color w:val="auto"/>
        </w:rPr>
        <w:t>PROSPECTUS</w:t>
      </w:r>
    </w:p>
    <w:p>
      <w:pPr>
        <w:spacing w:after="0" w:line="367" w:lineRule="exact"/>
        <w:rPr>
          <w:sz w:val="20"/>
          <w:szCs w:val="20"/>
          <w:color w:val="auto"/>
        </w:rPr>
      </w:pPr>
    </w:p>
    <w:p>
      <w:pPr>
        <w:sectPr>
          <w:pgSz w:w="11900" w:h="16838" w:orient="portrait"/>
          <w:cols w:equalWidth="0" w:num="2">
            <w:col w:w="4200" w:space="100"/>
            <w:col w:w="5939"/>
          </w:cols>
          <w:pgMar w:left="220" w:top="141" w:right="1440" w:bottom="0" w:gutter="0" w:footer="0" w:header="0"/>
          <w:type w:val="continuous"/>
        </w:sectPr>
      </w:pPr>
    </w:p>
    <w:p>
      <w:pPr>
        <w:spacing w:after="0" w:line="200" w:lineRule="exact"/>
        <w:rPr>
          <w:sz w:val="20"/>
          <w:szCs w:val="20"/>
          <w:color w:val="auto"/>
        </w:rPr>
      </w:pPr>
    </w:p>
    <w:p>
      <w:pPr>
        <w:spacing w:after="0" w:line="249"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TABLE OF CONTENTS</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PAGE</w:t>
      </w:r>
    </w:p>
    <w:p>
      <w:pPr>
        <w:jc w:val="right"/>
        <w:ind w:right="3239"/>
        <w:spacing w:after="0" w:line="237" w:lineRule="auto"/>
        <w:rPr>
          <w:sz w:val="20"/>
          <w:szCs w:val="20"/>
          <w:color w:val="auto"/>
        </w:rPr>
      </w:pPr>
      <w:r>
        <w:rPr>
          <w:rFonts w:ascii="Courier New" w:cs="Courier New" w:eastAsia="Courier New" w:hAnsi="Courier New"/>
          <w:sz w:val="15"/>
          <w:szCs w:val="15"/>
          <w:color w:val="auto"/>
        </w:rPr>
        <w:t>----</w:t>
      </w:r>
    </w:p>
    <w:p>
      <w:pPr>
        <w:ind w:left="3160"/>
        <w:spacing w:after="0" w:line="238" w:lineRule="auto"/>
        <w:rPr>
          <w:sz w:val="20"/>
          <w:szCs w:val="20"/>
          <w:color w:val="auto"/>
        </w:rPr>
      </w:pPr>
      <w:r>
        <w:rPr>
          <w:rFonts w:ascii="Courier New" w:cs="Courier New" w:eastAsia="Courier New" w:hAnsi="Courier New"/>
          <w:sz w:val="15"/>
          <w:szCs w:val="15"/>
          <w:color w:val="auto"/>
        </w:rPr>
        <w:t>ARTICLE I</w:t>
      </w:r>
    </w:p>
    <w:p>
      <w:pPr>
        <w:ind w:left="1840"/>
        <w:spacing w:after="0" w:line="237" w:lineRule="auto"/>
        <w:rPr>
          <w:sz w:val="20"/>
          <w:szCs w:val="20"/>
          <w:color w:val="auto"/>
        </w:rPr>
      </w:pPr>
      <w:r>
        <w:rPr>
          <w:rFonts w:ascii="Courier New" w:cs="Courier New" w:eastAsia="Courier New" w:hAnsi="Courier New"/>
          <w:sz w:val="15"/>
          <w:szCs w:val="15"/>
          <w:color w:val="auto"/>
        </w:rPr>
        <w:t>ISSUANCE OF DEBT WARRANTS AND EXECUTION</w:t>
      </w:r>
    </w:p>
    <w:p>
      <w:pPr>
        <w:ind w:left="1760"/>
        <w:spacing w:after="0" w:line="238" w:lineRule="auto"/>
        <w:rPr>
          <w:sz w:val="20"/>
          <w:szCs w:val="20"/>
          <w:color w:val="auto"/>
        </w:rPr>
      </w:pPr>
      <w:r>
        <w:rPr>
          <w:rFonts w:ascii="Courier New" w:cs="Courier New" w:eastAsia="Courier New" w:hAnsi="Courier New"/>
          <w:sz w:val="15"/>
          <w:szCs w:val="15"/>
          <w:color w:val="auto"/>
        </w:rPr>
        <w:t>AND DELIVERY OF DEBT WARRANT CERTIFICATES</w:t>
      </w:r>
    </w:p>
    <w:p>
      <w:pPr>
        <w:spacing w:after="0" w:line="167" w:lineRule="exact"/>
        <w:rPr>
          <w:sz w:val="20"/>
          <w:szCs w:val="20"/>
          <w:color w:val="auto"/>
        </w:rPr>
      </w:pPr>
    </w:p>
    <w:p>
      <w:pPr>
        <w:spacing w:after="0"/>
        <w:tabs>
          <w:tab w:leader="none" w:pos="1380" w:val="left"/>
          <w:tab w:leader="dot" w:pos="6820" w:val="left"/>
        </w:tabs>
        <w:rPr>
          <w:sz w:val="20"/>
          <w:szCs w:val="20"/>
          <w:color w:val="auto"/>
        </w:rPr>
      </w:pPr>
      <w:r>
        <w:rPr>
          <w:rFonts w:ascii="Courier New" w:cs="Courier New" w:eastAsia="Courier New" w:hAnsi="Courier New"/>
          <w:sz w:val="15"/>
          <w:szCs w:val="15"/>
          <w:color w:val="auto"/>
        </w:rPr>
        <w:t>SECTION 1.01.</w:t>
        <w:tab/>
        <w:t>Issuance of Debt Warrants</w:t>
      </w:r>
      <w:r>
        <w:rPr>
          <w:sz w:val="20"/>
          <w:szCs w:val="20"/>
          <w:color w:val="auto"/>
        </w:rPr>
        <w:tab/>
      </w:r>
      <w:r>
        <w:rPr>
          <w:rFonts w:ascii="Courier New" w:cs="Courier New" w:eastAsia="Courier New" w:hAnsi="Courier New"/>
          <w:sz w:val="12"/>
          <w:szCs w:val="12"/>
          <w:color w:val="auto"/>
        </w:rPr>
        <w:t>1</w:t>
      </w:r>
    </w:p>
    <w:p>
      <w:pPr>
        <w:spacing w:after="0"/>
        <w:tabs>
          <w:tab w:leader="none" w:pos="1380" w:val="left"/>
          <w:tab w:leader="dot" w:pos="6820" w:val="left"/>
        </w:tabs>
        <w:rPr>
          <w:sz w:val="20"/>
          <w:szCs w:val="20"/>
          <w:color w:val="auto"/>
        </w:rPr>
      </w:pPr>
      <w:r>
        <w:rPr>
          <w:rFonts w:ascii="Courier New" w:cs="Courier New" w:eastAsia="Courier New" w:hAnsi="Courier New"/>
          <w:sz w:val="15"/>
          <w:szCs w:val="15"/>
          <w:color w:val="auto"/>
        </w:rPr>
        <w:t>SECTION 1.02.</w:t>
        <w:tab/>
        <w:t>Form and Execution of Debt Warrant Certificates</w:t>
      </w:r>
      <w:r>
        <w:rPr>
          <w:sz w:val="20"/>
          <w:szCs w:val="20"/>
          <w:color w:val="auto"/>
        </w:rPr>
        <w:tab/>
      </w:r>
      <w:r>
        <w:rPr>
          <w:rFonts w:ascii="Courier New" w:cs="Courier New" w:eastAsia="Courier New" w:hAnsi="Courier New"/>
          <w:sz w:val="12"/>
          <w:szCs w:val="12"/>
          <w:color w:val="auto"/>
        </w:rPr>
        <w:t>2</w:t>
      </w:r>
    </w:p>
    <w:p>
      <w:pPr>
        <w:spacing w:after="0"/>
        <w:tabs>
          <w:tab w:leader="none" w:pos="1380" w:val="left"/>
          <w:tab w:leader="dot" w:pos="6820" w:val="left"/>
        </w:tabs>
        <w:rPr>
          <w:sz w:val="20"/>
          <w:szCs w:val="20"/>
          <w:color w:val="auto"/>
        </w:rPr>
      </w:pPr>
      <w:r>
        <w:rPr>
          <w:rFonts w:ascii="Courier New" w:cs="Courier New" w:eastAsia="Courier New" w:hAnsi="Courier New"/>
          <w:sz w:val="15"/>
          <w:szCs w:val="15"/>
          <w:color w:val="auto"/>
        </w:rPr>
        <w:t>SECTION 1.03.</w:t>
        <w:tab/>
        <w:t>Issuance and Delivery of Debt Warrant Certificates</w:t>
      </w:r>
      <w:r>
        <w:rPr>
          <w:sz w:val="20"/>
          <w:szCs w:val="20"/>
          <w:color w:val="auto"/>
        </w:rPr>
        <w:tab/>
      </w:r>
      <w:r>
        <w:rPr>
          <w:rFonts w:ascii="Courier New" w:cs="Courier New" w:eastAsia="Courier New" w:hAnsi="Courier New"/>
          <w:sz w:val="12"/>
          <w:szCs w:val="12"/>
          <w:color w:val="auto"/>
        </w:rPr>
        <w:t>3</w:t>
      </w:r>
    </w:p>
    <w:p>
      <w:pPr>
        <w:spacing w:after="0"/>
        <w:tabs>
          <w:tab w:leader="none" w:pos="1380" w:val="left"/>
          <w:tab w:leader="dot" w:pos="6820" w:val="left"/>
        </w:tabs>
        <w:rPr>
          <w:sz w:val="20"/>
          <w:szCs w:val="20"/>
          <w:color w:val="auto"/>
        </w:rPr>
      </w:pPr>
      <w:r>
        <w:rPr>
          <w:rFonts w:ascii="Courier New" w:cs="Courier New" w:eastAsia="Courier New" w:hAnsi="Courier New"/>
          <w:sz w:val="15"/>
          <w:szCs w:val="15"/>
          <w:color w:val="auto"/>
        </w:rPr>
        <w:t>SECTION 1.04.</w:t>
        <w:tab/>
        <w:t>Temporary Debt Warrant Certificates</w:t>
      </w:r>
      <w:r>
        <w:rPr>
          <w:sz w:val="20"/>
          <w:szCs w:val="20"/>
          <w:color w:val="auto"/>
        </w:rPr>
        <w:tab/>
      </w:r>
      <w:r>
        <w:rPr>
          <w:rFonts w:ascii="Courier New" w:cs="Courier New" w:eastAsia="Courier New" w:hAnsi="Courier New"/>
          <w:sz w:val="12"/>
          <w:szCs w:val="12"/>
          <w:color w:val="auto"/>
        </w:rPr>
        <w:t>3</w:t>
      </w:r>
    </w:p>
    <w:p>
      <w:pPr>
        <w:spacing w:after="0"/>
        <w:tabs>
          <w:tab w:leader="none" w:pos="1380" w:val="left"/>
          <w:tab w:leader="dot" w:pos="6820" w:val="left"/>
        </w:tabs>
        <w:rPr>
          <w:sz w:val="20"/>
          <w:szCs w:val="20"/>
          <w:color w:val="auto"/>
        </w:rPr>
      </w:pPr>
      <w:r>
        <w:rPr>
          <w:rFonts w:ascii="Courier New" w:cs="Courier New" w:eastAsia="Courier New" w:hAnsi="Courier New"/>
          <w:sz w:val="15"/>
          <w:szCs w:val="15"/>
          <w:color w:val="auto"/>
        </w:rPr>
        <w:t>SECTION 1.05.</w:t>
        <w:tab/>
        <w:t>Payment of Taxes</w:t>
      </w:r>
      <w:r>
        <w:rPr>
          <w:sz w:val="20"/>
          <w:szCs w:val="20"/>
          <w:color w:val="auto"/>
        </w:rPr>
        <w:tab/>
      </w:r>
      <w:r>
        <w:rPr>
          <w:rFonts w:ascii="Courier New" w:cs="Courier New" w:eastAsia="Courier New" w:hAnsi="Courier New"/>
          <w:sz w:val="12"/>
          <w:szCs w:val="12"/>
          <w:color w:val="auto"/>
        </w:rPr>
        <w:t>4</w:t>
      </w:r>
    </w:p>
    <w:p>
      <w:pPr>
        <w:spacing w:after="0"/>
        <w:tabs>
          <w:tab w:leader="none" w:pos="1380" w:val="left"/>
          <w:tab w:leader="dot" w:pos="6820" w:val="left"/>
        </w:tabs>
        <w:rPr>
          <w:sz w:val="20"/>
          <w:szCs w:val="20"/>
          <w:color w:val="auto"/>
        </w:rPr>
      </w:pPr>
      <w:r>
        <w:rPr>
          <w:rFonts w:ascii="Courier New" w:cs="Courier New" w:eastAsia="Courier New" w:hAnsi="Courier New"/>
          <w:sz w:val="15"/>
          <w:szCs w:val="15"/>
          <w:color w:val="auto"/>
        </w:rPr>
        <w:t>SECTION 1.06.</w:t>
        <w:tab/>
        <w:t>"Holder"</w:t>
      </w:r>
      <w:r>
        <w:rPr>
          <w:sz w:val="20"/>
          <w:szCs w:val="20"/>
          <w:color w:val="auto"/>
        </w:rPr>
        <w:tab/>
      </w:r>
      <w:r>
        <w:rPr>
          <w:rFonts w:ascii="Courier New" w:cs="Courier New" w:eastAsia="Courier New" w:hAnsi="Courier New"/>
          <w:sz w:val="12"/>
          <w:szCs w:val="12"/>
          <w:color w:val="auto"/>
        </w:rPr>
        <w:t>4</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II</w:t>
      </w:r>
    </w:p>
    <w:p>
      <w:pPr>
        <w:ind w:left="1840"/>
        <w:spacing w:after="0" w:line="237" w:lineRule="auto"/>
        <w:rPr>
          <w:sz w:val="20"/>
          <w:szCs w:val="20"/>
          <w:color w:val="auto"/>
        </w:rPr>
      </w:pPr>
      <w:r>
        <w:rPr>
          <w:rFonts w:ascii="Courier New" w:cs="Courier New" w:eastAsia="Courier New" w:hAnsi="Courier New"/>
          <w:sz w:val="15"/>
          <w:szCs w:val="15"/>
          <w:color w:val="auto"/>
        </w:rPr>
        <w:t>DURATION AND EXERCISE OF DEBT WARRANTS</w:t>
      </w:r>
    </w:p>
    <w:p>
      <w:pPr>
        <w:spacing w:after="0" w:line="167" w:lineRule="exact"/>
        <w:rPr>
          <w:sz w:val="20"/>
          <w:szCs w:val="20"/>
          <w:color w:val="auto"/>
        </w:rPr>
      </w:pPr>
    </w:p>
    <w:p>
      <w:pPr>
        <w:spacing w:after="0"/>
        <w:tabs>
          <w:tab w:leader="none" w:pos="1380" w:val="left"/>
          <w:tab w:leader="dot" w:pos="6820" w:val="left"/>
        </w:tabs>
        <w:rPr>
          <w:sz w:val="20"/>
          <w:szCs w:val="20"/>
          <w:color w:val="auto"/>
        </w:rPr>
      </w:pPr>
      <w:r>
        <w:rPr>
          <w:rFonts w:ascii="Courier New" w:cs="Courier New" w:eastAsia="Courier New" w:hAnsi="Courier New"/>
          <w:sz w:val="15"/>
          <w:szCs w:val="15"/>
          <w:color w:val="auto"/>
        </w:rPr>
        <w:t>SECTION 2.01.</w:t>
        <w:tab/>
        <w:t>Duration of Debt Warrants</w:t>
      </w:r>
      <w:r>
        <w:rPr>
          <w:sz w:val="20"/>
          <w:szCs w:val="20"/>
          <w:color w:val="auto"/>
        </w:rPr>
        <w:tab/>
      </w:r>
      <w:r>
        <w:rPr>
          <w:rFonts w:ascii="Courier New" w:cs="Courier New" w:eastAsia="Courier New" w:hAnsi="Courier New"/>
          <w:sz w:val="12"/>
          <w:szCs w:val="12"/>
          <w:color w:val="auto"/>
        </w:rPr>
        <w:t>4</w:t>
      </w:r>
    </w:p>
    <w:p>
      <w:pPr>
        <w:spacing w:after="0"/>
        <w:tabs>
          <w:tab w:leader="none" w:pos="1380" w:val="left"/>
          <w:tab w:leader="dot" w:pos="6820" w:val="left"/>
        </w:tabs>
        <w:rPr>
          <w:sz w:val="20"/>
          <w:szCs w:val="20"/>
          <w:color w:val="auto"/>
        </w:rPr>
      </w:pPr>
      <w:r>
        <w:rPr>
          <w:rFonts w:ascii="Courier New" w:cs="Courier New" w:eastAsia="Courier New" w:hAnsi="Courier New"/>
          <w:sz w:val="15"/>
          <w:szCs w:val="15"/>
          <w:color w:val="auto"/>
        </w:rPr>
        <w:t>SECTION 2.02.</w:t>
        <w:tab/>
        <w:t>Exercise of Debt Warrants</w:t>
      </w:r>
      <w:r>
        <w:rPr>
          <w:sz w:val="20"/>
          <w:szCs w:val="20"/>
          <w:color w:val="auto"/>
        </w:rPr>
        <w:tab/>
      </w:r>
      <w:r>
        <w:rPr>
          <w:rFonts w:ascii="Courier New" w:cs="Courier New" w:eastAsia="Courier New" w:hAnsi="Courier New"/>
          <w:sz w:val="12"/>
          <w:szCs w:val="12"/>
          <w:color w:val="auto"/>
        </w:rPr>
        <w:t>4</w:t>
      </w:r>
    </w:p>
    <w:p>
      <w:pPr>
        <w:spacing w:after="0"/>
        <w:tabs>
          <w:tab w:leader="none" w:pos="1380" w:val="left"/>
          <w:tab w:leader="dot" w:pos="6820" w:val="left"/>
        </w:tabs>
        <w:rPr>
          <w:sz w:val="20"/>
          <w:szCs w:val="20"/>
          <w:color w:val="auto"/>
        </w:rPr>
      </w:pPr>
      <w:r>
        <w:rPr>
          <w:rFonts w:ascii="Courier New" w:cs="Courier New" w:eastAsia="Courier New" w:hAnsi="Courier New"/>
          <w:sz w:val="15"/>
          <w:szCs w:val="15"/>
          <w:color w:val="auto"/>
        </w:rPr>
        <w:t>SECTION 2.03.</w:t>
        <w:tab/>
        <w:t>Expiration Date</w:t>
      </w:r>
      <w:r>
        <w:rPr>
          <w:sz w:val="20"/>
          <w:szCs w:val="20"/>
          <w:color w:val="auto"/>
        </w:rPr>
        <w:tab/>
      </w:r>
      <w:r>
        <w:rPr>
          <w:rFonts w:ascii="Courier New" w:cs="Courier New" w:eastAsia="Courier New" w:hAnsi="Courier New"/>
          <w:sz w:val="12"/>
          <w:szCs w:val="12"/>
          <w:color w:val="auto"/>
        </w:rPr>
        <w:t>6</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III</w:t>
      </w:r>
    </w:p>
    <w:p>
      <w:pPr>
        <w:ind w:left="1840"/>
        <w:spacing w:after="0" w:line="237" w:lineRule="auto"/>
        <w:rPr>
          <w:sz w:val="20"/>
          <w:szCs w:val="20"/>
          <w:color w:val="auto"/>
        </w:rPr>
      </w:pPr>
      <w:r>
        <w:rPr>
          <w:rFonts w:ascii="Courier New" w:cs="Courier New" w:eastAsia="Courier New" w:hAnsi="Courier New"/>
          <w:sz w:val="15"/>
          <w:szCs w:val="15"/>
          <w:color w:val="auto"/>
        </w:rPr>
        <w:t>OTHER PROVISIONS RELATING TO RIGHTS OF</w:t>
      </w:r>
    </w:p>
    <w:p>
      <w:pPr>
        <w:ind w:left="2460"/>
        <w:spacing w:after="0" w:line="238" w:lineRule="auto"/>
        <w:rPr>
          <w:sz w:val="20"/>
          <w:szCs w:val="20"/>
          <w:color w:val="auto"/>
        </w:rPr>
      </w:pPr>
      <w:r>
        <w:rPr>
          <w:rFonts w:ascii="Courier New" w:cs="Courier New" w:eastAsia="Courier New" w:hAnsi="Courier New"/>
          <w:sz w:val="15"/>
          <w:szCs w:val="15"/>
          <w:color w:val="auto"/>
        </w:rPr>
        <w:t>HOLDERS OF DEBT WARRANTS</w:t>
      </w:r>
    </w:p>
    <w:p>
      <w:pPr>
        <w:spacing w:after="0" w:line="167" w:lineRule="exact"/>
        <w:rPr>
          <w:sz w:val="20"/>
          <w:szCs w:val="20"/>
          <w:color w:val="auto"/>
        </w:rPr>
      </w:pPr>
    </w:p>
    <w:p>
      <w:pPr>
        <w:spacing w:after="0"/>
        <w:tabs>
          <w:tab w:leader="none" w:pos="1380" w:val="left"/>
          <w:tab w:leader="dot" w:pos="6820" w:val="left"/>
        </w:tabs>
        <w:rPr>
          <w:sz w:val="20"/>
          <w:szCs w:val="20"/>
          <w:color w:val="auto"/>
        </w:rPr>
      </w:pPr>
      <w:r>
        <w:rPr>
          <w:rFonts w:ascii="Courier New" w:cs="Courier New" w:eastAsia="Courier New" w:hAnsi="Courier New"/>
          <w:sz w:val="15"/>
          <w:szCs w:val="15"/>
          <w:color w:val="auto"/>
        </w:rPr>
        <w:t>SECTION 3.01.</w:t>
        <w:tab/>
        <w:t>No Rights as Holder of Underlying Debt Security</w:t>
      </w:r>
      <w:r>
        <w:rPr>
          <w:sz w:val="20"/>
          <w:szCs w:val="20"/>
          <w:color w:val="auto"/>
        </w:rPr>
        <w:tab/>
      </w:r>
      <w:r>
        <w:rPr>
          <w:rFonts w:ascii="Courier New" w:cs="Courier New" w:eastAsia="Courier New" w:hAnsi="Courier New"/>
          <w:sz w:val="12"/>
          <w:szCs w:val="12"/>
          <w:color w:val="auto"/>
        </w:rPr>
        <w:t>6</w:t>
      </w:r>
    </w:p>
    <w:p>
      <w:pPr>
        <w:spacing w:after="0"/>
        <w:tabs>
          <w:tab w:leader="none" w:pos="1380" w:val="left"/>
        </w:tabs>
        <w:rPr>
          <w:sz w:val="20"/>
          <w:szCs w:val="20"/>
          <w:color w:val="auto"/>
        </w:rPr>
      </w:pPr>
      <w:r>
        <w:rPr>
          <w:rFonts w:ascii="Courier New" w:cs="Courier New" w:eastAsia="Courier New" w:hAnsi="Courier New"/>
          <w:sz w:val="15"/>
          <w:szCs w:val="15"/>
          <w:color w:val="auto"/>
        </w:rPr>
        <w:t>SECTION 3.02.</w:t>
      </w:r>
      <w:r>
        <w:rPr>
          <w:sz w:val="20"/>
          <w:szCs w:val="20"/>
          <w:color w:val="auto"/>
        </w:rPr>
        <w:tab/>
      </w:r>
      <w:r>
        <w:rPr>
          <w:rFonts w:ascii="Courier New" w:cs="Courier New" w:eastAsia="Courier New" w:hAnsi="Courier New"/>
          <w:sz w:val="14"/>
          <w:szCs w:val="14"/>
          <w:color w:val="auto"/>
        </w:rPr>
        <w:t>Lost, Stolen, Destroyed or Mutilated Debt Warrant</w:t>
      </w:r>
    </w:p>
    <w:p>
      <w:pPr>
        <w:ind w:left="1580"/>
        <w:spacing w:after="0"/>
        <w:tabs>
          <w:tab w:leader="dot" w:pos="6820" w:val="left"/>
        </w:tabs>
        <w:rPr>
          <w:sz w:val="20"/>
          <w:szCs w:val="20"/>
          <w:color w:val="auto"/>
        </w:rPr>
      </w:pPr>
      <w:r>
        <w:rPr>
          <w:rFonts w:ascii="Courier New" w:cs="Courier New" w:eastAsia="Courier New" w:hAnsi="Courier New"/>
          <w:sz w:val="15"/>
          <w:szCs w:val="15"/>
          <w:color w:val="auto"/>
        </w:rPr>
        <w:t>Certificates</w:t>
      </w:r>
      <w:r>
        <w:rPr>
          <w:sz w:val="20"/>
          <w:szCs w:val="20"/>
          <w:color w:val="auto"/>
        </w:rPr>
        <w:tab/>
      </w:r>
      <w:r>
        <w:rPr>
          <w:rFonts w:ascii="Courier New" w:cs="Courier New" w:eastAsia="Courier New" w:hAnsi="Courier New"/>
          <w:sz w:val="12"/>
          <w:szCs w:val="12"/>
          <w:color w:val="auto"/>
        </w:rPr>
        <w:t>6</w:t>
      </w:r>
    </w:p>
    <w:p>
      <w:pPr>
        <w:spacing w:after="0"/>
        <w:tabs>
          <w:tab w:leader="none" w:pos="1380" w:val="left"/>
          <w:tab w:leader="dot" w:pos="6820" w:val="left"/>
        </w:tabs>
        <w:rPr>
          <w:sz w:val="20"/>
          <w:szCs w:val="20"/>
          <w:color w:val="auto"/>
        </w:rPr>
      </w:pPr>
      <w:r>
        <w:rPr>
          <w:rFonts w:ascii="Courier New" w:cs="Courier New" w:eastAsia="Courier New" w:hAnsi="Courier New"/>
          <w:sz w:val="15"/>
          <w:szCs w:val="15"/>
          <w:color w:val="auto"/>
        </w:rPr>
        <w:t>SECTION 3.03.</w:t>
        <w:tab/>
        <w:t>Holder of Debt Warrants May Enforce Rights</w:t>
      </w:r>
      <w:r>
        <w:rPr>
          <w:sz w:val="20"/>
          <w:szCs w:val="20"/>
          <w:color w:val="auto"/>
        </w:rPr>
        <w:tab/>
      </w:r>
      <w:r>
        <w:rPr>
          <w:rFonts w:ascii="Courier New" w:cs="Courier New" w:eastAsia="Courier New" w:hAnsi="Courier New"/>
          <w:sz w:val="12"/>
          <w:szCs w:val="12"/>
          <w:color w:val="auto"/>
        </w:rPr>
        <w:t>6</w:t>
      </w:r>
    </w:p>
    <w:p>
      <w:pPr>
        <w:spacing w:after="0"/>
        <w:tabs>
          <w:tab w:leader="none" w:pos="1380" w:val="left"/>
          <w:tab w:leader="dot" w:pos="6820" w:val="left"/>
        </w:tabs>
        <w:rPr>
          <w:sz w:val="20"/>
          <w:szCs w:val="20"/>
          <w:color w:val="auto"/>
        </w:rPr>
      </w:pPr>
      <w:r>
        <w:rPr>
          <w:rFonts w:ascii="Courier New" w:cs="Courier New" w:eastAsia="Courier New" w:hAnsi="Courier New"/>
          <w:sz w:val="15"/>
          <w:szCs w:val="15"/>
          <w:color w:val="auto"/>
        </w:rPr>
        <w:t>SECTION 3.04.</w:t>
        <w:tab/>
        <w:t>Merger, Consolidation, Sale, Transfer or Conveyance</w:t>
      </w:r>
      <w:r>
        <w:rPr>
          <w:sz w:val="20"/>
          <w:szCs w:val="20"/>
          <w:color w:val="auto"/>
        </w:rPr>
        <w:tab/>
      </w:r>
      <w:r>
        <w:rPr>
          <w:rFonts w:ascii="Courier New" w:cs="Courier New" w:eastAsia="Courier New" w:hAnsi="Courier New"/>
          <w:sz w:val="12"/>
          <w:szCs w:val="12"/>
          <w:color w:val="auto"/>
        </w:rPr>
        <w:t>7</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IV</w:t>
      </w:r>
    </w:p>
    <w:p>
      <w:pPr>
        <w:ind w:left="1840"/>
        <w:spacing w:after="0" w:line="237" w:lineRule="auto"/>
        <w:rPr>
          <w:sz w:val="20"/>
          <w:szCs w:val="20"/>
          <w:color w:val="auto"/>
        </w:rPr>
      </w:pPr>
      <w:r>
        <w:rPr>
          <w:rFonts w:ascii="Courier New" w:cs="Courier New" w:eastAsia="Courier New" w:hAnsi="Courier New"/>
          <w:sz w:val="15"/>
          <w:szCs w:val="15"/>
          <w:color w:val="auto"/>
        </w:rPr>
        <w:t>EXCHANGE AND TRANSFER OF DEBT WARRANTS</w:t>
      </w:r>
    </w:p>
    <w:p>
      <w:pPr>
        <w:spacing w:after="0" w:line="167"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SECTION 4.01.</w:t>
      </w:r>
      <w:r>
        <w:rPr>
          <w:sz w:val="20"/>
          <w:szCs w:val="20"/>
          <w:color w:val="auto"/>
        </w:rPr>
        <w:tab/>
      </w:r>
      <w:r>
        <w:rPr>
          <w:rFonts w:ascii="Courier New" w:cs="Courier New" w:eastAsia="Courier New" w:hAnsi="Courier New"/>
          <w:sz w:val="14"/>
          <w:szCs w:val="14"/>
          <w:color w:val="auto"/>
        </w:rPr>
        <w:t>[Debt Warrant Register;] Exchange and Transfer of Debt</w:t>
      </w:r>
    </w:p>
    <w:p>
      <w:pPr>
        <w:ind w:left="1580"/>
        <w:spacing w:after="0"/>
        <w:tabs>
          <w:tab w:leader="dot" w:pos="6820" w:val="left"/>
        </w:tabs>
        <w:rPr>
          <w:sz w:val="20"/>
          <w:szCs w:val="20"/>
          <w:color w:val="auto"/>
        </w:rPr>
      </w:pPr>
      <w:r>
        <w:rPr>
          <w:rFonts w:ascii="Courier New" w:cs="Courier New" w:eastAsia="Courier New" w:hAnsi="Courier New"/>
          <w:sz w:val="15"/>
          <w:szCs w:val="15"/>
          <w:color w:val="auto"/>
        </w:rPr>
        <w:t>Warrants</w:t>
      </w:r>
      <w:r>
        <w:rPr>
          <w:sz w:val="20"/>
          <w:szCs w:val="20"/>
          <w:color w:val="auto"/>
        </w:rPr>
        <w:tab/>
      </w:r>
      <w:r>
        <w:rPr>
          <w:rFonts w:ascii="Courier New" w:cs="Courier New" w:eastAsia="Courier New" w:hAnsi="Courier New"/>
          <w:sz w:val="12"/>
          <w:szCs w:val="12"/>
          <w:color w:val="auto"/>
        </w:rPr>
        <w:t>7</w:t>
      </w:r>
    </w:p>
    <w:p>
      <w:pPr>
        <w:spacing w:after="0"/>
        <w:tabs>
          <w:tab w:leader="none" w:pos="1380" w:val="left"/>
          <w:tab w:leader="dot" w:pos="6820" w:val="left"/>
        </w:tabs>
        <w:rPr>
          <w:sz w:val="20"/>
          <w:szCs w:val="20"/>
          <w:color w:val="auto"/>
        </w:rPr>
      </w:pPr>
      <w:r>
        <w:rPr>
          <w:rFonts w:ascii="Courier New" w:cs="Courier New" w:eastAsia="Courier New" w:hAnsi="Courier New"/>
          <w:sz w:val="15"/>
          <w:szCs w:val="15"/>
          <w:color w:val="auto"/>
        </w:rPr>
        <w:t>SECTION 4.02.</w:t>
        <w:tab/>
        <w:t>Treatment of Holders of Debt Warrant Certificates</w:t>
      </w:r>
      <w:r>
        <w:rPr>
          <w:sz w:val="20"/>
          <w:szCs w:val="20"/>
          <w:color w:val="auto"/>
        </w:rPr>
        <w:tab/>
      </w:r>
      <w:r>
        <w:rPr>
          <w:rFonts w:ascii="Courier New" w:cs="Courier New" w:eastAsia="Courier New" w:hAnsi="Courier New"/>
          <w:sz w:val="12"/>
          <w:szCs w:val="12"/>
          <w:color w:val="auto"/>
        </w:rPr>
        <w:t>8</w:t>
      </w:r>
    </w:p>
    <w:p>
      <w:pPr>
        <w:spacing w:after="0"/>
        <w:tabs>
          <w:tab w:leader="none" w:pos="1380" w:val="left"/>
          <w:tab w:leader="dot" w:pos="6820" w:val="left"/>
        </w:tabs>
        <w:rPr>
          <w:sz w:val="20"/>
          <w:szCs w:val="20"/>
          <w:color w:val="auto"/>
        </w:rPr>
      </w:pPr>
      <w:r>
        <w:rPr>
          <w:rFonts w:ascii="Courier New" w:cs="Courier New" w:eastAsia="Courier New" w:hAnsi="Courier New"/>
          <w:sz w:val="15"/>
          <w:szCs w:val="15"/>
          <w:color w:val="auto"/>
        </w:rPr>
        <w:t>SECTION 4.03.</w:t>
        <w:tab/>
        <w:t>Cancellation of Debt Warrant Certificates</w:t>
      </w:r>
      <w:r>
        <w:rPr>
          <w:sz w:val="20"/>
          <w:szCs w:val="20"/>
          <w:color w:val="auto"/>
        </w:rPr>
        <w:tab/>
      </w:r>
      <w:r>
        <w:rPr>
          <w:rFonts w:ascii="Courier New" w:cs="Courier New" w:eastAsia="Courier New" w:hAnsi="Courier New"/>
          <w:sz w:val="12"/>
          <w:szCs w:val="12"/>
          <w:color w:val="auto"/>
        </w:rPr>
        <w:t>8</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V</w:t>
      </w:r>
    </w:p>
    <w:p>
      <w:pPr>
        <w:ind w:left="2100"/>
        <w:spacing w:after="0" w:line="237" w:lineRule="auto"/>
        <w:rPr>
          <w:sz w:val="20"/>
          <w:szCs w:val="20"/>
          <w:color w:val="auto"/>
        </w:rPr>
      </w:pPr>
      <w:r>
        <w:rPr>
          <w:rFonts w:ascii="Courier New" w:cs="Courier New" w:eastAsia="Courier New" w:hAnsi="Courier New"/>
          <w:sz w:val="15"/>
          <w:szCs w:val="15"/>
          <w:color w:val="auto"/>
        </w:rPr>
        <w:t>CONCERNING THE DEBT WARRANT AGENT</w:t>
      </w:r>
    </w:p>
    <w:p>
      <w:pPr>
        <w:spacing w:after="0" w:line="167" w:lineRule="exact"/>
        <w:rPr>
          <w:sz w:val="20"/>
          <w:szCs w:val="20"/>
          <w:color w:val="auto"/>
        </w:rPr>
      </w:pPr>
    </w:p>
    <w:p>
      <w:pPr>
        <w:spacing w:after="0"/>
        <w:tabs>
          <w:tab w:leader="none" w:pos="1380" w:val="left"/>
          <w:tab w:leader="dot" w:pos="6820" w:val="left"/>
        </w:tabs>
        <w:rPr>
          <w:sz w:val="20"/>
          <w:szCs w:val="20"/>
          <w:color w:val="auto"/>
        </w:rPr>
      </w:pPr>
      <w:r>
        <w:rPr>
          <w:rFonts w:ascii="Courier New" w:cs="Courier New" w:eastAsia="Courier New" w:hAnsi="Courier New"/>
          <w:sz w:val="15"/>
          <w:szCs w:val="15"/>
          <w:color w:val="auto"/>
        </w:rPr>
        <w:t>SECTION 5.01.</w:t>
        <w:tab/>
        <w:t>Debt Warrant Agent</w:t>
      </w:r>
      <w:r>
        <w:rPr>
          <w:sz w:val="20"/>
          <w:szCs w:val="20"/>
          <w:color w:val="auto"/>
        </w:rPr>
        <w:tab/>
      </w:r>
      <w:r>
        <w:rPr>
          <w:rFonts w:ascii="Courier New" w:cs="Courier New" w:eastAsia="Courier New" w:hAnsi="Courier New"/>
          <w:sz w:val="12"/>
          <w:szCs w:val="12"/>
          <w:color w:val="auto"/>
        </w:rPr>
        <w:t>9</w:t>
      </w:r>
    </w:p>
    <w:p>
      <w:pPr>
        <w:spacing w:after="0"/>
        <w:tabs>
          <w:tab w:leader="none" w:pos="1380" w:val="left"/>
          <w:tab w:leader="dot" w:pos="6820" w:val="left"/>
        </w:tabs>
        <w:rPr>
          <w:sz w:val="20"/>
          <w:szCs w:val="20"/>
          <w:color w:val="auto"/>
        </w:rPr>
      </w:pPr>
      <w:r>
        <w:rPr>
          <w:rFonts w:ascii="Courier New" w:cs="Courier New" w:eastAsia="Courier New" w:hAnsi="Courier New"/>
          <w:sz w:val="15"/>
          <w:szCs w:val="15"/>
          <w:color w:val="auto"/>
        </w:rPr>
        <w:t>SECTION 5.02.</w:t>
        <w:tab/>
        <w:t>Conditions of Debt Warrant Agent's Obligations</w:t>
      </w:r>
      <w:r>
        <w:rPr>
          <w:sz w:val="20"/>
          <w:szCs w:val="20"/>
          <w:color w:val="auto"/>
        </w:rPr>
        <w:tab/>
      </w:r>
      <w:r>
        <w:rPr>
          <w:rFonts w:ascii="Courier New" w:cs="Courier New" w:eastAsia="Courier New" w:hAnsi="Courier New"/>
          <w:sz w:val="12"/>
          <w:szCs w:val="12"/>
          <w:color w:val="auto"/>
        </w:rPr>
        <w:t>9</w:t>
      </w:r>
    </w:p>
    <w:p>
      <w:pPr>
        <w:spacing w:after="0" w:line="238" w:lineRule="auto"/>
        <w:tabs>
          <w:tab w:leader="none" w:pos="1380" w:val="left"/>
          <w:tab w:leader="dot" w:pos="6720" w:val="left"/>
        </w:tabs>
        <w:rPr>
          <w:sz w:val="20"/>
          <w:szCs w:val="20"/>
          <w:color w:val="auto"/>
        </w:rPr>
      </w:pPr>
      <w:r>
        <w:rPr>
          <w:rFonts w:ascii="Courier New" w:cs="Courier New" w:eastAsia="Courier New" w:hAnsi="Courier New"/>
          <w:sz w:val="15"/>
          <w:szCs w:val="15"/>
          <w:color w:val="auto"/>
        </w:rPr>
        <w:t>SECTION 5.03.</w:t>
        <w:tab/>
        <w:t>Compliance with Applicable Laws</w:t>
      </w:r>
      <w:r>
        <w:rPr>
          <w:sz w:val="20"/>
          <w:szCs w:val="20"/>
          <w:color w:val="auto"/>
        </w:rPr>
        <w:tab/>
      </w:r>
      <w:r>
        <w:rPr>
          <w:rFonts w:ascii="Courier New" w:cs="Courier New" w:eastAsia="Courier New" w:hAnsi="Courier New"/>
          <w:sz w:val="15"/>
          <w:szCs w:val="15"/>
          <w:color w:val="auto"/>
        </w:rPr>
        <w:t>11</w:t>
      </w:r>
    </w:p>
    <w:p>
      <w:pPr>
        <w:sectPr>
          <w:pgSz w:w="11900" w:h="16838" w:orient="portrait"/>
          <w:cols w:equalWidth="0" w:num="1">
            <w:col w:w="10239"/>
          </w:cols>
          <w:pgMar w:left="220" w:top="141" w:right="1440" w:bottom="0" w:gutter="0" w:footer="0" w:header="0"/>
          <w:type w:val="continuous"/>
        </w:sectPr>
      </w:pPr>
    </w:p>
    <w:bookmarkStart w:id="85" w:name="page86"/>
    <w:bookmarkEnd w:id="85"/>
    <w:p>
      <w:pPr>
        <w:spacing w:after="0"/>
        <w:tabs>
          <w:tab w:leader="none" w:pos="1380" w:val="left"/>
          <w:tab w:leader="dot" w:pos="6720" w:val="left"/>
        </w:tabs>
        <w:rPr>
          <w:sz w:val="20"/>
          <w:szCs w:val="20"/>
          <w:color w:val="auto"/>
        </w:rPr>
      </w:pPr>
      <w:r>
        <w:rPr>
          <w:rFonts w:ascii="Courier New" w:cs="Courier New" w:eastAsia="Courier New" w:hAnsi="Courier New"/>
          <w:sz w:val="15"/>
          <w:szCs w:val="15"/>
          <w:color w:val="auto"/>
        </w:rPr>
        <w:t>SECTION 5.04.</w:t>
        <w:tab/>
        <w:t>Resignation and Removal; Appointment of Successor</w:t>
      </w:r>
      <w:r>
        <w:rPr>
          <w:sz w:val="20"/>
          <w:szCs w:val="20"/>
          <w:color w:val="auto"/>
        </w:rPr>
        <w:tab/>
      </w:r>
      <w:r>
        <w:rPr>
          <w:rFonts w:ascii="Courier New" w:cs="Courier New" w:eastAsia="Courier New" w:hAnsi="Courier New"/>
          <w:sz w:val="15"/>
          <w:szCs w:val="15"/>
          <w:color w:val="auto"/>
        </w:rPr>
        <w:t>11</w:t>
      </w:r>
    </w:p>
    <w:p>
      <w:pPr>
        <w:spacing w:after="0" w:line="237" w:lineRule="auto"/>
        <w:tabs>
          <w:tab w:leader="none" w:pos="1380" w:val="left"/>
          <w:tab w:leader="dot" w:pos="6720" w:val="left"/>
        </w:tabs>
        <w:rPr>
          <w:sz w:val="20"/>
          <w:szCs w:val="20"/>
          <w:color w:val="auto"/>
        </w:rPr>
      </w:pPr>
      <w:r>
        <w:rPr>
          <w:rFonts w:ascii="Courier New" w:cs="Courier New" w:eastAsia="Courier New" w:hAnsi="Courier New"/>
          <w:sz w:val="15"/>
          <w:szCs w:val="15"/>
          <w:color w:val="auto"/>
        </w:rPr>
        <w:t>SECTION 5.05.</w:t>
        <w:tab/>
        <w:t>Office</w:t>
      </w:r>
      <w:r>
        <w:rPr>
          <w:sz w:val="20"/>
          <w:szCs w:val="20"/>
          <w:color w:val="auto"/>
        </w:rPr>
        <w:tab/>
      </w:r>
      <w:r>
        <w:rPr>
          <w:rFonts w:ascii="Courier New" w:cs="Courier New" w:eastAsia="Courier New" w:hAnsi="Courier New"/>
          <w:sz w:val="15"/>
          <w:szCs w:val="15"/>
          <w:color w:val="auto"/>
        </w:rPr>
        <w:t>13</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39"/>
          </w:cols>
          <w:pgMar w:left="220" w:top="135" w:right="1440" w:bottom="1440" w:gutter="0" w:footer="0" w:header="0"/>
        </w:sectPr>
      </w:pPr>
    </w:p>
    <w:bookmarkStart w:id="86" w:name="page87"/>
    <w:bookmarkEnd w:id="86"/>
    <w:p>
      <w:pPr>
        <w:ind w:left="3080"/>
        <w:spacing w:after="0"/>
        <w:rPr>
          <w:sz w:val="20"/>
          <w:szCs w:val="20"/>
          <w:color w:val="auto"/>
        </w:rPr>
      </w:pPr>
      <w:r>
        <w:rPr>
          <w:rFonts w:ascii="Courier New" w:cs="Courier New" w:eastAsia="Courier New" w:hAnsi="Courier New"/>
          <w:sz w:val="15"/>
          <w:szCs w:val="15"/>
          <w:color w:val="auto"/>
        </w:rPr>
        <w:t>ARTICLE VI</w:t>
      </w:r>
    </w:p>
    <w:p>
      <w:pPr>
        <w:ind w:left="2980"/>
        <w:spacing w:after="0" w:line="237" w:lineRule="auto"/>
        <w:rPr>
          <w:sz w:val="20"/>
          <w:szCs w:val="20"/>
          <w:color w:val="auto"/>
        </w:rPr>
      </w:pPr>
      <w:r>
        <w:rPr>
          <w:rFonts w:ascii="Courier New" w:cs="Courier New" w:eastAsia="Courier New" w:hAnsi="Courier New"/>
          <w:sz w:val="15"/>
          <w:szCs w:val="15"/>
          <w:color w:val="auto"/>
        </w:rPr>
        <w:t>MISCELLANEOUS</w:t>
      </w:r>
    </w:p>
    <w:p>
      <w:pPr>
        <w:spacing w:after="0" w:line="167" w:lineRule="exact"/>
        <w:rPr>
          <w:sz w:val="20"/>
          <w:szCs w:val="20"/>
          <w:color w:val="auto"/>
        </w:rPr>
      </w:pPr>
    </w:p>
    <w:p>
      <w:pPr>
        <w:spacing w:after="0"/>
        <w:tabs>
          <w:tab w:leader="none" w:pos="1380" w:val="left"/>
          <w:tab w:leader="dot" w:pos="6720" w:val="left"/>
        </w:tabs>
        <w:rPr>
          <w:sz w:val="20"/>
          <w:szCs w:val="20"/>
          <w:color w:val="auto"/>
        </w:rPr>
      </w:pPr>
      <w:r>
        <w:rPr>
          <w:rFonts w:ascii="Courier New" w:cs="Courier New" w:eastAsia="Courier New" w:hAnsi="Courier New"/>
          <w:sz w:val="15"/>
          <w:szCs w:val="15"/>
          <w:color w:val="auto"/>
        </w:rPr>
        <w:t>SECTION 6.01.</w:t>
        <w:tab/>
        <w:t>Supplements and Amendments</w:t>
      </w:r>
      <w:r>
        <w:rPr>
          <w:sz w:val="20"/>
          <w:szCs w:val="20"/>
          <w:color w:val="auto"/>
        </w:rPr>
        <w:tab/>
      </w:r>
      <w:r>
        <w:rPr>
          <w:rFonts w:ascii="Courier New" w:cs="Courier New" w:eastAsia="Courier New" w:hAnsi="Courier New"/>
          <w:sz w:val="15"/>
          <w:szCs w:val="15"/>
          <w:color w:val="auto"/>
        </w:rPr>
        <w:t>13</w:t>
      </w:r>
    </w:p>
    <w:p>
      <w:pPr>
        <w:spacing w:after="0" w:line="237" w:lineRule="auto"/>
        <w:tabs>
          <w:tab w:leader="none" w:pos="1380" w:val="left"/>
          <w:tab w:leader="dot" w:pos="6720" w:val="left"/>
        </w:tabs>
        <w:rPr>
          <w:sz w:val="20"/>
          <w:szCs w:val="20"/>
          <w:color w:val="auto"/>
        </w:rPr>
      </w:pPr>
      <w:r>
        <w:rPr>
          <w:rFonts w:ascii="Courier New" w:cs="Courier New" w:eastAsia="Courier New" w:hAnsi="Courier New"/>
          <w:sz w:val="15"/>
          <w:szCs w:val="15"/>
          <w:color w:val="auto"/>
        </w:rPr>
        <w:t>SECTION 6.02.</w:t>
        <w:tab/>
        <w:t>Notices and Demands</w:t>
      </w:r>
      <w:r>
        <w:rPr>
          <w:sz w:val="20"/>
          <w:szCs w:val="20"/>
          <w:color w:val="auto"/>
        </w:rPr>
        <w:tab/>
      </w:r>
      <w:r>
        <w:rPr>
          <w:rFonts w:ascii="Courier New" w:cs="Courier New" w:eastAsia="Courier New" w:hAnsi="Courier New"/>
          <w:sz w:val="15"/>
          <w:szCs w:val="15"/>
          <w:color w:val="auto"/>
        </w:rPr>
        <w:t>13</w:t>
      </w:r>
    </w:p>
    <w:p>
      <w:pPr>
        <w:spacing w:after="0" w:line="238" w:lineRule="auto"/>
        <w:tabs>
          <w:tab w:leader="none" w:pos="1380" w:val="left"/>
          <w:tab w:leader="dot" w:pos="6720" w:val="left"/>
        </w:tabs>
        <w:rPr>
          <w:sz w:val="20"/>
          <w:szCs w:val="20"/>
          <w:color w:val="auto"/>
        </w:rPr>
      </w:pPr>
      <w:r>
        <w:rPr>
          <w:rFonts w:ascii="Courier New" w:cs="Courier New" w:eastAsia="Courier New" w:hAnsi="Courier New"/>
          <w:sz w:val="15"/>
          <w:szCs w:val="15"/>
          <w:color w:val="auto"/>
        </w:rPr>
        <w:t>SECTION 6.03.</w:t>
        <w:tab/>
        <w:t>Addresses</w:t>
      </w:r>
      <w:r>
        <w:rPr>
          <w:sz w:val="20"/>
          <w:szCs w:val="20"/>
          <w:color w:val="auto"/>
        </w:rPr>
        <w:tab/>
      </w:r>
      <w:r>
        <w:rPr>
          <w:rFonts w:ascii="Courier New" w:cs="Courier New" w:eastAsia="Courier New" w:hAnsi="Courier New"/>
          <w:sz w:val="15"/>
          <w:szCs w:val="15"/>
          <w:color w:val="auto"/>
        </w:rPr>
        <w:t>14</w:t>
      </w:r>
    </w:p>
    <w:p>
      <w:pPr>
        <w:spacing w:after="0" w:line="237" w:lineRule="auto"/>
        <w:tabs>
          <w:tab w:leader="none" w:pos="1380" w:val="left"/>
          <w:tab w:leader="dot" w:pos="6720" w:val="left"/>
        </w:tabs>
        <w:rPr>
          <w:sz w:val="20"/>
          <w:szCs w:val="20"/>
          <w:color w:val="auto"/>
        </w:rPr>
      </w:pPr>
      <w:r>
        <w:rPr>
          <w:rFonts w:ascii="Courier New" w:cs="Courier New" w:eastAsia="Courier New" w:hAnsi="Courier New"/>
          <w:sz w:val="15"/>
          <w:szCs w:val="15"/>
          <w:color w:val="auto"/>
        </w:rPr>
        <w:t>SECTION 6.04.</w:t>
        <w:tab/>
        <w:t>Governing Law</w:t>
      </w:r>
      <w:r>
        <w:rPr>
          <w:sz w:val="20"/>
          <w:szCs w:val="20"/>
          <w:color w:val="auto"/>
        </w:rPr>
        <w:tab/>
      </w:r>
      <w:r>
        <w:rPr>
          <w:rFonts w:ascii="Courier New" w:cs="Courier New" w:eastAsia="Courier New" w:hAnsi="Courier New"/>
          <w:sz w:val="15"/>
          <w:szCs w:val="15"/>
          <w:color w:val="auto"/>
        </w:rPr>
        <w:t>14</w:t>
      </w:r>
    </w:p>
    <w:p>
      <w:pPr>
        <w:spacing w:after="0" w:line="238" w:lineRule="auto"/>
        <w:tabs>
          <w:tab w:leader="none" w:pos="1380" w:val="left"/>
          <w:tab w:leader="dot" w:pos="6720" w:val="left"/>
        </w:tabs>
        <w:rPr>
          <w:sz w:val="20"/>
          <w:szCs w:val="20"/>
          <w:color w:val="auto"/>
        </w:rPr>
      </w:pPr>
      <w:r>
        <w:rPr>
          <w:rFonts w:ascii="Courier New" w:cs="Courier New" w:eastAsia="Courier New" w:hAnsi="Courier New"/>
          <w:sz w:val="15"/>
          <w:szCs w:val="15"/>
          <w:color w:val="auto"/>
        </w:rPr>
        <w:t>SECTION 6.05.</w:t>
        <w:tab/>
        <w:t>Governmental Approvals</w:t>
      </w:r>
      <w:r>
        <w:rPr>
          <w:sz w:val="20"/>
          <w:szCs w:val="20"/>
          <w:color w:val="auto"/>
        </w:rPr>
        <w:tab/>
      </w:r>
      <w:r>
        <w:rPr>
          <w:rFonts w:ascii="Courier New" w:cs="Courier New" w:eastAsia="Courier New" w:hAnsi="Courier New"/>
          <w:sz w:val="15"/>
          <w:szCs w:val="15"/>
          <w:color w:val="auto"/>
        </w:rPr>
        <w:t>14</w:t>
      </w:r>
    </w:p>
    <w:p>
      <w:pPr>
        <w:spacing w:after="0" w:line="237" w:lineRule="auto"/>
        <w:tabs>
          <w:tab w:leader="none" w:pos="1380" w:val="left"/>
          <w:tab w:leader="dot" w:pos="6720" w:val="left"/>
        </w:tabs>
        <w:rPr>
          <w:sz w:val="20"/>
          <w:szCs w:val="20"/>
          <w:color w:val="auto"/>
        </w:rPr>
      </w:pPr>
      <w:r>
        <w:rPr>
          <w:rFonts w:ascii="Courier New" w:cs="Courier New" w:eastAsia="Courier New" w:hAnsi="Courier New"/>
          <w:sz w:val="15"/>
          <w:szCs w:val="15"/>
          <w:color w:val="auto"/>
        </w:rPr>
        <w:t>SECTION 6.06.</w:t>
        <w:tab/>
        <w:t>Persons Having Rights Under Debt Warrant Agreement</w:t>
      </w:r>
      <w:r>
        <w:rPr>
          <w:sz w:val="20"/>
          <w:szCs w:val="20"/>
          <w:color w:val="auto"/>
        </w:rPr>
        <w:tab/>
      </w:r>
      <w:r>
        <w:rPr>
          <w:rFonts w:ascii="Courier New" w:cs="Courier New" w:eastAsia="Courier New" w:hAnsi="Courier New"/>
          <w:sz w:val="15"/>
          <w:szCs w:val="15"/>
          <w:color w:val="auto"/>
        </w:rPr>
        <w:t>14</w:t>
      </w:r>
    </w:p>
    <w:p>
      <w:pPr>
        <w:spacing w:after="0" w:line="238" w:lineRule="auto"/>
        <w:tabs>
          <w:tab w:leader="none" w:pos="1380" w:val="left"/>
          <w:tab w:leader="dot" w:pos="6720" w:val="left"/>
        </w:tabs>
        <w:rPr>
          <w:sz w:val="20"/>
          <w:szCs w:val="20"/>
          <w:color w:val="auto"/>
        </w:rPr>
      </w:pPr>
      <w:r>
        <w:rPr>
          <w:rFonts w:ascii="Courier New" w:cs="Courier New" w:eastAsia="Courier New" w:hAnsi="Courier New"/>
          <w:sz w:val="15"/>
          <w:szCs w:val="15"/>
          <w:color w:val="auto"/>
        </w:rPr>
        <w:t>SECTION 6.07.</w:t>
        <w:tab/>
        <w:t>Delivery of Prospectus</w:t>
      </w:r>
      <w:r>
        <w:rPr>
          <w:sz w:val="20"/>
          <w:szCs w:val="20"/>
          <w:color w:val="auto"/>
        </w:rPr>
        <w:tab/>
      </w:r>
      <w:r>
        <w:rPr>
          <w:rFonts w:ascii="Courier New" w:cs="Courier New" w:eastAsia="Courier New" w:hAnsi="Courier New"/>
          <w:sz w:val="15"/>
          <w:szCs w:val="15"/>
          <w:color w:val="auto"/>
        </w:rPr>
        <w:t>14</w:t>
      </w:r>
    </w:p>
    <w:p>
      <w:pPr>
        <w:spacing w:after="0" w:line="237" w:lineRule="auto"/>
        <w:tabs>
          <w:tab w:leader="none" w:pos="1380" w:val="left"/>
          <w:tab w:leader="dot" w:pos="6720" w:val="left"/>
        </w:tabs>
        <w:rPr>
          <w:sz w:val="20"/>
          <w:szCs w:val="20"/>
          <w:color w:val="auto"/>
        </w:rPr>
      </w:pPr>
      <w:r>
        <w:rPr>
          <w:rFonts w:ascii="Courier New" w:cs="Courier New" w:eastAsia="Courier New" w:hAnsi="Courier New"/>
          <w:sz w:val="15"/>
          <w:szCs w:val="15"/>
          <w:color w:val="auto"/>
        </w:rPr>
        <w:t>SECTION 6.08.</w:t>
        <w:tab/>
        <w:t>Headings</w:t>
      </w:r>
      <w:r>
        <w:rPr>
          <w:sz w:val="20"/>
          <w:szCs w:val="20"/>
          <w:color w:val="auto"/>
        </w:rPr>
        <w:tab/>
      </w:r>
      <w:r>
        <w:rPr>
          <w:rFonts w:ascii="Courier New" w:cs="Courier New" w:eastAsia="Courier New" w:hAnsi="Courier New"/>
          <w:sz w:val="15"/>
          <w:szCs w:val="15"/>
          <w:color w:val="auto"/>
        </w:rPr>
        <w:t>14</w:t>
      </w:r>
    </w:p>
    <w:p>
      <w:pPr>
        <w:spacing w:after="0" w:line="238" w:lineRule="auto"/>
        <w:tabs>
          <w:tab w:leader="none" w:pos="1380" w:val="left"/>
          <w:tab w:leader="dot" w:pos="6720" w:val="left"/>
        </w:tabs>
        <w:rPr>
          <w:sz w:val="20"/>
          <w:szCs w:val="20"/>
          <w:color w:val="auto"/>
        </w:rPr>
      </w:pPr>
      <w:r>
        <w:rPr>
          <w:rFonts w:ascii="Courier New" w:cs="Courier New" w:eastAsia="Courier New" w:hAnsi="Courier New"/>
          <w:sz w:val="15"/>
          <w:szCs w:val="15"/>
          <w:color w:val="auto"/>
        </w:rPr>
        <w:t>SECTION 6.09.</w:t>
        <w:tab/>
        <w:t>Counterparts</w:t>
      </w:r>
      <w:r>
        <w:rPr>
          <w:sz w:val="20"/>
          <w:szCs w:val="20"/>
          <w:color w:val="auto"/>
        </w:rPr>
        <w:tab/>
      </w:r>
      <w:r>
        <w:rPr>
          <w:rFonts w:ascii="Courier New" w:cs="Courier New" w:eastAsia="Courier New" w:hAnsi="Courier New"/>
          <w:sz w:val="15"/>
          <w:szCs w:val="15"/>
          <w:color w:val="auto"/>
        </w:rPr>
        <w:t>14</w:t>
      </w:r>
    </w:p>
    <w:p>
      <w:pPr>
        <w:spacing w:after="0" w:line="238" w:lineRule="auto"/>
        <w:tabs>
          <w:tab w:leader="none" w:pos="1380" w:val="left"/>
          <w:tab w:leader="dot" w:pos="6720" w:val="left"/>
        </w:tabs>
        <w:rPr>
          <w:sz w:val="20"/>
          <w:szCs w:val="20"/>
          <w:color w:val="auto"/>
        </w:rPr>
      </w:pPr>
      <w:r>
        <w:rPr>
          <w:rFonts w:ascii="Courier New" w:cs="Courier New" w:eastAsia="Courier New" w:hAnsi="Courier New"/>
          <w:sz w:val="15"/>
          <w:szCs w:val="15"/>
          <w:color w:val="auto"/>
        </w:rPr>
        <w:t>SECTION 6.10.</w:t>
        <w:tab/>
        <w:t>Judgment Currency</w:t>
      </w:r>
      <w:r>
        <w:rPr>
          <w:sz w:val="20"/>
          <w:szCs w:val="20"/>
          <w:color w:val="auto"/>
        </w:rPr>
        <w:tab/>
      </w:r>
      <w:r>
        <w:rPr>
          <w:rFonts w:ascii="Courier New" w:cs="Courier New" w:eastAsia="Courier New" w:hAnsi="Courier New"/>
          <w:sz w:val="15"/>
          <w:szCs w:val="15"/>
          <w:color w:val="auto"/>
        </w:rPr>
        <w:t>14</w:t>
      </w:r>
    </w:p>
    <w:p>
      <w:pPr>
        <w:spacing w:after="0" w:line="237" w:lineRule="auto"/>
        <w:tabs>
          <w:tab w:leader="none" w:pos="1380" w:val="left"/>
          <w:tab w:leader="dot" w:pos="6720" w:val="left"/>
        </w:tabs>
        <w:rPr>
          <w:sz w:val="20"/>
          <w:szCs w:val="20"/>
          <w:color w:val="auto"/>
        </w:rPr>
      </w:pPr>
      <w:r>
        <w:rPr>
          <w:rFonts w:ascii="Courier New" w:cs="Courier New" w:eastAsia="Courier New" w:hAnsi="Courier New"/>
          <w:sz w:val="15"/>
          <w:szCs w:val="15"/>
          <w:color w:val="auto"/>
        </w:rPr>
        <w:t>SECTION 6.11.</w:t>
        <w:tab/>
        <w:t>Inspection Of Agreement</w:t>
      </w:r>
      <w:r>
        <w:rPr>
          <w:sz w:val="20"/>
          <w:szCs w:val="20"/>
          <w:color w:val="auto"/>
        </w:rPr>
        <w:tab/>
      </w:r>
      <w:r>
        <w:rPr>
          <w:rFonts w:ascii="Courier New" w:cs="Courier New" w:eastAsia="Courier New" w:hAnsi="Courier New"/>
          <w:sz w:val="15"/>
          <w:szCs w:val="15"/>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39"/>
          </w:cols>
          <w:pgMar w:left="220" w:top="617" w:right="1440" w:bottom="1440" w:gutter="0" w:footer="0" w:header="0"/>
        </w:sectPr>
      </w:pPr>
    </w:p>
    <w:bookmarkStart w:id="87" w:name="page88"/>
    <w:bookmarkEnd w:id="87"/>
    <w:p>
      <w:pPr>
        <w:ind w:left="1320"/>
        <w:spacing w:after="0"/>
        <w:rPr>
          <w:sz w:val="20"/>
          <w:szCs w:val="20"/>
          <w:color w:val="auto"/>
        </w:rPr>
      </w:pPr>
      <w:r>
        <w:rPr>
          <w:rFonts w:ascii="Courier New" w:cs="Courier New" w:eastAsia="Courier New" w:hAnsi="Courier New"/>
          <w:sz w:val="15"/>
          <w:szCs w:val="15"/>
          <w:color w:val="auto"/>
        </w:rPr>
        <w:t>THIS DEBT WARRANT AGREEMENT, dated as of ____________, between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CLEARONE COMMUNICATIONS, INC., a Utah corporation (the "Company"), and ______, a</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 organized and existing under the laws of ________, as warrant agent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"Debt Warrant Agent").</w:t>
      </w:r>
    </w:p>
    <w:p>
      <w:pPr>
        <w:spacing w:after="0" w:line="173"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WHEREAS, the Company has entered into two indentures dated as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 20__, each with The Bank of New York as trustee (the "Trustee"),</w:t>
      </w:r>
    </w:p>
    <w:p>
      <w:pPr>
        <w:spacing w:after="0" w:line="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providing for the issuance by the Company from time to time, in one or more series, of debt securities evidencing its unsecured, senior indebtedness (the "Senior Indenture") and unsecured subordinated indebtedness (the "Subordinated Indenture") (such debt securities together being referred to as the "Debt Securities" and the Senior Indenture and the Subordinated Indenture together being referred to as the "Indentures"); and</w:t>
      </w:r>
    </w:p>
    <w:p>
      <w:pPr>
        <w:spacing w:after="0" w:line="175" w:lineRule="exact"/>
        <w:rPr>
          <w:sz w:val="20"/>
          <w:szCs w:val="20"/>
          <w:color w:val="auto"/>
        </w:rPr>
      </w:pPr>
    </w:p>
    <w:p>
      <w:pPr>
        <w:ind w:right="3579" w:firstLine="1312"/>
        <w:spacing w:after="0" w:line="235" w:lineRule="auto"/>
        <w:rPr>
          <w:sz w:val="20"/>
          <w:szCs w:val="20"/>
          <w:color w:val="auto"/>
        </w:rPr>
      </w:pPr>
      <w:r>
        <w:rPr>
          <w:rFonts w:ascii="Courier New" w:cs="Courier New" w:eastAsia="Courier New" w:hAnsi="Courier New"/>
          <w:sz w:val="15"/>
          <w:szCs w:val="15"/>
          <w:color w:val="auto"/>
        </w:rPr>
        <w:t>WHEREAS, the Company proposes to issue warrants (the "Debt Warrants") representing the right to purchase Debt Securities of one or more series (the "Underlying Debt Securities"); and</w:t>
      </w:r>
    </w:p>
    <w:p>
      <w:pPr>
        <w:spacing w:after="0" w:line="174" w:lineRule="exact"/>
        <w:rPr>
          <w:sz w:val="20"/>
          <w:szCs w:val="20"/>
          <w:color w:val="auto"/>
        </w:rPr>
      </w:pPr>
    </w:p>
    <w:p>
      <w:pPr>
        <w:ind w:right="3399" w:firstLine="1312"/>
        <w:spacing w:after="0" w:line="235" w:lineRule="auto"/>
        <w:rPr>
          <w:sz w:val="20"/>
          <w:szCs w:val="20"/>
          <w:color w:val="auto"/>
        </w:rPr>
      </w:pPr>
      <w:r>
        <w:rPr>
          <w:rFonts w:ascii="Courier New" w:cs="Courier New" w:eastAsia="Courier New" w:hAnsi="Courier New"/>
          <w:sz w:val="15"/>
          <w:szCs w:val="15"/>
          <w:color w:val="auto"/>
        </w:rPr>
        <w:t>WHEREAS, the Company has duly authorized the execution and delivery of this Debt Warrant Agreement to provide for the issuance of Debt Warrants to be exercisable at such times and for such prices, and to have such other provisions, as shall be fixed as hereinafter provided;</w:t>
      </w:r>
    </w:p>
    <w:p>
      <w:pPr>
        <w:spacing w:after="0" w:line="175" w:lineRule="exact"/>
        <w:rPr>
          <w:sz w:val="20"/>
          <w:szCs w:val="20"/>
          <w:color w:val="auto"/>
        </w:rPr>
      </w:pPr>
    </w:p>
    <w:p>
      <w:pPr>
        <w:ind w:right="3399" w:firstLine="1312"/>
        <w:spacing w:after="0" w:line="234" w:lineRule="auto"/>
        <w:rPr>
          <w:sz w:val="20"/>
          <w:szCs w:val="20"/>
          <w:color w:val="auto"/>
        </w:rPr>
      </w:pPr>
      <w:r>
        <w:rPr>
          <w:rFonts w:ascii="Courier New" w:cs="Courier New" w:eastAsia="Courier New" w:hAnsi="Courier New"/>
          <w:sz w:val="15"/>
          <w:szCs w:val="15"/>
          <w:color w:val="auto"/>
        </w:rPr>
        <w:t>NOW, THEREFORE, in consideration of the premises and the mutual agreements herein contained, the parties hereto agree as follows:</w:t>
      </w:r>
    </w:p>
    <w:p>
      <w:pPr>
        <w:spacing w:after="0" w:line="16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I</w:t>
      </w:r>
    </w:p>
    <w:p>
      <w:pPr>
        <w:jc w:val="center"/>
        <w:ind w:right="3139"/>
        <w:spacing w:after="0" w:line="237" w:lineRule="auto"/>
        <w:rPr>
          <w:sz w:val="20"/>
          <w:szCs w:val="20"/>
          <w:color w:val="auto"/>
        </w:rPr>
      </w:pPr>
      <w:r>
        <w:rPr>
          <w:rFonts w:ascii="Courier New" w:cs="Courier New" w:eastAsia="Courier New" w:hAnsi="Courier New"/>
          <w:sz w:val="15"/>
          <w:szCs w:val="15"/>
          <w:color w:val="auto"/>
        </w:rPr>
        <w:t>ISSUANCE OF DEBT WARRANTS AND EXECUTION</w:t>
      </w:r>
    </w:p>
    <w:p>
      <w:pPr>
        <w:jc w:val="center"/>
        <w:ind w:right="3139"/>
        <w:spacing w:after="0" w:line="238" w:lineRule="auto"/>
        <w:rPr>
          <w:sz w:val="20"/>
          <w:szCs w:val="20"/>
          <w:color w:val="auto"/>
        </w:rPr>
      </w:pPr>
      <w:r>
        <w:rPr>
          <w:rFonts w:ascii="Courier New" w:cs="Courier New" w:eastAsia="Courier New" w:hAnsi="Courier New"/>
          <w:sz w:val="15"/>
          <w:szCs w:val="15"/>
          <w:color w:val="auto"/>
        </w:rPr>
        <w:t>AND DELIVERY OF DEBT WARRANT CERTIFICATES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SECTION 1.01. Issuance of Debt Warrants.. Debt Warrants may be issued from time to time, together with or separately from any other securities of the Company (the "Offered Securities"). Prior to the issuance of any Debt Warrants, there shall be established by or pursuant to a resolution or resolutions duly adopted by the Company's Board of Directors or by any committee thereof duly authorized to act with respect thereto (a "Board Resolution"):</w:t>
      </w:r>
    </w:p>
    <w:p>
      <w:pPr>
        <w:spacing w:after="0" w:line="160" w:lineRule="exact"/>
        <w:rPr>
          <w:sz w:val="20"/>
          <w:szCs w:val="20"/>
          <w:color w:val="auto"/>
        </w:rPr>
      </w:pPr>
    </w:p>
    <w:p>
      <w:pPr>
        <w:ind w:left="1760" w:hanging="438"/>
        <w:spacing w:after="0"/>
        <w:tabs>
          <w:tab w:leader="none" w:pos="176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title and aggregate number of such Debt Warrants;</w:t>
      </w:r>
    </w:p>
    <w:p>
      <w:pPr>
        <w:spacing w:after="0" w:line="166" w:lineRule="exact"/>
        <w:rPr>
          <w:rFonts w:ascii="Courier New" w:cs="Courier New" w:eastAsia="Courier New" w:hAnsi="Courier New"/>
          <w:sz w:val="15"/>
          <w:szCs w:val="15"/>
          <w:color w:val="auto"/>
        </w:rPr>
      </w:pPr>
    </w:p>
    <w:p>
      <w:pPr>
        <w:ind w:left="1760" w:hanging="438"/>
        <w:spacing w:after="0"/>
        <w:tabs>
          <w:tab w:leader="none" w:pos="176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offering price of such Debt Warrants;</w:t>
      </w:r>
    </w:p>
    <w:p>
      <w:pPr>
        <w:spacing w:after="0" w:line="172" w:lineRule="exact"/>
        <w:rPr>
          <w:rFonts w:ascii="Courier New" w:cs="Courier New" w:eastAsia="Courier New" w:hAnsi="Courier New"/>
          <w:sz w:val="15"/>
          <w:szCs w:val="15"/>
          <w:color w:val="auto"/>
        </w:rPr>
      </w:pPr>
    </w:p>
    <w:p>
      <w:pPr>
        <w:jc w:val="both"/>
        <w:ind w:right="3239" w:firstLine="1322"/>
        <w:spacing w:after="0" w:line="235" w:lineRule="auto"/>
        <w:tabs>
          <w:tab w:leader="none" w:pos="1662"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title, aggregate principal amount, ranking and terms [(including the subordination and conversion provisions)] of the Underlying Debt Securities that may be purchased upon exercise of such Debt Warrants;</w:t>
      </w:r>
    </w:p>
    <w:p>
      <w:pPr>
        <w:spacing w:after="0" w:line="173" w:lineRule="exact"/>
        <w:rPr>
          <w:rFonts w:ascii="Courier New" w:cs="Courier New" w:eastAsia="Courier New" w:hAnsi="Courier New"/>
          <w:sz w:val="15"/>
          <w:szCs w:val="15"/>
          <w:color w:val="auto"/>
        </w:rPr>
      </w:pPr>
    </w:p>
    <w:p>
      <w:pPr>
        <w:ind w:right="3239" w:firstLine="1322"/>
        <w:spacing w:after="0" w:line="235" w:lineRule="auto"/>
        <w:tabs>
          <w:tab w:leader="none" w:pos="1662"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amount of Underlying Debt Securities that may be purchased upon exercise of each Debt Warrant and the price, or the manner of determining the price (the "Debt Warrant Price"), at which such principal amount may be purchased upon such exercise;</w:t>
      </w:r>
    </w:p>
    <w:p>
      <w:pPr>
        <w:sectPr>
          <w:pgSz w:w="11900" w:h="16838" w:orient="portrait"/>
          <w:cols w:equalWidth="0" w:num="1">
            <w:col w:w="10239"/>
          </w:cols>
          <w:pgMar w:left="220" w:top="617" w:right="1440" w:bottom="1440" w:gutter="0" w:footer="0" w:header="0"/>
        </w:sectPr>
      </w:pPr>
    </w:p>
    <w:bookmarkStart w:id="88" w:name="page89"/>
    <w:bookmarkEnd w:id="88"/>
    <w:p>
      <w:pPr>
        <w:ind w:right="3319" w:firstLine="1322"/>
        <w:spacing w:after="0" w:line="236" w:lineRule="auto"/>
        <w:tabs>
          <w:tab w:leader="none" w:pos="1662"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time or times at which, or period or periods during which, such Debt Warrants may be exercised, the final date on which such Debt Warrants may be exercised (the "Expiration Date") and whether such Expiration Date may be postponed by notice sent by the Company to all Holders (as defined in Section 1.06 hereof) of [the same title of] Debt Warrants in accordance with the procedures set forth in Section 5.04(e);</w:t>
      </w:r>
    </w:p>
    <w:p>
      <w:pPr>
        <w:spacing w:after="0" w:line="168" w:lineRule="exact"/>
        <w:rPr>
          <w:rFonts w:ascii="Courier New" w:cs="Courier New" w:eastAsia="Courier New" w:hAnsi="Courier New"/>
          <w:sz w:val="15"/>
          <w:szCs w:val="15"/>
          <w:color w:val="auto"/>
        </w:rPr>
      </w:pPr>
    </w:p>
    <w:p>
      <w:pPr>
        <w:ind w:left="1680" w:hanging="358"/>
        <w:spacing w:after="0"/>
        <w:tabs>
          <w:tab w:leader="none" w:pos="168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of any right to redeem or accelerate such Debt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Warrants;</w:t>
      </w:r>
    </w:p>
    <w:p>
      <w:pPr>
        <w:spacing w:after="0" w:line="173" w:lineRule="exact"/>
        <w:rPr>
          <w:rFonts w:ascii="Courier New" w:cs="Courier New" w:eastAsia="Courier New" w:hAnsi="Courier New"/>
          <w:sz w:val="15"/>
          <w:szCs w:val="15"/>
          <w:color w:val="auto"/>
        </w:rPr>
      </w:pPr>
    </w:p>
    <w:p>
      <w:pPr>
        <w:ind w:right="3319" w:firstLine="1322"/>
        <w:spacing w:after="0" w:line="235" w:lineRule="auto"/>
        <w:tabs>
          <w:tab w:leader="none" w:pos="1662"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the warrant certificates evidencing such Debt Warrants (the "Debt Warrant Certificates") will be issued in registered or bearer form, and, if registered, where such Debt Warrants may be transferred or exchanged;</w:t>
      </w:r>
    </w:p>
    <w:p>
      <w:pPr>
        <w:spacing w:after="0" w:line="175" w:lineRule="exact"/>
        <w:rPr>
          <w:rFonts w:ascii="Courier New" w:cs="Courier New" w:eastAsia="Courier New" w:hAnsi="Courier New"/>
          <w:sz w:val="15"/>
          <w:szCs w:val="15"/>
          <w:color w:val="auto"/>
        </w:rPr>
      </w:pPr>
    </w:p>
    <w:p>
      <w:pPr>
        <w:ind w:right="3239" w:firstLine="1322"/>
        <w:spacing w:after="0" w:line="255" w:lineRule="auto"/>
        <w:tabs>
          <w:tab w:leader="none" w:pos="1662"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such Debt Warrants are to be issued with any (a) Debt Securities and, if so, the title, aggregate principal amount and terms of any such Debt Securities and the number of such Debt Warrants to be issued with each $1,000 principal amount of such Debt Securities (or such other principal amount of such Debt Securities as is provided for in the Board Resolution), or (b) other securities and, if so, the number and terms thereof;</w:t>
      </w:r>
    </w:p>
    <w:p>
      <w:pPr>
        <w:spacing w:after="0" w:line="166" w:lineRule="exact"/>
        <w:rPr>
          <w:rFonts w:ascii="Courier New" w:cs="Courier New" w:eastAsia="Courier New" w:hAnsi="Courier New"/>
          <w:sz w:val="14"/>
          <w:szCs w:val="14"/>
          <w:color w:val="auto"/>
        </w:rPr>
      </w:pPr>
    </w:p>
    <w:p>
      <w:pPr>
        <w:ind w:right="3399" w:firstLine="1322"/>
        <w:spacing w:after="0" w:line="235" w:lineRule="auto"/>
        <w:tabs>
          <w:tab w:leader="none" w:pos="1662"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if any, on and after which such Debt Warrants and such Debt Securities or other securities will be separately transferable (the "Detachable Date"); and</w:t>
      </w:r>
    </w:p>
    <w:p>
      <w:pPr>
        <w:spacing w:after="0" w:line="173" w:lineRule="exact"/>
        <w:rPr>
          <w:rFonts w:ascii="Courier New" w:cs="Courier New" w:eastAsia="Courier New" w:hAnsi="Courier New"/>
          <w:sz w:val="15"/>
          <w:szCs w:val="15"/>
          <w:color w:val="auto"/>
        </w:rPr>
      </w:pPr>
    </w:p>
    <w:p>
      <w:pPr>
        <w:ind w:right="3399" w:firstLine="1322"/>
        <w:spacing w:after="0" w:line="234" w:lineRule="auto"/>
        <w:tabs>
          <w:tab w:leader="none" w:pos="1662"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terms of such Debt Warrants not inconsistent with the provisions of this Agreement.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1.02. Form and Execution of Debt Warrant Certificates..</w:t>
      </w:r>
    </w:p>
    <w:p>
      <w:pPr>
        <w:spacing w:after="0" w:line="173" w:lineRule="exact"/>
        <w:rPr>
          <w:sz w:val="20"/>
          <w:szCs w:val="20"/>
          <w:color w:val="auto"/>
        </w:rPr>
      </w:pPr>
    </w:p>
    <w:p>
      <w:pPr>
        <w:ind w:right="3239" w:firstLine="1322"/>
        <w:spacing w:after="0" w:line="237" w:lineRule="auto"/>
        <w:tabs>
          <w:tab w:leader="none" w:pos="1662"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Debt Warrants shall be evidenced by the Debt Warrant Certificates, which shall be substantially in such form or forms as shall be established by or pursuant to a Board Resolution. Each Debt Warrant Certificate, whenever issued, shall be dated the date it is countersigned by the Debt Warrant Agent and may have such letters, numbers or other identifying marks and such legends or endorsements printed, lithographed or engraved thereon as are not inconsistent with the provisions of this Agreement, or as may be required to comply with any law, rule or regulation or with any rule or regulation of any securities exchange on which the Underlying Debt Securities or Debt Warrants may be listed, or to conform to usage, as the officer of the Company executing the same may approve (such officer's execution thereof to be conclusive evidence of such approval). Each Debt Warrant Certificate shall evidence one or more Debt Warrants.</w:t>
      </w:r>
    </w:p>
    <w:p>
      <w:pPr>
        <w:spacing w:after="0" w:line="173" w:lineRule="exact"/>
        <w:rPr>
          <w:rFonts w:ascii="Courier New" w:cs="Courier New" w:eastAsia="Courier New" w:hAnsi="Courier New"/>
          <w:sz w:val="15"/>
          <w:szCs w:val="15"/>
          <w:color w:val="auto"/>
        </w:rPr>
      </w:pPr>
    </w:p>
    <w:p>
      <w:pPr>
        <w:ind w:right="3239" w:firstLine="1322"/>
        <w:spacing w:after="0" w:line="237" w:lineRule="auto"/>
        <w:tabs>
          <w:tab w:leader="none" w:pos="1662"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Debt Warrant Certificates shall be signed in the name and on behalf of the Company by its Chairman, President, Chief Executive Officer or Chief Financial Officer under its corporate seal, and attested by its Secretary or an Assistant Secretary or any Vice President (any reference to a "Vice President" of the Company herein shall be deemed to include any Vice President of the Company whether or not designated by a number or a word or words added before or after the title Vice President). Such signatures may be manual or facsimile signatures of the present or any future holder of any such office and may be imprinted or otherwise reproduced on the Debt Warrant Certificates. The seal of the Company may be in the form of a facsimile thereof and may be impressed, affixed, imprinted or otherwise reproduced on the Debt Warrant Certificates.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4" w:right="1440" w:bottom="1440" w:gutter="0" w:footer="0" w:header="0"/>
        </w:sectPr>
      </w:pPr>
    </w:p>
    <w:bookmarkStart w:id="89" w:name="page90"/>
    <w:bookmarkEnd w:id="89"/>
    <w:p>
      <w:pPr>
        <w:ind w:right="3239" w:firstLine="1322"/>
        <w:spacing w:after="0" w:line="236" w:lineRule="auto"/>
        <w:tabs>
          <w:tab w:leader="none" w:pos="1662"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Debt Warrant Certificate shall be valid for any purpose, and no Debt Warrant evidenced thereby shall be deemed issued or exercisable, until such Debt Warrant Certificate has been countersigned by the manual or facsimile signature of the Debt Warrant Agent. Such signature by the Debt Warrant Agent upon any Debt Warrant Certificate executed by the Company shall be conclusive evidence that the Debt Warrant Certificate so countersigned has been duly issued hereunder.</w:t>
      </w:r>
    </w:p>
    <w:p>
      <w:pPr>
        <w:spacing w:after="0" w:line="175" w:lineRule="exact"/>
        <w:rPr>
          <w:rFonts w:ascii="Courier New" w:cs="Courier New" w:eastAsia="Courier New" w:hAnsi="Courier New"/>
          <w:sz w:val="15"/>
          <w:szCs w:val="15"/>
          <w:color w:val="auto"/>
        </w:rPr>
      </w:pPr>
    </w:p>
    <w:p>
      <w:pPr>
        <w:ind w:right="3239" w:firstLine="1322"/>
        <w:spacing w:after="0" w:line="236" w:lineRule="auto"/>
        <w:tabs>
          <w:tab w:leader="none" w:pos="1662"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any officer of the Company who has signed any Debt Warrant Certificate either manually or by facsimile signature has ceased to be such officer before the Debt Warrant Certificate so signed has been countersigned and delivered by the Debt Warrant Agent, such Debt Warrant Certificate nevertheless may be countersigned and delivered by the Debt Warrant Agent as though the person who signed such Debt Warrant Certificate had not ceased to be such officer of the Company; and any Debt Warrant Certificate may be signed on behalf of the Company by such person as, at the actual date of the execution of such Debt Warrant Certificate, shall be the proper officer of the Company, although at the date of the execution of this Agreement such person was not such an officer.</w:t>
      </w:r>
    </w:p>
    <w:p>
      <w:pPr>
        <w:spacing w:after="0" w:line="18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1.03. Issuance and Delivery of Debt Warrant Certificates. At any time and from time to time after the execution and delivery of this Agreement, the Company may deliver Debt Warrant Certificates executed by the Company to the Debt Warrant Agent for countersignature. Except as provided in the following sentence, the Debt Warrant Agent shall thereupon countersign and deliver such Debt Warrant Certificates to or upon the written request of the Company. Subsequent to the original issuance of a Debt Warrant Certificate evidencing Debt Warrants, the Debt Warrant Agent shall countersign a new Debt Warrant Certificate evidencing such Debt Warrants only if such Debt Warrant Certificate is issued in exchange or substitution for one or more previously countersigned Debt Warrant Certificates evidencing such Debt Warrants or in connection with their transfer, as hereinafter provided.</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1.04. Temporary Debt Warrant Certificates.</w:t>
      </w:r>
    </w:p>
    <w:p>
      <w:pPr>
        <w:spacing w:after="0" w:line="173" w:lineRule="exact"/>
        <w:rPr>
          <w:sz w:val="20"/>
          <w:szCs w:val="20"/>
          <w:color w:val="auto"/>
        </w:rPr>
      </w:pPr>
    </w:p>
    <w:p>
      <w:pPr>
        <w:ind w:right="3499" w:firstLine="1322"/>
        <w:spacing w:after="0" w:line="255" w:lineRule="auto"/>
        <w:tabs>
          <w:tab w:leader="none" w:pos="1662"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Pending the preparation of definitive Debt Warrant Certificates, the Company may execute, and upon the order of the Company the Debt Warrant Agent shall countersign and deliver, temporary Debt Warrant Certificates that are printed, lithographed, typewritten, mimeographed or otherwise produced, substantially of the tenor of the definitive Debt Warrant Certificates in lieu of which they are issued and with such appropriate insertions, omissions, substitutions and other variations as the officer executing such Debt Warrant Certificates may determine, as evidenced by such officer's execution of such Debt Warrant Certificates.</w:t>
      </w:r>
    </w:p>
    <w:p>
      <w:pPr>
        <w:spacing w:after="0" w:line="165" w:lineRule="exact"/>
        <w:rPr>
          <w:rFonts w:ascii="Courier New" w:cs="Courier New" w:eastAsia="Courier New" w:hAnsi="Courier New"/>
          <w:sz w:val="14"/>
          <w:szCs w:val="14"/>
          <w:color w:val="auto"/>
        </w:rPr>
      </w:pPr>
    </w:p>
    <w:p>
      <w:pPr>
        <w:ind w:right="3239" w:firstLine="1322"/>
        <w:spacing w:after="0" w:line="254" w:lineRule="auto"/>
        <w:tabs>
          <w:tab w:leader="none" w:pos="1662"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temporary Debt Warrant Certificates are issued, the Company will cause definitive Debt Warrant Certificates to be prepared without unreasonable delay. After the preparation of definitive Debt Warrant Certificates, the temporary Debt Warrant Certificates shall be exchangeable for definitive Debt Warrant Certificates upon surrender of the temporary Debt Warrant Certificates at the corporate trust office of the Debt Warrant Agent [or</w:t>
      </w:r>
    </w:p>
    <w:p>
      <w:pPr>
        <w:spacing w:after="0" w:line="2" w:lineRule="exact"/>
        <w:rPr>
          <w:rFonts w:ascii="Courier New" w:cs="Courier New" w:eastAsia="Courier New" w:hAnsi="Courier New"/>
          <w:sz w:val="14"/>
          <w:szCs w:val="14"/>
          <w:color w:val="auto"/>
        </w:rPr>
      </w:pPr>
    </w:p>
    <w:p>
      <w:pPr>
        <w:ind w:right="3239"/>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_______], without charge to the Holder (as defined in Section 1.06 hereof). Upon surrender for cancellation of any one or more temporary Debt Warrant Certificates, the Company shall execute and the Debt Warrant Agent shall countersign and deliver in exchange therefor definitive Debt Warrant Certificates representing the same aggregate number of Debt Warrants. Until so</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23" w:right="1440" w:bottom="1440" w:gutter="0" w:footer="0" w:header="0"/>
        </w:sectPr>
      </w:pPr>
    </w:p>
    <w:bookmarkStart w:id="90" w:name="page91"/>
    <w:bookmarkEnd w:id="90"/>
    <w:p>
      <w:pPr>
        <w:ind w:right="3499"/>
        <w:spacing w:after="0" w:line="235" w:lineRule="auto"/>
        <w:rPr>
          <w:sz w:val="20"/>
          <w:szCs w:val="20"/>
          <w:color w:val="auto"/>
        </w:rPr>
      </w:pPr>
      <w:r>
        <w:rPr>
          <w:rFonts w:ascii="Courier New" w:cs="Courier New" w:eastAsia="Courier New" w:hAnsi="Courier New"/>
          <w:sz w:val="15"/>
          <w:szCs w:val="15"/>
          <w:color w:val="auto"/>
        </w:rPr>
        <w:t>exchanged, the temporary Debt Warrant Certificates shall in all respects be entitled to the same benefits under this Agreement as definitive Debt Warrant Certificates.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1.05. Payment of Taxes. The Company will pay all stamp and other similar duties, if any, to which this Agreement or the original issuance of the Debt Warrants or the Underlying Debt Securities may be subject under the laws of the United States of America or any state or locality. The Company is not responsible for the payment of any tax or taxes which may be payable in respect of the transfer of Debt Warrants or the issue or transfer of Underlying Debt Securities to a person other than the Holder.</w:t>
      </w:r>
    </w:p>
    <w:p>
      <w:pPr>
        <w:spacing w:after="0" w:line="176"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1.06. "Holder". The term "Holder" or "Holders", as used herein with reference to a Debt Warrant Certificate, shall mean [IF REGISTERED DEBT WARRANTS</w:t>
      </w:r>
    </w:p>
    <w:p>
      <w:pPr>
        <w:spacing w:after="0" w:line="1" w:lineRule="exact"/>
        <w:rPr>
          <w:sz w:val="20"/>
          <w:szCs w:val="20"/>
          <w:color w:val="auto"/>
        </w:rPr>
      </w:pPr>
    </w:p>
    <w:p>
      <w:pPr>
        <w:ind w:right="3139" w:firstLine="10"/>
        <w:spacing w:after="0" w:line="255" w:lineRule="auto"/>
        <w:tabs>
          <w:tab w:leader="none" w:pos="175"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the person or persons in whose name such Debt Warrant Certificate shall then be registered as set forth in the Debt Warrant Register to be maintained by the Debt Warrant Agent pursuant to Section 4.01 for that purpose] [IF BEARER DEBT WARRANTS -- the bearer of such Debt Warrant Certificate] or, in the case of Debt Warrants that are issued with Debt Securities and cannot then be transferred separately therefrom, [IF REGISTERED OFFERED SECURITIES AND DEBT WARRANTS THAT ARE NOT THEN DETACHABLE -- the person or persons in whose name the related Offered Securities shall be registered as set forth in the security register to be maintained by the security registrar for such Offered Securities] [IF BEARER OFFERED SECURITIES AND DEBT WARRANTS THAT ARE NOT THEN DETACHABLE -- of the related Offered Security], prior to the Detachable Date. [IF REGISTERED OFFERED SECURITIES AND DEBT WARRANTS THAT ARE NOT THEN DETACHABLE -- The Company will, or will cause the security registrar of any such Offered Securities to, make available to the Debt Warrant Agent at all times (including on and after the Detachable Date, in the case of Debt Warrants originally issued with Offered Securities and not subsequently transferred separately therefrom) such information as to holders of Offered Securities with Debt Warrants as may be necessary to keep the Debt Warrant Register up to date.]</w:t>
      </w:r>
    </w:p>
    <w:p>
      <w:pPr>
        <w:spacing w:after="0" w:line="32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II</w:t>
      </w:r>
    </w:p>
    <w:p>
      <w:pPr>
        <w:jc w:val="center"/>
        <w:ind w:right="3239"/>
        <w:spacing w:after="0" w:line="237" w:lineRule="auto"/>
        <w:rPr>
          <w:sz w:val="20"/>
          <w:szCs w:val="20"/>
          <w:color w:val="auto"/>
        </w:rPr>
      </w:pPr>
      <w:r>
        <w:rPr>
          <w:rFonts w:ascii="Courier New" w:cs="Courier New" w:eastAsia="Courier New" w:hAnsi="Courier New"/>
          <w:sz w:val="15"/>
          <w:szCs w:val="15"/>
          <w:color w:val="auto"/>
        </w:rPr>
        <w:t>DURATION AND EXERCISE OF DEBT WARRANTS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2.01. Duration of Debt Warrants. Each Debt Warrant may be exercised at the time or times, or during the period or periods, provided by or pursuant to the Board Resolution relating thereto and specified in the Debt Warrant Certificate evidencing such Debt Warrant. Each Debt Warrant not exercised at or before 5:00 P.M., New York City time, on its Expiration Date shall become void, unless such Expiration Date has been postponed by notice sent to all Holders of Debt Warrants as provided in Section 2.03, and all rights of the Holder of such Debt Warrant thereunder and under this Agreement shall cease.</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2.02. Exercise of Debt Warrants.</w:t>
      </w:r>
    </w:p>
    <w:p>
      <w:pPr>
        <w:spacing w:after="0" w:line="173" w:lineRule="exact"/>
        <w:rPr>
          <w:sz w:val="20"/>
          <w:szCs w:val="20"/>
          <w:color w:val="auto"/>
        </w:rPr>
      </w:pPr>
    </w:p>
    <w:p>
      <w:pPr>
        <w:jc w:val="both"/>
        <w:ind w:right="3579" w:firstLine="1322"/>
        <w:spacing w:after="0" w:line="255" w:lineRule="auto"/>
        <w:tabs>
          <w:tab w:leader="none" w:pos="1662"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 of a Debt Warrant shall have the right, at its option, to exercise such Debt Warrant and, subject to subsection (f) of this Section 2.02, purchase the principal amount of Underlying Debt Securities provided for therein at the time or times or during the period or periods referred to in Section 2.01 and specified in the Debt Warrant Certificate evidencing such Debt Warrant. Except as may be provided in a Debt Warrant</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24" w:right="1440" w:bottom="1440" w:gutter="0" w:footer="0" w:header="0"/>
        </w:sectPr>
      </w:pPr>
    </w:p>
    <w:bookmarkStart w:id="91" w:name="page92"/>
    <w:bookmarkEnd w:id="91"/>
    <w:p>
      <w:pPr>
        <w:ind w:right="3239"/>
        <w:spacing w:after="0" w:line="255" w:lineRule="auto"/>
        <w:rPr>
          <w:sz w:val="20"/>
          <w:szCs w:val="20"/>
          <w:color w:val="auto"/>
        </w:rPr>
      </w:pPr>
      <w:r>
        <w:rPr>
          <w:rFonts w:ascii="Courier New" w:cs="Courier New" w:eastAsia="Courier New" w:hAnsi="Courier New"/>
          <w:sz w:val="14"/>
          <w:szCs w:val="14"/>
          <w:color w:val="auto"/>
        </w:rPr>
        <w:t>Certificate, a Debt Warrant may be exercised by completing the form of election to purchase set forth on the reverse side of the Debt Warrant Certificate, by duly executing and delivering the same, together with payment in full of the Debt Warrant Price in lawful money of the United States of America, in cash or by certified or official bank check or by bank wire transfer, or in property, in the manner provided by or pursuant to the Board Resolution relating thereto and specified in the Debt Warrant Certificate evidencing such Debt Warrant, to the Debt Warrant Agent. Except as may be provided in a Debt Warrant Certificate, the date on which such Debt Warrant Certificate and payment are received by the Debt Warrant Agent as aforesaid shall be deemed to be the date on which the Debt Warrant is exercised and the Underlying Debt Securities issued.</w:t>
      </w:r>
    </w:p>
    <w:p>
      <w:pPr>
        <w:spacing w:after="0" w:line="165" w:lineRule="exact"/>
        <w:rPr>
          <w:sz w:val="20"/>
          <w:szCs w:val="20"/>
          <w:color w:val="auto"/>
        </w:rPr>
      </w:pPr>
    </w:p>
    <w:p>
      <w:pPr>
        <w:ind w:right="3239" w:firstLine="1322"/>
        <w:spacing w:after="0" w:line="236" w:lineRule="auto"/>
        <w:tabs>
          <w:tab w:leader="none" w:pos="1662"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exercise of a Debt Warrant, the Company shall issue, pursuant to the Senior Indenture or Subordinated Indenture, as applicable, in authorized denominations to or upon the order of the Holder of such Debt Warrant, the Underlying Debt Securities to which such Holder is entitled, in the form required under such Indenture, registered, in the case of Underlying Debt Securities in registered form, in such name or names as may be directed by such Holder.</w:t>
      </w:r>
    </w:p>
    <w:p>
      <w:pPr>
        <w:spacing w:after="0" w:line="175" w:lineRule="exact"/>
        <w:rPr>
          <w:rFonts w:ascii="Courier New" w:cs="Courier New" w:eastAsia="Courier New" w:hAnsi="Courier New"/>
          <w:sz w:val="15"/>
          <w:szCs w:val="15"/>
          <w:color w:val="auto"/>
        </w:rPr>
      </w:pPr>
    </w:p>
    <w:p>
      <w:pPr>
        <w:ind w:right="3499" w:firstLine="1322"/>
        <w:spacing w:after="0" w:line="235" w:lineRule="auto"/>
        <w:tabs>
          <w:tab w:leader="none" w:pos="1662"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fewer than all of the Debt Warrants evidenced by a Debt Warrant Certificate are exercised, the Company shall execute, and the Debt Warrant Agent shall countersign and deliver, a new Debt Warrant Certificate evidencing the number of Debt Warrants remaining unexercised.</w:t>
      </w:r>
    </w:p>
    <w:p>
      <w:pPr>
        <w:spacing w:after="0" w:line="175" w:lineRule="exact"/>
        <w:rPr>
          <w:rFonts w:ascii="Courier New" w:cs="Courier New" w:eastAsia="Courier New" w:hAnsi="Courier New"/>
          <w:sz w:val="15"/>
          <w:szCs w:val="15"/>
          <w:color w:val="auto"/>
        </w:rPr>
      </w:pPr>
    </w:p>
    <w:p>
      <w:pPr>
        <w:ind w:right="3239" w:firstLine="1322"/>
        <w:spacing w:after="0" w:line="236" w:lineRule="auto"/>
        <w:tabs>
          <w:tab w:leader="none" w:pos="1662"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Debt Warrant Agent shall deposit all funds received by it in payment of the Debt Warrant Price in the account of the Company maintained with it for such purpose and shall advise the Company by telephone by 5:00 P.M., New York City time, of each day on which a payment of the Debt Warrant Price for Debt Warrants is received of the amount so deposited in its account. The Debt Warrant Agent shall promptly confirm such telephone advice in writing to the Company.</w:t>
      </w:r>
    </w:p>
    <w:p>
      <w:pPr>
        <w:spacing w:after="0" w:line="175" w:lineRule="exact"/>
        <w:rPr>
          <w:rFonts w:ascii="Courier New" w:cs="Courier New" w:eastAsia="Courier New" w:hAnsi="Courier New"/>
          <w:sz w:val="15"/>
          <w:szCs w:val="15"/>
          <w:color w:val="auto"/>
        </w:rPr>
      </w:pPr>
    </w:p>
    <w:p>
      <w:pPr>
        <w:ind w:right="3319" w:firstLine="1322"/>
        <w:spacing w:after="0" w:line="236" w:lineRule="auto"/>
        <w:tabs>
          <w:tab w:leader="none" w:pos="1662"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Debt Warrant Agent shall, from time to time, as promptly as practicable, advise the Company and the Trustee of (1) the number of Debt Warrants of each title exercised as provided herein, (2) the instructions of each Holder with respect to delivery of the Underlying Debt Securities to which such Holder is entitled upon such exercise, (3) the delivery of Debt Warrant Certificates evidencing the balance, if any, of the Debt Warrants remaining unexercised after such exercise, and (4) such other information as the Company or the Trustee shall reasonably require. Such notice may be given by telephone to be promptly confirmed in writing.</w:t>
      </w:r>
    </w:p>
    <w:p>
      <w:pPr>
        <w:spacing w:after="0" w:line="178" w:lineRule="exact"/>
        <w:rPr>
          <w:rFonts w:ascii="Courier New" w:cs="Courier New" w:eastAsia="Courier New" w:hAnsi="Courier New"/>
          <w:sz w:val="15"/>
          <w:szCs w:val="15"/>
          <w:color w:val="auto"/>
        </w:rPr>
      </w:pPr>
    </w:p>
    <w:p>
      <w:pPr>
        <w:ind w:right="3239" w:firstLine="1322"/>
        <w:spacing w:after="0" w:line="236" w:lineRule="auto"/>
        <w:tabs>
          <w:tab w:leader="none" w:pos="1662"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and not the Company, shall be required to pay any stamp or other tax or other governmental charge that may be imposed in connection with any issuance or transfer of the Underlying Debt Securities to a name other than the Holder's; and in the event that any such transfer is involved, the Company shall not be required to issue any Underlying Debt Securities (and the Holder's purchase of the Underlying Debt Securities upon the exercise of such Holder's Debt Warrant shall not be deemed to have been consummated) until such tax or other charge shall have been paid or it has been established to the Company's satisfaction that no such tax or other charge is due.</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4" w:right="1440" w:bottom="1440" w:gutter="0" w:footer="0" w:header="0"/>
        </w:sectPr>
      </w:pPr>
    </w:p>
    <w:bookmarkStart w:id="92" w:name="page93"/>
    <w:bookmarkEnd w:id="92"/>
    <w:p>
      <w:pPr>
        <w:ind w:right="3239" w:firstLine="437"/>
        <w:spacing w:after="0" w:line="236" w:lineRule="auto"/>
        <w:rPr>
          <w:sz w:val="20"/>
          <w:szCs w:val="20"/>
          <w:color w:val="auto"/>
        </w:rPr>
      </w:pPr>
      <w:r>
        <w:rPr>
          <w:rFonts w:ascii="Courier New" w:cs="Courier New" w:eastAsia="Courier New" w:hAnsi="Courier New"/>
          <w:sz w:val="15"/>
          <w:szCs w:val="15"/>
          <w:color w:val="auto"/>
        </w:rPr>
        <w:t>SECTION 2.03. Expiration Date. If authorized by the relevant Board Resolution, the Company may postpone the Expiration Date by notice in accordance with the procedure set forth in Section 5.04(e) sent to all Holders of the same title of Debt Warrants at least 30 days before the scheduled Expiration Date. Upon mailing of each notice, the Expiration Date shall be the date specified in such notice.</w:t>
      </w:r>
    </w:p>
    <w:p>
      <w:pPr>
        <w:spacing w:after="0" w:line="168"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III</w:t>
      </w:r>
    </w:p>
    <w:p>
      <w:pPr>
        <w:jc w:val="center"/>
        <w:ind w:right="3239"/>
        <w:spacing w:after="0" w:line="237" w:lineRule="auto"/>
        <w:rPr>
          <w:sz w:val="20"/>
          <w:szCs w:val="20"/>
          <w:color w:val="auto"/>
        </w:rPr>
      </w:pPr>
      <w:r>
        <w:rPr>
          <w:rFonts w:ascii="Courier New" w:cs="Courier New" w:eastAsia="Courier New" w:hAnsi="Courier New"/>
          <w:sz w:val="15"/>
          <w:szCs w:val="15"/>
          <w:color w:val="auto"/>
        </w:rPr>
        <w:t>OTHER PROVISIONS RELATING TO RIGHTS OF</w:t>
      </w:r>
    </w:p>
    <w:p>
      <w:pPr>
        <w:jc w:val="center"/>
        <w:ind w:right="3239"/>
        <w:spacing w:after="0" w:line="238" w:lineRule="auto"/>
        <w:rPr>
          <w:sz w:val="20"/>
          <w:szCs w:val="20"/>
          <w:color w:val="auto"/>
        </w:rPr>
      </w:pPr>
      <w:r>
        <w:rPr>
          <w:rFonts w:ascii="Courier New" w:cs="Courier New" w:eastAsia="Courier New" w:hAnsi="Courier New"/>
          <w:sz w:val="15"/>
          <w:szCs w:val="15"/>
          <w:color w:val="auto"/>
        </w:rPr>
        <w:t>HOLDERS OF DEBT WARRANTS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3.01. No Rights as Holder of Underlying Debt Security. No Debt Warrant or Debt Warrant Certificate shall entitle the Holder to any of the rights of a holder of Underlying Debt Securities, including, without limitation, the right to receive the payment of principal of (or premium, if any) or interest, if any, on Underlying Debt Securities or to enforce any of the covenants in the Indentures.</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3.02. Lost, Stolen, Destroyed or Mutilated Debt Warrant Certificates. Upon receipt by the Company and the Debt Warrant Agent of evidence reasonably satisfactory to them of the ownership of and the loss, theft, destruction or mutilation of any Debt Warrant Certificate and of indemnity (other than in connection with any mutilated Debt Warrant Certificates surrendered to the Debt Warrant Agent for cancellation) reasonably satisfactory to them, the Company shall execute, and the Debt Warrant Agent shall countersign and deliver, in exchange for or in lieu of each lost, stolen, destroyed or mutilated Debt Warrant Certificate, a new Debt Warrant Certificate evidencing a like number of Debt Warrants of the same title. Upon the issuance of a new Debt Warrant Certificate under this Section, the Company may require the payment of a sum sufficient to cover any stamp or other similar tax or other governmental charge that may be imposed in connection therewith and any other expenses (including the fees and expenses of the Debt Warrant Agent) in connection therewith. Every substitute Debt Warrant Certificate executed and delivered pursuant to this Section in lieu of any lost, stolen or destroyed Debt Warrant Certificate shall represent an enforceable contractual obligation of the Company, whether or not such lost, stolen or destroyed Debt Warrant Certificate shall be at any time enforceable by anyone, and shall be entitled to the benefits of this Agreement equally and proportionately with any and all other Debt Warrant Certificates, duly executed and delivered hereunder, evidencing Debt Warrants of the same title. The provisions of this Section are exclusive and shall preclude (to the extent lawful) all other rights and remedies with respect to the replacement of lost, stolen, destroyed or mutilated Debt Warrant Certificates.</w:t>
      </w:r>
    </w:p>
    <w:p>
      <w:pPr>
        <w:spacing w:after="0" w:line="34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3.03. Holder of Debt Warrants May Enforce Rights. Notwithstanding any of the provisions of this Agreement, a Holder, without the consent of the Debt Warrant Agent, the Trustee, the holder of any Underlying Debt Securities or the Holder of any other Debt Warrant, may, on its own behalf and for its own benefit, enforce, and may institute and maintain any suit, action or proceeding against the Company to enforce, or otherwise in respect of, its right to exercise its Debt Warrant or Debt Warrants in the manner provided in this Agreement and its Debt Warrant Certificate.</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4" w:right="1440" w:bottom="1440" w:gutter="0" w:footer="0" w:header="0"/>
        </w:sectPr>
      </w:pPr>
    </w:p>
    <w:bookmarkStart w:id="93" w:name="page94"/>
    <w:bookmarkEnd w:id="93"/>
    <w:p>
      <w:pPr>
        <w:ind w:left="440"/>
        <w:spacing w:after="0"/>
        <w:rPr>
          <w:sz w:val="20"/>
          <w:szCs w:val="20"/>
          <w:color w:val="auto"/>
        </w:rPr>
      </w:pPr>
      <w:r>
        <w:rPr>
          <w:rFonts w:ascii="Courier New" w:cs="Courier New" w:eastAsia="Courier New" w:hAnsi="Courier New"/>
          <w:sz w:val="15"/>
          <w:szCs w:val="15"/>
          <w:color w:val="auto"/>
        </w:rPr>
        <w:t>SECTION 3.04. Merger, Consolidation, Sale, Transfer or Conveyance</w:t>
      </w:r>
    </w:p>
    <w:p>
      <w:pPr>
        <w:spacing w:after="0" w:line="173" w:lineRule="exact"/>
        <w:rPr>
          <w:sz w:val="20"/>
          <w:szCs w:val="20"/>
          <w:color w:val="auto"/>
        </w:rPr>
      </w:pPr>
    </w:p>
    <w:p>
      <w:pPr>
        <w:ind w:right="3239" w:firstLine="1322"/>
        <w:spacing w:after="0" w:line="254" w:lineRule="auto"/>
        <w:tabs>
          <w:tab w:leader="none" w:pos="1662"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not consolidate with or merge into any other individual, corporation, partnership, limited liability company, joint venture, association, joint-stock company, trust, unincorporated organization or government or any agency or political subdivision thereof (each, a "Person") or convey or transfer its properties and assets substantially as an entirety to any Person other than in accordance with the applicable Indenture governing the Underlying Debt Securities. In case of any merger, consolidation or a sale, transfer or conveyance of the Company, of all or substantially all of its properties and assets in accordance with the terms of the Indentures, and upon any assumption of the duties and obligations of the Company by a successor corporation, such successor corporation shall succeed to all the rights and obligations of the Company in this Agreement and be substituted for the Company in this Agreement, with the same effect as if it had been named herein, and the Company shall be relieved of any further obligation under this Agreement and the Debt Warrants. Such successor corporation thereupon may cause to be signed, and may issue either in its own name or in the name of the Company, any or all of the Underlying Debt Securities issuable pursuant to the terms hereof. All the Underlying Debt Securities so issued shall in all respects have the same legal rank and benefit under the Senior Indenture or the Subordinated Indenture, as applicable, as the Underlying Debt Securities theretofore or thereafter issued in accordance with the terms of this Agreement and the Indentures. In case of any such merger, consolidation, sale, transfer or conveyance in compliance with the terms of the applicable Indenture governing the Underlying Debt Securities, such changes in phraseology and form (but not in substance) may be made in the Underlying Debt Securities thereafter to be issued as may be appropriate.</w:t>
      </w:r>
    </w:p>
    <w:p>
      <w:pPr>
        <w:spacing w:after="0" w:line="176" w:lineRule="exact"/>
        <w:rPr>
          <w:rFonts w:ascii="Courier New" w:cs="Courier New" w:eastAsia="Courier New" w:hAnsi="Courier New"/>
          <w:sz w:val="14"/>
          <w:szCs w:val="14"/>
          <w:color w:val="auto"/>
        </w:rPr>
      </w:pPr>
    </w:p>
    <w:p>
      <w:pPr>
        <w:ind w:right="3239" w:firstLine="1322"/>
        <w:spacing w:after="0" w:line="258" w:lineRule="auto"/>
        <w:tabs>
          <w:tab w:leader="none" w:pos="1662"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Debt Warrant Agent may receive a written opinion of legal counsel as conclusive evidence that any such merger, consolidation, sale, transfer or conveyance complies with the provisions of this Section 3.04.</w:t>
      </w:r>
    </w:p>
    <w:p>
      <w:pPr>
        <w:spacing w:after="0" w:line="161" w:lineRule="exact"/>
        <w:rPr>
          <w:rFonts w:ascii="Courier New" w:cs="Courier New" w:eastAsia="Courier New" w:hAnsi="Courier New"/>
          <w:sz w:val="14"/>
          <w:szCs w:val="14"/>
          <w:color w:val="auto"/>
        </w:rPr>
      </w:pPr>
    </w:p>
    <w:p>
      <w:pPr>
        <w:ind w:right="3239" w:firstLine="1322"/>
        <w:spacing w:after="0" w:line="236" w:lineRule="auto"/>
        <w:tabs>
          <w:tab w:leader="none" w:pos="1662"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of any merger, consolidation, sale, transfer or conveyance in compliance with the terms of the applicable Indenture governing the Underlying Debt Securities, the Company and the Debt Warrant Agent may treat the registered Holder of a Debt Warrant Certificate as the absolute Holder thereof for any purpose and as the person entitled to exercise the rights represented by the Debt Warrants evidenced thereby, any notice to the contrary notwithstanding.</w:t>
      </w:r>
    </w:p>
    <w:p>
      <w:pPr>
        <w:spacing w:after="0" w:line="169"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IV</w:t>
      </w:r>
    </w:p>
    <w:p>
      <w:pPr>
        <w:jc w:val="center"/>
        <w:ind w:right="3239"/>
        <w:spacing w:after="0" w:line="237" w:lineRule="auto"/>
        <w:rPr>
          <w:sz w:val="20"/>
          <w:szCs w:val="20"/>
          <w:color w:val="auto"/>
        </w:rPr>
      </w:pPr>
      <w:r>
        <w:rPr>
          <w:rFonts w:ascii="Courier New" w:cs="Courier New" w:eastAsia="Courier New" w:hAnsi="Courier New"/>
          <w:sz w:val="15"/>
          <w:szCs w:val="15"/>
          <w:color w:val="auto"/>
        </w:rPr>
        <w:t>EXCHANGE AND TRANSFER OF DEBT WARRANTS</w:t>
      </w:r>
    </w:p>
    <w:p>
      <w:pPr>
        <w:spacing w:after="0" w:line="173" w:lineRule="exact"/>
        <w:rPr>
          <w:sz w:val="20"/>
          <w:szCs w:val="20"/>
          <w:color w:val="auto"/>
        </w:rPr>
      </w:pPr>
    </w:p>
    <w:p>
      <w:pPr>
        <w:ind w:right="3839" w:firstLine="437"/>
        <w:spacing w:after="0" w:line="234" w:lineRule="auto"/>
        <w:rPr>
          <w:sz w:val="20"/>
          <w:szCs w:val="20"/>
          <w:color w:val="auto"/>
        </w:rPr>
      </w:pPr>
      <w:r>
        <w:rPr>
          <w:rFonts w:ascii="Courier New" w:cs="Courier New" w:eastAsia="Courier New" w:hAnsi="Courier New"/>
          <w:sz w:val="15"/>
          <w:szCs w:val="15"/>
          <w:color w:val="auto"/>
        </w:rPr>
        <w:t>SECTION 4.01. [Debt Warrant Register;] Exchange and Transfer of Debt Warrants.</w:t>
      </w:r>
    </w:p>
    <w:p>
      <w:pPr>
        <w:spacing w:after="0" w:line="173" w:lineRule="exact"/>
        <w:rPr>
          <w:sz w:val="20"/>
          <w:szCs w:val="20"/>
          <w:color w:val="auto"/>
        </w:rPr>
      </w:pPr>
    </w:p>
    <w:p>
      <w:pPr>
        <w:ind w:right="3239" w:firstLine="1322"/>
        <w:spacing w:after="0" w:line="236" w:lineRule="auto"/>
        <w:tabs>
          <w:tab w:leader="none" w:pos="1662"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REGISTERED DEBT WARRANTS -- The Debt Warrant Agent shall maintain, at its corporate trust office [or at ________], a register (the "Debt Warrant Register") in which, upon the issuance of Debt Warrants, or on and after the Detachable Date in the case of Debt Warrants not separately transferable prior thereto, and, subject to such reasonable regulations as the Debt Warrant Agent may prescribe, it shall register Debt Warrant Certificates and exchanges and transfers thereof. The Debt Warrant Register shall be in written form or in any other form capable of being converted into written form within a reasonable time.]</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17" w:right="1440" w:bottom="1440" w:gutter="0" w:footer="0" w:header="0"/>
        </w:sectPr>
      </w:pPr>
    </w:p>
    <w:bookmarkStart w:id="94" w:name="page95"/>
    <w:bookmarkEnd w:id="94"/>
    <w:p>
      <w:pPr>
        <w:ind w:right="3239" w:firstLine="1322"/>
        <w:spacing w:after="0" w:line="254" w:lineRule="auto"/>
        <w:tabs>
          <w:tab w:leader="none" w:pos="1662"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in the following sentence, upon surrender at the corporate trust office of the Debt Warrant Agent [or at _______], Debt Warrant Certificates may be exchanged for one or more other Debt Warrant Certificates evidencing the same aggregate number of Debt Warrants of the same title, or may be transferred in whole or in part. A Debt Warrant Certificate evidencing Debt Warrants that are not then transferable separately from the Offered Security with which they were issued may be exchanged or transferred prior to its Detachable Date only together with such Offered Security and only for the purpose of effecting, or in conjunction with, an exchange or transfer of such Offered Security; and on or prior to the Detachable Date, [IF REGISTERED OFFERED SECURITIES AND DEBT WARRANTS -- each exchange or transfer of such Offered Security on the security register of the Offered Securities shall operate also to exchange or transfer the related Debt Warrants] [IF BEARER OFFERED SECURITIES AND DEBT WARRANTS -- an exchange or transfer of possession of the related Offered Security shall operate also to exchange or transfer the related Debt Warrants]. [IF REGISTERED DEBT WARRANTS -- A transfer shall be registered upon surrender of a Debt Warrant Certificate to the Debt Warrant Agent at its corporate trust office [or at ________] for transfer, properly endorsed or accompanied by appropriate instruments of transfer and written instructions for transfer, all in form satisfactory to the Company and the Debt Warrant Agent.] Whenever a Debt Warrant Certificate is surrendered for exchange or transfer, the Debt Warrant Agent shall countersign and deliver to the person or persons entitled thereto one or more Debt Warrant Certificates duly executed by the Company, as so requested. The Debt Warrant Agent shall not be required to effect any exchange or transfer which will result in the issuance of a Debt Warrant Certificate evidencing a fraction of a Debt Warrant. All Debt Warrant Certificates issued upon any exchange or transfer of a Debt Warrant Certificate shall be the valid obligations of the Company, evidencing the same obligations, and entitled to the same benefits under this Agreement, as the Debt Warrant Certificate surrendered for such exchange or transfer.</w:t>
      </w:r>
    </w:p>
    <w:p>
      <w:pPr>
        <w:spacing w:after="0" w:line="346" w:lineRule="exact"/>
        <w:rPr>
          <w:rFonts w:ascii="Courier New" w:cs="Courier New" w:eastAsia="Courier New" w:hAnsi="Courier New"/>
          <w:sz w:val="14"/>
          <w:szCs w:val="14"/>
          <w:color w:val="auto"/>
        </w:rPr>
      </w:pPr>
    </w:p>
    <w:p>
      <w:pPr>
        <w:ind w:right="3319" w:firstLine="1322"/>
        <w:spacing w:after="0" w:line="256" w:lineRule="auto"/>
        <w:tabs>
          <w:tab w:leader="none" w:pos="1662"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service charge shall be made for any exchange or transfer of Debt Warrants, but the Company may require payment of a sum sufficient to cover any tax or other governmental charge that may be imposed in connection with any such exchange or transfer, in accordance with Section 2.02(f) hereof.</w:t>
      </w:r>
    </w:p>
    <w:p>
      <w:pPr>
        <w:spacing w:after="0" w:line="16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4.02. Treatment of Holders of Debt Warrant Certificates. Every Holder of a Debt Warrant, by accepting the Debt Warrant Certificate evidencing the same, consents and agrees with the Company, the Debt Warrant Agent and with every other Holder of Debt Warrants of the same title that the Company and the Debt Warrant Agent may treat the registered Holder of a Debt Warrant Certificate (or, if the Debt Warrant Certificate is not then detachable, the Holder of the related Offered Debt Security) as the absolute owner of such Debt Warrant for all purposes and as the person entitled to exercise the rights represented by such Debt Warrant, any notice to the contrary notwithstanding.</w:t>
      </w:r>
    </w:p>
    <w:p>
      <w:pPr>
        <w:spacing w:after="0" w:line="16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4.03. Cancellation of Debt Warrant Certificates. In the event that the Company shall purchase, redeem or otherwise acquire any Debt Warrants after the issuance thereof, the Debt Warrant Certificate or Certificates evidencing such Debt Warrants shall thereupon be delivered to the Debt Warrant Agent and be cancelled by it. The Debt Warrant Agent shall also cancel any Debt Warrant Certificate (including any mutilated Debt Warrant Certificate) delivered to it for exercise, in whole or in part, or for exchange [or transfer] [IF DEBT WARRANT CERTIFICATES ARE ISSUED IN BEARER FORM -- , except that Debt Warrant</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24" w:right="1440" w:bottom="1440" w:gutter="0" w:footer="0" w:header="0"/>
        </w:sectPr>
      </w:pPr>
    </w:p>
    <w:bookmarkStart w:id="95" w:name="page96"/>
    <w:bookmarkEnd w:id="95"/>
    <w:p>
      <w:pPr>
        <w:ind w:right="3399"/>
        <w:spacing w:after="0" w:line="236" w:lineRule="auto"/>
        <w:rPr>
          <w:sz w:val="20"/>
          <w:szCs w:val="20"/>
          <w:color w:val="auto"/>
        </w:rPr>
      </w:pPr>
      <w:r>
        <w:rPr>
          <w:rFonts w:ascii="Courier New" w:cs="Courier New" w:eastAsia="Courier New" w:hAnsi="Courier New"/>
          <w:sz w:val="15"/>
          <w:szCs w:val="15"/>
          <w:color w:val="auto"/>
        </w:rPr>
        <w:t>Certificates delivered to the Debt Warrant Agent in exchange for Debt Warrant Certificates of other denominations may be retained by the Debt Warrant Agent for reissue]. Debt Warrant Certificates so cancelled shall be delivered by the Debt Warrant Agent to the Company from time to time, or disposed of in accordance with the instructions of the Company.</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V</w:t>
      </w:r>
    </w:p>
    <w:p>
      <w:pPr>
        <w:ind w:left="2100"/>
        <w:spacing w:after="0" w:line="237" w:lineRule="auto"/>
        <w:rPr>
          <w:sz w:val="20"/>
          <w:szCs w:val="20"/>
          <w:color w:val="auto"/>
        </w:rPr>
      </w:pPr>
      <w:r>
        <w:rPr>
          <w:rFonts w:ascii="Courier New" w:cs="Courier New" w:eastAsia="Courier New" w:hAnsi="Courier New"/>
          <w:sz w:val="15"/>
          <w:szCs w:val="15"/>
          <w:color w:val="auto"/>
        </w:rPr>
        <w:t>CONCERNING THE DEBT WARRANT AGENT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5.01. Debt Warrant Agent. The Company hereby appoints _____________</w:t>
      </w:r>
    </w:p>
    <w:p>
      <w:pPr>
        <w:spacing w:after="0" w:line="10"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as Debt Warrant Agent of the Company in respect of the Debt Warrants and the Debt Warrant Certificates upon the terms and subject to the conditions set forth herein and ____________________ hereby accepts such appointment. The Debt</w:t>
      </w:r>
    </w:p>
    <w:p>
      <w:pPr>
        <w:spacing w:after="0" w:line="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Warrant Agent shall have the powers and authority granted to and conferred upon it hereby and such further powers and authority to act on behalf of the Company as the Company may hereafter grant to or confer upon it. All of the terms and provisions with respect to such powers and authority contained in any Debt Warrant Certificate are subject to and governed by the terms and provisions hereof.</w:t>
      </w:r>
    </w:p>
    <w:p>
      <w:pPr>
        <w:spacing w:after="0" w:line="175"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SECTION 5.02. Conditions of Debt Warrant Agent's Obligations. The Debt Warrant Agent accepts its obligations set forth herein upon the terms and conditions hereof, including the following, to all of which the Company agrees and to all of which the rights hereunder of the Holders shall be subject:</w:t>
      </w:r>
    </w:p>
    <w:p>
      <w:pPr>
        <w:spacing w:after="0" w:line="164" w:lineRule="exact"/>
        <w:rPr>
          <w:sz w:val="20"/>
          <w:szCs w:val="20"/>
          <w:color w:val="auto"/>
        </w:rPr>
      </w:pPr>
    </w:p>
    <w:p>
      <w:pPr>
        <w:ind w:right="3239" w:firstLine="1322"/>
        <w:spacing w:after="0" w:line="236" w:lineRule="auto"/>
        <w:tabs>
          <w:tab w:leader="none" w:pos="1662"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and Indemnification. The Company agrees to promptly pay the Debt Warrant Agent the compensation set forth in Exhibit A hereto and to reimburse the Debt Warrant Agent for reasonable out-of-pocket expenses (including counsel fees) incurred by the Debt Warrant Agent in connection with the services rendered hereunder by the Debt Warrant Agent. The Company also agrees to indemnify the Debt Warrant Agent for, and to hold it harmless against, any loss, liability or expense (including the reasonable costs and expenses of defending against any claim of liability) incurred without negligence or bad faith on the part of the Debt Warrant Agent arising out of or in connection with its appointment as Debt Warrant Agent hereunder.</w:t>
      </w:r>
    </w:p>
    <w:p>
      <w:pPr>
        <w:spacing w:after="0" w:line="179" w:lineRule="exact"/>
        <w:rPr>
          <w:rFonts w:ascii="Courier New" w:cs="Courier New" w:eastAsia="Courier New" w:hAnsi="Courier New"/>
          <w:sz w:val="15"/>
          <w:szCs w:val="15"/>
          <w:color w:val="auto"/>
        </w:rPr>
      </w:pPr>
    </w:p>
    <w:p>
      <w:pPr>
        <w:ind w:right="3319" w:firstLine="1322"/>
        <w:spacing w:after="0" w:line="235" w:lineRule="auto"/>
        <w:tabs>
          <w:tab w:leader="none" w:pos="1662"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Agent For The Company. In acting under this Agreement and in connection with any Debt Warrant Certificate, the Debt Warrant Agent is acting solely as agent of the Company and does not assume any obligation or relationship of agency or trust for or with any Holder.</w:t>
      </w:r>
    </w:p>
    <w:p>
      <w:pPr>
        <w:spacing w:after="0" w:line="175" w:lineRule="exact"/>
        <w:rPr>
          <w:rFonts w:ascii="Courier New" w:cs="Courier New" w:eastAsia="Courier New" w:hAnsi="Courier New"/>
          <w:sz w:val="15"/>
          <w:szCs w:val="15"/>
          <w:color w:val="auto"/>
        </w:rPr>
      </w:pPr>
    </w:p>
    <w:p>
      <w:pPr>
        <w:ind w:right="3239" w:firstLine="1322"/>
        <w:spacing w:after="0" w:line="256" w:lineRule="auto"/>
        <w:tabs>
          <w:tab w:leader="none" w:pos="1662"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Counsel. The Debt Warrant Agent may consult with counsel satisfactory to it, and the advice of such counsel shall be full and complete authorization and protection in respect of any action taken, suffered or omitted by it hereunder in good faith and in accordance with the advice of such counsel.</w:t>
      </w:r>
    </w:p>
    <w:p>
      <w:pPr>
        <w:spacing w:after="0" w:line="164" w:lineRule="exact"/>
        <w:rPr>
          <w:rFonts w:ascii="Courier New" w:cs="Courier New" w:eastAsia="Courier New" w:hAnsi="Courier New"/>
          <w:sz w:val="14"/>
          <w:szCs w:val="14"/>
          <w:color w:val="auto"/>
        </w:rPr>
      </w:pPr>
    </w:p>
    <w:p>
      <w:pPr>
        <w:ind w:right="3319" w:firstLine="1322"/>
        <w:spacing w:after="0" w:line="236" w:lineRule="auto"/>
        <w:tabs>
          <w:tab w:leader="none" w:pos="1662"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Documents. The Debt Warrant Agent shall be protected and shall incur no liability for or in respect of any action taken, suffered or omitted by it in reliance upon any notice, direction, consent, certificate, affidavit, statement or other paper or document reasonably believed by it to be genuine and to have been presented or signed by the proper parties.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23" w:right="1440" w:bottom="1440" w:gutter="0" w:footer="0" w:header="0"/>
        </w:sectPr>
      </w:pPr>
    </w:p>
    <w:bookmarkStart w:id="96" w:name="page97"/>
    <w:bookmarkEnd w:id="96"/>
    <w:p>
      <w:pPr>
        <w:ind w:left="-1220" w:right="3319" w:firstLine="1322"/>
        <w:spacing w:after="0" w:line="255" w:lineRule="auto"/>
        <w:tabs>
          <w:tab w:leader="none" w:pos="442"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Officer's Certificate. Whenever in the performance of its duties hereunder the Debt Warrant Agent shall reasonably deem it necessary that any fact or matter be proved or established by the Company prior to taking, suffering or omitting any action hereunder, the Debt Warrant Agent may (unless other evidence in respect thereof be herein specifically prescribed), in the absence of bad faith on its part, rely upon a certificate signed by the Chairman, the President, the Chief Executive Officer, the Chief Financial Officer, any Vice President, the Controller or the Secretary of the Company (an "Officer's Certificate") delivered by the Company to the Debt Warrant Agent.</w:t>
      </w:r>
    </w:p>
    <w:p>
      <w:pPr>
        <w:spacing w:after="0" w:line="165" w:lineRule="exact"/>
        <w:rPr>
          <w:rFonts w:ascii="Courier New" w:cs="Courier New" w:eastAsia="Courier New" w:hAnsi="Courier New"/>
          <w:sz w:val="14"/>
          <w:szCs w:val="14"/>
          <w:color w:val="auto"/>
        </w:rPr>
      </w:pPr>
    </w:p>
    <w:p>
      <w:pPr>
        <w:ind w:left="-1220" w:right="3239" w:firstLine="1322"/>
        <w:spacing w:after="0" w:line="236" w:lineRule="auto"/>
        <w:tabs>
          <w:tab w:leader="none" w:pos="442"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Actions through Agents. The Debt Warrant Agent may execute and exercise any of the rights or powers hereby vested in it or perform any duty hereunder either itself or by or through its attorneys or agents, and the Debt Warrant Agent shall not be answerable or accountable for any act, default, neglect or misconduct of any such attorney or agent or for any loss to the Company resulting from such neglect or misconduct; provided, however, that reasonable care shall have been exercised in the selection and continued employment of such attorneys and agents.</w:t>
      </w:r>
    </w:p>
    <w:p>
      <w:pPr>
        <w:spacing w:after="0" w:line="177" w:lineRule="exact"/>
        <w:rPr>
          <w:rFonts w:ascii="Courier New" w:cs="Courier New" w:eastAsia="Courier New" w:hAnsi="Courier New"/>
          <w:sz w:val="15"/>
          <w:szCs w:val="15"/>
          <w:color w:val="auto"/>
        </w:rPr>
      </w:pPr>
    </w:p>
    <w:p>
      <w:pPr>
        <w:ind w:left="-1220" w:right="3239" w:firstLine="1322"/>
        <w:spacing w:after="0" w:line="236" w:lineRule="auto"/>
        <w:tabs>
          <w:tab w:leader="none" w:pos="442"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Transactions. The Debt Warrant Agent, and any officer, director or employee thereof, may become the owner of, or acquire any interest in, any Debt Warrant, with the same rights that he, she or it would have if it were not the Debt Warrant Agent, and, to the extent permitted by applicable law, he, she or it may engage or be interested in any financial or other transaction with the Company and may serve on, or as depositary, trustee or agent for, any committee or body of holders of Underlying Debt Securities or other obligations of the Company as if it were not the Debt Warrant Agent. Nothing in this Agreement shall be deemed to prevent the Debt Warrant Agent from acting as Trustee under the Indentures.</w:t>
      </w:r>
    </w:p>
    <w:p>
      <w:pPr>
        <w:spacing w:after="0" w:line="179" w:lineRule="exact"/>
        <w:rPr>
          <w:rFonts w:ascii="Courier New" w:cs="Courier New" w:eastAsia="Courier New" w:hAnsi="Courier New"/>
          <w:sz w:val="15"/>
          <w:szCs w:val="15"/>
          <w:color w:val="auto"/>
        </w:rPr>
      </w:pPr>
    </w:p>
    <w:p>
      <w:pPr>
        <w:ind w:left="-1220" w:right="3319" w:firstLine="1322"/>
        <w:spacing w:after="0" w:line="235" w:lineRule="auto"/>
        <w:tabs>
          <w:tab w:leader="none" w:pos="442"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Liability For Interest. The Debt Warrant Agent shall not be liable for interest on any monies at any time received by it pursuant to any of the provisions of this Agreement or of the Debt Warrant Certificates, except as otherwise agreed with the Company.</w:t>
      </w:r>
    </w:p>
    <w:p>
      <w:pPr>
        <w:spacing w:after="0" w:line="175" w:lineRule="exact"/>
        <w:rPr>
          <w:rFonts w:ascii="Courier New" w:cs="Courier New" w:eastAsia="Courier New" w:hAnsi="Courier New"/>
          <w:sz w:val="15"/>
          <w:szCs w:val="15"/>
          <w:color w:val="auto"/>
        </w:rPr>
      </w:pPr>
    </w:p>
    <w:p>
      <w:pPr>
        <w:ind w:left="-1220" w:right="3319" w:firstLine="1322"/>
        <w:spacing w:after="0" w:line="236" w:lineRule="auto"/>
        <w:tabs>
          <w:tab w:leader="none" w:pos="442"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Liability For Invalidity. The Debt Warrant Agent shall incur no liability with respect to the validity of this Agreement (except as to the due execution hereof by the Debt Warrant Agent) or any Debt Warrant Certificate (except as to the countersignature thereof by the Debt Warrant Agent).</w:t>
      </w:r>
    </w:p>
    <w:p>
      <w:pPr>
        <w:spacing w:after="0" w:line="173" w:lineRule="exact"/>
        <w:rPr>
          <w:rFonts w:ascii="Courier New" w:cs="Courier New" w:eastAsia="Courier New" w:hAnsi="Courier New"/>
          <w:sz w:val="15"/>
          <w:szCs w:val="15"/>
          <w:color w:val="auto"/>
        </w:rPr>
      </w:pPr>
    </w:p>
    <w:p>
      <w:pPr>
        <w:ind w:left="-1220" w:right="3239" w:firstLine="1322"/>
        <w:spacing w:after="0" w:line="236" w:lineRule="auto"/>
        <w:tabs>
          <w:tab w:leader="none" w:pos="442"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Responsibility For Company Representations. The Debt Warrant Agent shall not be responsible for any of the recitals or representations contained herein (except as to such statements or recitals as describe the Debt Warrant Agent or action taken or to be taken by it) or in any Debt Warrant Certificate (except as to the Debt Warrant Agent's countersignature on such Debt Warrant Certificate), all of which recitals and representations are made solely by the Company.</w:t>
      </w:r>
    </w:p>
    <w:p>
      <w:pPr>
        <w:spacing w:after="0" w:line="175" w:lineRule="exact"/>
        <w:rPr>
          <w:rFonts w:ascii="Courier New" w:cs="Courier New" w:eastAsia="Courier New" w:hAnsi="Courier New"/>
          <w:sz w:val="15"/>
          <w:szCs w:val="15"/>
          <w:color w:val="auto"/>
        </w:rPr>
      </w:pPr>
    </w:p>
    <w:p>
      <w:pPr>
        <w:ind w:left="-1220" w:right="3319" w:firstLine="1322"/>
        <w:spacing w:after="0" w:line="255" w:lineRule="auto"/>
        <w:tabs>
          <w:tab w:leader="none" w:pos="442"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Implied Obligations. The Debt Warrant Agent shall be obligated to perform only such duties as are specifically set forth herein, and no other duties or obligations shall be implied. The Debt Warrant Agent shall not be under any obligation to take any action hereunder that may subject it to any expense or liability, the payment of which within a reasonable time is not, in its reasonable opinion, assured to it. The Debt Warrant Agent shall not be</w:t>
      </w:r>
    </w:p>
    <w:p>
      <w:pPr>
        <w:spacing w:after="0" w:line="328"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019"/>
          </w:cols>
          <w:pgMar w:left="1440" w:top="624" w:right="1440" w:bottom="1440" w:gutter="0" w:footer="0" w:header="0"/>
        </w:sectPr>
      </w:pPr>
    </w:p>
    <w:bookmarkStart w:id="97" w:name="page98"/>
    <w:bookmarkEnd w:id="97"/>
    <w:p>
      <w:pPr>
        <w:ind w:right="3239"/>
        <w:spacing w:after="0" w:line="255" w:lineRule="auto"/>
        <w:rPr>
          <w:sz w:val="20"/>
          <w:szCs w:val="20"/>
          <w:color w:val="auto"/>
        </w:rPr>
      </w:pPr>
      <w:r>
        <w:rPr>
          <w:rFonts w:ascii="Courier New" w:cs="Courier New" w:eastAsia="Courier New" w:hAnsi="Courier New"/>
          <w:sz w:val="14"/>
          <w:szCs w:val="14"/>
          <w:color w:val="auto"/>
        </w:rPr>
        <w:t>accountable or under any duty or responsibility for the use by the Company of any Debt Warrant Certificate countersigned by the Debt Warrant Agent and delivered by it to the Company pursuant to this Agreement or for the application by the Company of the proceeds of the issuance or exercise of Debt Warrants. The Debt Warrant Agent shall have no duty or responsibility in case of any default by the Company in the performance of its covenants or agreements contained herein or in any Debt Warrant Certificate or in case of the receipt of any written demand from a Holder with respect to such default, including, without limiting the generality of the foregoing, any duty or responsibility to initiate or attempt to initiate any proceedings at law or otherwise or, except as provided in Section 6.02 hereof, to make any demand upon the Company.</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5.03. Compliance with Applicable Laws. The Debt Warrant Agent agrees to comply with all applicable federal and state laws imposing obligations on it in respect of the services rendered by it under this Debt Warrant Agreement and in connection with the Debt Warrants, including (but not limited to) the provisions of United States federal income tax laws regarding information reporting and backup withholding. The Debt Warrant Agent expressly assumes all liability for its failure to comply with such laws imposing obligations on it, including (but not limited to) any liability for failure to comply with any applicable provisions of United States federal income tax laws regarding information reporting and backup withholding.</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5.04. Resignation and Removal; Appointment of Successor.</w:t>
      </w:r>
    </w:p>
    <w:p>
      <w:pPr>
        <w:spacing w:after="0" w:line="173" w:lineRule="exact"/>
        <w:rPr>
          <w:sz w:val="20"/>
          <w:szCs w:val="20"/>
          <w:color w:val="auto"/>
        </w:rPr>
      </w:pPr>
    </w:p>
    <w:p>
      <w:pPr>
        <w:ind w:right="3319" w:firstLine="1322"/>
        <w:spacing w:after="0" w:line="235" w:lineRule="auto"/>
        <w:tabs>
          <w:tab w:leader="none" w:pos="1662"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agrees, for the benefit of the Holders of Debt Warrants, that there shall at all times be a Debt Warrant Agent hereunder until all the Debt Warrants are no longer exercisable.</w:t>
      </w:r>
    </w:p>
    <w:p>
      <w:pPr>
        <w:spacing w:after="0" w:line="173" w:lineRule="exact"/>
        <w:rPr>
          <w:rFonts w:ascii="Courier New" w:cs="Courier New" w:eastAsia="Courier New" w:hAnsi="Courier New"/>
          <w:sz w:val="15"/>
          <w:szCs w:val="15"/>
          <w:color w:val="auto"/>
        </w:rPr>
      </w:pPr>
    </w:p>
    <w:p>
      <w:pPr>
        <w:ind w:right="3239" w:firstLine="1322"/>
        <w:spacing w:after="0" w:line="237" w:lineRule="auto"/>
        <w:tabs>
          <w:tab w:leader="none" w:pos="1662"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Debt Warrant Agent may at any time resign as such by giving written notice to the Company, specifying the date on which such resignation shall become effective; provided that such date shall not be less than 90 days after the date on which such notice is given, unless the Company agrees to accept a shorter notice. The Debt Warrant Agent may be removed at any time by the filing with it of an instrument in writing signed by or on behalf of the Company and specifying such removal and the date when it shall become effective. Notwithstanding the two preceding sentences, such resignation or removal shall take effect only upon the appointment by the Company, as hereinafter provided, of a successor Debt Warrant Agent (which shall be a bank or trust company organized and doing business under the laws of the United States of America, any State thereof or the District of Columbia, authorized under the laws of such jurisdiction to exercise corporate trust powers and having at the time of its appointment as Debt Warrant Agent a combined capital and surplus (as set forth in its most recent published report of condition) of at least $50,000,000) and the acceptance of such appointment by such successor Debt Warrant Agent.</w:t>
      </w:r>
    </w:p>
    <w:p>
      <w:pPr>
        <w:spacing w:after="0" w:line="168" w:lineRule="exact"/>
        <w:rPr>
          <w:rFonts w:ascii="Courier New" w:cs="Courier New" w:eastAsia="Courier New" w:hAnsi="Courier New"/>
          <w:sz w:val="15"/>
          <w:szCs w:val="15"/>
          <w:color w:val="auto"/>
        </w:rPr>
      </w:pPr>
    </w:p>
    <w:p>
      <w:pPr>
        <w:ind w:left="1680" w:hanging="358"/>
        <w:spacing w:after="0"/>
        <w:tabs>
          <w:tab w:leader="none" w:pos="168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at any time the Debt Warrant Agent shall:</w:t>
      </w:r>
    </w:p>
    <w:p>
      <w:pPr>
        <w:spacing w:after="0" w:line="172" w:lineRule="exact"/>
        <w:rPr>
          <w:rFonts w:ascii="Courier New" w:cs="Courier New" w:eastAsia="Courier New" w:hAnsi="Courier New"/>
          <w:sz w:val="15"/>
          <w:szCs w:val="15"/>
          <w:color w:val="auto"/>
        </w:rPr>
      </w:pPr>
    </w:p>
    <w:p>
      <w:pPr>
        <w:ind w:left="1320" w:right="3239" w:firstLine="351"/>
        <w:spacing w:after="0" w:line="234" w:lineRule="auto"/>
        <w:tabs>
          <w:tab w:leader="none" w:pos="2020"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resign, or shall be removed, or shall become incapable of acting, or</w:t>
      </w:r>
    </w:p>
    <w:p>
      <w:pPr>
        <w:spacing w:after="0" w:line="166" w:lineRule="exact"/>
        <w:rPr>
          <w:rFonts w:ascii="Courier New" w:cs="Courier New" w:eastAsia="Courier New" w:hAnsi="Courier New"/>
          <w:sz w:val="15"/>
          <w:szCs w:val="15"/>
          <w:color w:val="auto"/>
        </w:rPr>
      </w:pPr>
    </w:p>
    <w:p>
      <w:pPr>
        <w:ind w:left="2020" w:hanging="349"/>
        <w:spacing w:after="0"/>
        <w:tabs>
          <w:tab w:leader="none" w:pos="2020"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 adjudged a bankrupt or insolvent, or</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23" w:right="1440" w:bottom="1440" w:gutter="0" w:footer="0" w:header="0"/>
        </w:sectPr>
      </w:pPr>
    </w:p>
    <w:bookmarkStart w:id="98" w:name="page99"/>
    <w:bookmarkEnd w:id="98"/>
    <w:p>
      <w:pPr>
        <w:ind w:left="1320" w:right="3239" w:firstLine="351"/>
        <w:spacing w:after="0" w:line="235" w:lineRule="auto"/>
        <w:tabs>
          <w:tab w:leader="none" w:pos="202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 a petition seeking relief under Title 11 of the United States Code, as now constituted or hereafter amended, or under any other applicable federal or state bankruptcy or similar law, or</w:t>
      </w:r>
    </w:p>
    <w:p>
      <w:pPr>
        <w:spacing w:after="0" w:line="175" w:lineRule="exact"/>
        <w:rPr>
          <w:rFonts w:ascii="Courier New" w:cs="Courier New" w:eastAsia="Courier New" w:hAnsi="Courier New"/>
          <w:sz w:val="15"/>
          <w:szCs w:val="15"/>
          <w:color w:val="auto"/>
        </w:rPr>
      </w:pPr>
    </w:p>
    <w:p>
      <w:pPr>
        <w:ind w:left="1320" w:right="3319" w:firstLine="351"/>
        <w:spacing w:after="0" w:line="235" w:lineRule="auto"/>
        <w:tabs>
          <w:tab w:leader="none" w:pos="202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 assignment for the benefit of its creditors, or consent to the appointment of a receiver or custodian for all or any substantial part of its property, or</w:t>
      </w:r>
    </w:p>
    <w:p>
      <w:pPr>
        <w:spacing w:after="0" w:line="173" w:lineRule="exact"/>
        <w:rPr>
          <w:rFonts w:ascii="Courier New" w:cs="Courier New" w:eastAsia="Courier New" w:hAnsi="Courier New"/>
          <w:sz w:val="15"/>
          <w:szCs w:val="15"/>
          <w:color w:val="auto"/>
        </w:rPr>
      </w:pPr>
    </w:p>
    <w:p>
      <w:pPr>
        <w:ind w:left="1320" w:right="3399" w:firstLine="351"/>
        <w:spacing w:after="0" w:line="234" w:lineRule="auto"/>
        <w:tabs>
          <w:tab w:leader="none" w:pos="202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admit in writing its inability to pay or meet its debts as they mature, or</w:t>
      </w:r>
    </w:p>
    <w:p>
      <w:pPr>
        <w:spacing w:after="0" w:line="173" w:lineRule="exact"/>
        <w:rPr>
          <w:rFonts w:ascii="Courier New" w:cs="Courier New" w:eastAsia="Courier New" w:hAnsi="Courier New"/>
          <w:sz w:val="15"/>
          <w:szCs w:val="15"/>
          <w:color w:val="auto"/>
        </w:rPr>
      </w:pPr>
    </w:p>
    <w:p>
      <w:pPr>
        <w:ind w:left="1320" w:right="3319" w:firstLine="351"/>
        <w:spacing w:after="0" w:line="234" w:lineRule="auto"/>
        <w:tabs>
          <w:tab w:leader="none" w:pos="202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a receiver or custodian appointed for it or for all or any substantial part of its property, or</w:t>
      </w:r>
    </w:p>
    <w:p>
      <w:pPr>
        <w:spacing w:after="0" w:line="173" w:lineRule="exact"/>
        <w:rPr>
          <w:rFonts w:ascii="Courier New" w:cs="Courier New" w:eastAsia="Courier New" w:hAnsi="Courier New"/>
          <w:sz w:val="15"/>
          <w:szCs w:val="15"/>
          <w:color w:val="auto"/>
        </w:rPr>
      </w:pPr>
    </w:p>
    <w:p>
      <w:pPr>
        <w:ind w:left="1320" w:right="3319" w:firstLine="351"/>
        <w:spacing w:after="0" w:line="235" w:lineRule="auto"/>
        <w:tabs>
          <w:tab w:leader="none" w:pos="202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an order of any court entered for relief against it under the provisions of Title 11 of the United States Code, as now constituted or hereafter amended, or under any other applicable federal or state bankruptcy or similar law, or</w:t>
      </w:r>
    </w:p>
    <w:p>
      <w:pPr>
        <w:spacing w:after="0" w:line="175" w:lineRule="exact"/>
        <w:rPr>
          <w:rFonts w:ascii="Courier New" w:cs="Courier New" w:eastAsia="Courier New" w:hAnsi="Courier New"/>
          <w:sz w:val="15"/>
          <w:szCs w:val="15"/>
          <w:color w:val="auto"/>
        </w:rPr>
      </w:pPr>
    </w:p>
    <w:p>
      <w:pPr>
        <w:ind w:left="1320" w:right="3319" w:firstLine="351"/>
        <w:spacing w:after="0" w:line="235" w:lineRule="auto"/>
        <w:tabs>
          <w:tab w:leader="none" w:pos="202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any public officer take charge or control of the Debt Warrant Agent or of its property or affairs for the purpose of rehabilitation, conservation or liquidation,</w:t>
      </w:r>
    </w:p>
    <w:p>
      <w:pPr>
        <w:spacing w:after="0" w:line="174"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a successor Debt Warrant Agent, qualified as aforesaid, shall be appointed by the Company by an instrument in writing, filed with the successor Debt Warrant Agent. Upon the appointment as aforesaid of a successor Debt Warrant Agent and acceptance by the successor Debt Warrant Agent of such appointment, the Debt Warrant Agent so superseded shall cease to be Debt Warrant Agent hereunder.</w:t>
      </w:r>
    </w:p>
    <w:p>
      <w:pPr>
        <w:spacing w:after="0" w:line="163" w:lineRule="exact"/>
        <w:rPr>
          <w:sz w:val="20"/>
          <w:szCs w:val="20"/>
          <w:color w:val="auto"/>
        </w:rPr>
      </w:pPr>
    </w:p>
    <w:p>
      <w:pPr>
        <w:ind w:right="3239" w:firstLine="1322"/>
        <w:spacing w:after="0" w:line="255" w:lineRule="auto"/>
        <w:tabs>
          <w:tab w:leader="none" w:pos="1662"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successor Debt Warrant Agent appointed hereunder shall execute, acknowledge and deliver to its predecessor and to the Company an instrument accepting such appointment hereunder, and thereupon such successor Debt Warrant Agent, without any further act, deed or conveyance, shall become vested with all the authority, rights, powers, trusts, immunities, duties and obligations of such predecessor with like effect as if originally named as Debt Warrant Agent hereunder, and such predecessor, upon payment of its charges and disbursements then unpaid, shall thereupon become obligated to transfer, deliver and pay over, and such successor Debt Warrant Agent shall be entitled to receive, [the Debt Warrant Register and] all monies, securities and other property on deposit with or held by such predecessor (together with any books and records relating thereto), as Debt Warrant Agent hereunder.</w:t>
      </w:r>
    </w:p>
    <w:p>
      <w:pPr>
        <w:spacing w:after="0" w:line="164" w:lineRule="exact"/>
        <w:rPr>
          <w:rFonts w:ascii="Courier New" w:cs="Courier New" w:eastAsia="Courier New" w:hAnsi="Courier New"/>
          <w:sz w:val="14"/>
          <w:szCs w:val="14"/>
          <w:color w:val="auto"/>
        </w:rPr>
      </w:pPr>
    </w:p>
    <w:p>
      <w:pPr>
        <w:ind w:right="3239" w:firstLine="1322"/>
        <w:spacing w:after="0" w:line="255" w:lineRule="auto"/>
        <w:tabs>
          <w:tab w:leader="none" w:pos="1662"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cause notice of the appointment of any successor Debt Warrant Agent to be [IF REGISTERED DEBT WARRANTS -- mailed by first-class mail, postage prepaid, to each Holder at its address appearing on the Debt Warrant Register or, in the case of Debt Warrants that are issued with Offered Securities and cannot then be transferred separately therefrom, on the security register for the Offered Securities] [IF BEARER DEBT WARRANTS -- published in an Authorized Newspaper (as defined in Section 101 of the Indentures) in The City of New York [and in such other city or cities as may be specified by the Company] at least twice within any seven-day period]. Such notice shall set forth the name and address of the successor Debt Warrant Agent.</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23" w:right="1440" w:bottom="1440" w:gutter="0" w:footer="0" w:header="0"/>
        </w:sectPr>
      </w:pPr>
    </w:p>
    <w:bookmarkStart w:id="99" w:name="page100"/>
    <w:bookmarkEnd w:id="99"/>
    <w:p>
      <w:pPr>
        <w:jc w:val="both"/>
        <w:ind w:right="3319"/>
        <w:spacing w:after="0" w:line="235" w:lineRule="auto"/>
        <w:rPr>
          <w:sz w:val="20"/>
          <w:szCs w:val="20"/>
          <w:color w:val="auto"/>
        </w:rPr>
      </w:pPr>
      <w:r>
        <w:rPr>
          <w:rFonts w:ascii="Courier New" w:cs="Courier New" w:eastAsia="Courier New" w:hAnsi="Courier New"/>
          <w:sz w:val="15"/>
          <w:szCs w:val="15"/>
          <w:color w:val="auto"/>
        </w:rPr>
        <w:t>Failure to give any notice provided for in this Section 5.04(e), or any defect therein, shall not, however, affect the legality or validity of the appointment of the successor Debt Warrant Agent.</w:t>
      </w:r>
    </w:p>
    <w:p>
      <w:pPr>
        <w:spacing w:after="0" w:line="174" w:lineRule="exact"/>
        <w:rPr>
          <w:sz w:val="20"/>
          <w:szCs w:val="20"/>
          <w:color w:val="auto"/>
        </w:rPr>
      </w:pPr>
    </w:p>
    <w:p>
      <w:pPr>
        <w:ind w:right="3239" w:firstLine="1322"/>
        <w:spacing w:after="0" w:line="236" w:lineRule="auto"/>
        <w:tabs>
          <w:tab w:leader="none" w:pos="1662"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corporation into which the Debt Warrant Agent may be merged or converted, or any corporation with which the Debt Warrant Agent may be consolidated, or any corporation resulting from any merger, conversion or consolidation to which the Debt Warrant Agent shall be a party, or any corporation to which the Debt Warrant Agent shall sell or otherwise transfer all or substantially all of its assets and business, shall be the successor Debt Warrant Agent under this Agreement without the execution or filing of any paper, the giving of any notice to Holders or any further act on the part of the parties hereto, provided that such corporation be qualified as provided in Section 5.04(b) hereof.</w:t>
      </w:r>
    </w:p>
    <w:p>
      <w:pPr>
        <w:spacing w:after="0" w:line="179"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SECTION 5.05. Office. The Company will maintain an office or agency where Debt Warrant Certificates may be presented for exchange [, transfer] or exercise. The office initially designated for this purpose shall be the corporate trust office of the Debt Warrant Agent at _______.</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VI</w:t>
      </w:r>
    </w:p>
    <w:p>
      <w:pPr>
        <w:ind w:left="2980"/>
        <w:spacing w:after="0" w:line="237" w:lineRule="auto"/>
        <w:rPr>
          <w:sz w:val="20"/>
          <w:szCs w:val="20"/>
          <w:color w:val="auto"/>
        </w:rPr>
      </w:pPr>
      <w:r>
        <w:rPr>
          <w:rFonts w:ascii="Courier New" w:cs="Courier New" w:eastAsia="Courier New" w:hAnsi="Courier New"/>
          <w:sz w:val="15"/>
          <w:szCs w:val="15"/>
          <w:color w:val="auto"/>
        </w:rPr>
        <w:t>MISCELLANEOUS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6.01. Supplements and Amendments.</w:t>
      </w:r>
    </w:p>
    <w:p>
      <w:pPr>
        <w:spacing w:after="0" w:line="173" w:lineRule="exact"/>
        <w:rPr>
          <w:sz w:val="20"/>
          <w:szCs w:val="20"/>
          <w:color w:val="auto"/>
        </w:rPr>
      </w:pPr>
    </w:p>
    <w:p>
      <w:pPr>
        <w:ind w:right="3239" w:firstLine="1322"/>
        <w:spacing w:after="0" w:line="237" w:lineRule="auto"/>
        <w:tabs>
          <w:tab w:leader="none" w:pos="1662"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the Debt Warrant Agent may from time to time supplement or amend this Agreement without the approval of any Holder in order to cure any ambiguity, to correct or supplement any provision contained herein that may be defective or inconsistent with any other provision herein, or to make any other provision in regard to matters or questions arising hereunder that the Company and the Debt Warrant Agent may deem necessary or desirable and that shall not materially adversely affect the interests of the Holders. Every Holder of Debt Warrants, whether issued before or after any such supplement or amendment, shall be bound thereby. Promptly after the effectiveness of any supplement or amendment that affects the interests of the Holders, the Company shall give notice thereof, as provided in Section 5.04(e) hereof, to the Holders affected thereby, setting forth in general terms the substance of such supplement or amendment.</w:t>
      </w:r>
    </w:p>
    <w:p>
      <w:pPr>
        <w:spacing w:after="0" w:line="173" w:lineRule="exact"/>
        <w:rPr>
          <w:rFonts w:ascii="Courier New" w:cs="Courier New" w:eastAsia="Courier New" w:hAnsi="Courier New"/>
          <w:sz w:val="15"/>
          <w:szCs w:val="15"/>
          <w:color w:val="auto"/>
        </w:rPr>
      </w:pPr>
    </w:p>
    <w:p>
      <w:pPr>
        <w:ind w:right="3239" w:firstLine="1322"/>
        <w:spacing w:after="0" w:line="255" w:lineRule="auto"/>
        <w:tabs>
          <w:tab w:leader="none" w:pos="1662"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the Debt Warrant Agent may modify or amend this Agreement and the Debt Warrant Certificates with the consent of the Holders of not fewer than a majority in number of the then outstanding unexercised Debt Warrants affected by such modification or amendment, for any purpose; provided, however, that no such modification or amendment that shortens the period of time during which the Debt Warrants may be exercised, or [affects other material terms of the Debt Warrants that may be set forth in a prospective supplement] or reduces the percentage of Holders of outstanding Debt Warrants the consent of which is required for modification or amendment of this Agreement or the Debt Warrants, may be made without the consent of each Holder affected thereby.</w:t>
      </w:r>
    </w:p>
    <w:p>
      <w:pPr>
        <w:spacing w:after="0" w:line="165"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4"/>
          <w:szCs w:val="14"/>
          <w:color w:val="auto"/>
        </w:rPr>
        <w:t>SECTION 6.02. Notices and Demands. If the Debt Warrant Agent shall receive any notice or demand addressed to the Company by a Holder pursuant to the provisions of this Agreement or a Debt Warrant Certificate (other than notices</w:t>
      </w:r>
    </w:p>
    <w:p>
      <w:pPr>
        <w:spacing w:after="0" w:line="32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24" w:right="1440" w:bottom="1440" w:gutter="0" w:footer="0" w:header="0"/>
        </w:sectPr>
      </w:pPr>
    </w:p>
    <w:bookmarkStart w:id="100" w:name="page101"/>
    <w:bookmarkEnd w:id="100"/>
    <w:p>
      <w:pPr>
        <w:ind w:right="3499"/>
        <w:spacing w:after="0" w:line="261" w:lineRule="auto"/>
        <w:rPr>
          <w:sz w:val="20"/>
          <w:szCs w:val="20"/>
          <w:color w:val="auto"/>
        </w:rPr>
      </w:pPr>
      <w:r>
        <w:rPr>
          <w:rFonts w:ascii="Courier New" w:cs="Courier New" w:eastAsia="Courier New" w:hAnsi="Courier New"/>
          <w:sz w:val="14"/>
          <w:szCs w:val="14"/>
          <w:color w:val="auto"/>
        </w:rPr>
        <w:t>relating to the exchange [, transfer] or exercise of Debt Warrants), the Debt Warrant Agent shall promptly forward such notice or demand to the Company.</w:t>
      </w:r>
    </w:p>
    <w:p>
      <w:pPr>
        <w:spacing w:after="0" w:line="160" w:lineRule="exact"/>
        <w:rPr>
          <w:sz w:val="20"/>
          <w:szCs w:val="20"/>
          <w:color w:val="auto"/>
        </w:rPr>
      </w:pPr>
    </w:p>
    <w:p>
      <w:pPr>
        <w:ind w:right="3499" w:firstLine="437"/>
        <w:spacing w:after="0" w:line="254" w:lineRule="auto"/>
        <w:rPr>
          <w:sz w:val="20"/>
          <w:szCs w:val="20"/>
          <w:color w:val="auto"/>
        </w:rPr>
      </w:pPr>
      <w:r>
        <w:rPr>
          <w:rFonts w:ascii="Courier New" w:cs="Courier New" w:eastAsia="Courier New" w:hAnsi="Courier New"/>
          <w:sz w:val="14"/>
          <w:szCs w:val="14"/>
          <w:color w:val="auto"/>
        </w:rPr>
        <w:t>SECTION 6.03. Addresses. Any communications from the Company to the Debt Warrant Agent with respect to this Agreement shall be directed to 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Attention:_____________, and any communications from the Debt Warrant Agent to</w:t>
      </w:r>
    </w:p>
    <w:p>
      <w:pPr>
        <w:spacing w:after="0" w:line="10"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with respect to this Agreement shall be directed to ClearOne Communications, Inc., 1825 Research Way, Salt Lake City, Utah 84119, Attention: Chief Executive Officer, with a copy to Bruce Czachor, Shearman &amp; Sterling, 1080 Marsh Road, Menlo Park, CA 94025 (or such other address as shall be specified in writing by the Debt Warrant Agent or by the Company).</w:t>
      </w:r>
    </w:p>
    <w:p>
      <w:pPr>
        <w:spacing w:after="0" w:line="174" w:lineRule="exact"/>
        <w:rPr>
          <w:sz w:val="20"/>
          <w:szCs w:val="20"/>
          <w:color w:val="auto"/>
        </w:rPr>
      </w:pPr>
    </w:p>
    <w:p>
      <w:pPr>
        <w:jc w:val="both"/>
        <w:ind w:right="3319" w:firstLine="437"/>
        <w:spacing w:after="0" w:line="261" w:lineRule="auto"/>
        <w:rPr>
          <w:sz w:val="20"/>
          <w:szCs w:val="20"/>
          <w:color w:val="auto"/>
        </w:rPr>
      </w:pPr>
      <w:r>
        <w:rPr>
          <w:rFonts w:ascii="Courier New" w:cs="Courier New" w:eastAsia="Courier New" w:hAnsi="Courier New"/>
          <w:sz w:val="14"/>
          <w:szCs w:val="14"/>
          <w:color w:val="auto"/>
        </w:rPr>
        <w:t>SECTION 6.04. Governing Law. This Agreement and the Debt Warrants shall be governed by and construed in accordance with the laws of the State of New York.</w:t>
      </w:r>
    </w:p>
    <w:p>
      <w:pPr>
        <w:spacing w:after="0" w:line="16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6.05. Governmental Approvals. The Company will from time to time use all reasonable efforts to obtain and keep effective any and all permits, consents and approvals of governmental agencies and authorities and the national securities exchange on which the Debt Warrants may be listed or authorized for trading and to make all filing under the United States federal and state laws, which may be or become requisite in connection with the issuance, sale, trading, transfer or delivery of the Debt Warrants, and the exercise of the Debt Warrants.</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6.06. Persons Having Rights Under Debt Warrant Agreement. Nothing in this Agreement, expressed or implied, and nothing that may be inferred from any of the provisions hereof is intended or shall be construed to confer upon or give to any person or corporation other than the Company, the Debt Warrant Agent and the Holders any right, remedy or claim under or by reason of this Agreement or any covenant, condition, stipulation, promise or agreement herein; and all covenants, conditions, stipulations, promises and agreements herein shall be for the sole and exclusive benefit of the Company, the Debt Warrant Agent and their respective successors and the Holders.</w:t>
      </w:r>
    </w:p>
    <w:p>
      <w:pPr>
        <w:spacing w:after="0" w:line="178"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SECTION 6.07. Delivery of Prospectus. The Company will furnish to the Debt Warrant Agent sufficient copies of a prospectus or prospectuses relating to the Underlying Debt Securities deliverable upon exercise of any outstanding Debt Warrants (each a "Prospectus"), and the Debt Warrant Agent agrees to deliver to the Holder of a Debt Warrant, prior to or concurrently with the delivery of the Underlying Debt Securities issued upon the exercise thereof, a copy of the Prospectus relating to such Underlying Debt Securities.</w:t>
      </w:r>
    </w:p>
    <w:p>
      <w:pPr>
        <w:spacing w:after="0" w:line="166" w:lineRule="exact"/>
        <w:rPr>
          <w:sz w:val="20"/>
          <w:szCs w:val="20"/>
          <w:color w:val="auto"/>
        </w:rPr>
      </w:pPr>
    </w:p>
    <w:p>
      <w:pPr>
        <w:jc w:val="both"/>
        <w:ind w:right="3399" w:firstLine="437"/>
        <w:spacing w:after="0" w:line="258" w:lineRule="auto"/>
        <w:rPr>
          <w:sz w:val="20"/>
          <w:szCs w:val="20"/>
          <w:color w:val="auto"/>
        </w:rPr>
      </w:pPr>
      <w:r>
        <w:rPr>
          <w:rFonts w:ascii="Courier New" w:cs="Courier New" w:eastAsia="Courier New" w:hAnsi="Courier New"/>
          <w:sz w:val="14"/>
          <w:szCs w:val="14"/>
          <w:color w:val="auto"/>
        </w:rPr>
        <w:t>SECTION 6.08. Headings. The descriptive headings of the several Articles and Sections of this greement are inserted for convenience only and shall not control or affect the meaning or construction of any of the provisions hereof.</w:t>
      </w:r>
    </w:p>
    <w:p>
      <w:pPr>
        <w:spacing w:after="0" w:line="161"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SECTION 6.09. Counterparts. This Agreement may be executed in one or more counterparts and, when a counterpart has been executed by each party hereto, all such counterparts taken together shall constitute one and the same agreement.</w:t>
      </w:r>
    </w:p>
    <w:p>
      <w:pPr>
        <w:spacing w:after="0" w:line="161" w:lineRule="exact"/>
        <w:rPr>
          <w:sz w:val="20"/>
          <w:szCs w:val="20"/>
          <w:color w:val="auto"/>
        </w:rPr>
      </w:pPr>
    </w:p>
    <w:p>
      <w:pPr>
        <w:ind w:right="3499" w:firstLine="437"/>
        <w:spacing w:after="0" w:line="261" w:lineRule="auto"/>
        <w:rPr>
          <w:sz w:val="20"/>
          <w:szCs w:val="20"/>
          <w:color w:val="auto"/>
        </w:rPr>
      </w:pPr>
      <w:r>
        <w:rPr>
          <w:rFonts w:ascii="Courier New" w:cs="Courier New" w:eastAsia="Courier New" w:hAnsi="Courier New"/>
          <w:sz w:val="14"/>
          <w:szCs w:val="14"/>
          <w:color w:val="auto"/>
        </w:rPr>
        <w:t>SECTION 6.10. Judgment Currency. The Company agrees to indemnify each Holder against any loss incurred by such party as a result of any judgment or</w:t>
      </w:r>
    </w:p>
    <w:p>
      <w:pPr>
        <w:spacing w:after="0" w:line="32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24" w:right="1440" w:bottom="1440" w:gutter="0" w:footer="0" w:header="0"/>
        </w:sectPr>
      </w:pPr>
    </w:p>
    <w:bookmarkStart w:id="101" w:name="page102"/>
    <w:bookmarkEnd w:id="101"/>
    <w:p>
      <w:pPr>
        <w:ind w:right="3239"/>
        <w:spacing w:after="0" w:line="255" w:lineRule="auto"/>
        <w:rPr>
          <w:sz w:val="20"/>
          <w:szCs w:val="20"/>
          <w:color w:val="auto"/>
        </w:rPr>
      </w:pPr>
      <w:r>
        <w:rPr>
          <w:rFonts w:ascii="Courier New" w:cs="Courier New" w:eastAsia="Courier New" w:hAnsi="Courier New"/>
          <w:sz w:val="14"/>
          <w:szCs w:val="14"/>
          <w:color w:val="auto"/>
        </w:rPr>
        <w:t>order being given or made for any amount due under this Agreement and such judgment or order being expressed and paid in a currency (the "Judgment Currency") other than United States dollars and as a result of any variation as between (a) the rate of exchange at which the United States dollar amount is converted into the Judgment Currency for the purpose of such judgment or order and (b) the spot rate of exchange in the City of New York at which such party on the date of payment of such judgment or order is able to purchase United States dollars with the amount of the Judgment Currency actually received by such party. The foregoing indemnity shall continue in full force and effect notwithstanding any such judgment or order as aforesaid. The term "spot rate of exchange" shall include any premiums and costs of exchange payable in connection with the purchase of, or conversion into, United States dollars.</w:t>
      </w:r>
    </w:p>
    <w:p>
      <w:pPr>
        <w:spacing w:after="0" w:line="16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6.11. Inspection Of Agreement. A copy of this Agreement shall be available during normal business hours at the office of the Debt Warrant Agent for inspection by any Holder. The Debt Warrant Agent may require such Holder to submit its Debt Warrant Certificate for inspection prior to making such copy available.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24" w:right="1440" w:bottom="1440" w:gutter="0" w:footer="0" w:header="0"/>
        </w:sectPr>
      </w:pPr>
    </w:p>
    <w:bookmarkStart w:id="102" w:name="page103"/>
    <w:bookmarkEnd w:id="102"/>
    <w:p>
      <w:pPr>
        <w:jc w:val="both"/>
        <w:ind w:right="3239" w:firstLine="1312"/>
        <w:spacing w:after="0" w:line="258" w:lineRule="auto"/>
        <w:rPr>
          <w:sz w:val="20"/>
          <w:szCs w:val="20"/>
          <w:color w:val="auto"/>
        </w:rPr>
      </w:pPr>
      <w:r>
        <w:rPr>
          <w:rFonts w:ascii="Courier New" w:cs="Courier New" w:eastAsia="Courier New" w:hAnsi="Courier New"/>
          <w:sz w:val="14"/>
          <w:szCs w:val="14"/>
          <w:color w:val="auto"/>
        </w:rPr>
        <w:t>IN WITNESS WHEREOF, the parties hereto have caused this Agreement to be duly executed and their respective corporate seals to be hereunto affixed and attested, all as of the day and year first above written.</w:t>
      </w:r>
    </w:p>
    <w:p>
      <w:pPr>
        <w:spacing w:after="0" w:line="155"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CLEARONE COMMUNICATIONS, INC.</w:t>
      </w:r>
    </w:p>
    <w:p>
      <w:pPr>
        <w:spacing w:after="0" w:line="33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Name and Title</w:t>
      </w:r>
    </w:p>
    <w:p>
      <w:pPr>
        <w:spacing w:after="0" w:line="16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Attest:</w:t>
      </w:r>
    </w:p>
    <w:p>
      <w:pPr>
        <w:spacing w:after="0" w:line="33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By:</w:t>
      </w:r>
    </w:p>
    <w:p>
      <w:pPr>
        <w:ind w:left="620"/>
        <w:spacing w:after="0" w:line="237" w:lineRule="auto"/>
        <w:rPr>
          <w:sz w:val="20"/>
          <w:szCs w:val="20"/>
          <w:color w:val="auto"/>
        </w:rPr>
      </w:pPr>
      <w:r>
        <w:rPr>
          <w:rFonts w:ascii="Courier New" w:cs="Courier New" w:eastAsia="Courier New" w:hAnsi="Courier New"/>
          <w:sz w:val="15"/>
          <w:szCs w:val="15"/>
          <w:color w:val="auto"/>
        </w:rPr>
        <w:t>-------------------------------</w:t>
      </w:r>
    </w:p>
    <w:p>
      <w:pPr>
        <w:ind w:left="620"/>
        <w:spacing w:after="0" w:line="238" w:lineRule="auto"/>
        <w:rPr>
          <w:sz w:val="20"/>
          <w:szCs w:val="20"/>
          <w:color w:val="auto"/>
        </w:rPr>
      </w:pPr>
      <w:r>
        <w:rPr>
          <w:rFonts w:ascii="Courier New" w:cs="Courier New" w:eastAsia="Courier New" w:hAnsi="Courier New"/>
          <w:sz w:val="15"/>
          <w:szCs w:val="15"/>
          <w:color w:val="auto"/>
        </w:rPr>
        <w:t>Name and Title</w:t>
      </w:r>
    </w:p>
    <w:p>
      <w:pPr>
        <w:spacing w:after="0" w:line="200" w:lineRule="exact"/>
        <w:rPr>
          <w:sz w:val="20"/>
          <w:szCs w:val="20"/>
          <w:color w:val="auto"/>
        </w:rPr>
      </w:pPr>
    </w:p>
    <w:p>
      <w:pPr>
        <w:spacing w:after="0" w:line="30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[DEBT WARRANT AGENT]</w:t>
      </w:r>
    </w:p>
    <w:p>
      <w:pPr>
        <w:spacing w:after="0" w:line="33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Name and Title</w:t>
      </w:r>
    </w:p>
    <w:p>
      <w:pPr>
        <w:spacing w:after="0" w:line="16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Attest:</w:t>
      </w:r>
    </w:p>
    <w:p>
      <w:pPr>
        <w:spacing w:after="0" w:line="33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By:</w:t>
      </w:r>
    </w:p>
    <w:p>
      <w:pPr>
        <w:ind w:left="620"/>
        <w:spacing w:after="0" w:line="237" w:lineRule="auto"/>
        <w:rPr>
          <w:sz w:val="20"/>
          <w:szCs w:val="20"/>
          <w:color w:val="auto"/>
        </w:rPr>
      </w:pPr>
      <w:r>
        <w:rPr>
          <w:rFonts w:ascii="Courier New" w:cs="Courier New" w:eastAsia="Courier New" w:hAnsi="Courier New"/>
          <w:sz w:val="15"/>
          <w:szCs w:val="15"/>
          <w:color w:val="auto"/>
        </w:rPr>
        <w:t>-------------------------------</w:t>
      </w:r>
    </w:p>
    <w:p>
      <w:pPr>
        <w:ind w:left="620"/>
        <w:spacing w:after="0" w:line="238" w:lineRule="auto"/>
        <w:rPr>
          <w:sz w:val="20"/>
          <w:szCs w:val="20"/>
          <w:color w:val="auto"/>
        </w:rPr>
      </w:pPr>
      <w:r>
        <w:rPr>
          <w:rFonts w:ascii="Courier New" w:cs="Courier New" w:eastAsia="Courier New" w:hAnsi="Courier New"/>
          <w:sz w:val="15"/>
          <w:szCs w:val="15"/>
          <w:color w:val="auto"/>
        </w:rPr>
        <w:t>Name and 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23" w:right="1440" w:bottom="1440" w:gutter="0" w:footer="0" w:header="0"/>
        </w:sectPr>
      </w:pPr>
    </w:p>
    <w:bookmarkStart w:id="103" w:name="page104"/>
    <w:bookmarkEnd w:id="103"/>
    <w:p>
      <w:pPr>
        <w:ind w:left="1940"/>
        <w:spacing w:after="0"/>
        <w:rPr>
          <w:sz w:val="20"/>
          <w:szCs w:val="20"/>
          <w:color w:val="auto"/>
        </w:rPr>
      </w:pPr>
      <w:r>
        <w:rPr>
          <w:rFonts w:ascii="Courier New" w:cs="Courier New" w:eastAsia="Courier New" w:hAnsi="Courier New"/>
          <w:sz w:val="15"/>
          <w:szCs w:val="15"/>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4439"/>
        <w:spacing w:after="0"/>
        <w:rPr>
          <w:sz w:val="20"/>
          <w:szCs w:val="20"/>
          <w:color w:val="auto"/>
        </w:rPr>
      </w:pPr>
      <w:r>
        <w:rPr>
          <w:rFonts w:ascii="Courier New" w:cs="Courier New" w:eastAsia="Courier New" w:hAnsi="Courier New"/>
          <w:sz w:val="15"/>
          <w:szCs w:val="15"/>
          <w:color w:val="auto"/>
        </w:rPr>
        <w:t>to</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Debt Warrant Agreement</w:t>
      </w:r>
    </w:p>
    <w:p>
      <w:pPr>
        <w:spacing w:after="0" w:line="166"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dated as of _______, 20__</w:t>
      </w:r>
    </w:p>
    <w:p>
      <w:pPr>
        <w:spacing w:after="0" w:line="173" w:lineRule="exact"/>
        <w:rPr>
          <w:sz w:val="20"/>
          <w:szCs w:val="20"/>
          <w:color w:val="auto"/>
        </w:rPr>
      </w:pPr>
    </w:p>
    <w:p>
      <w:pPr>
        <w:ind w:left="720"/>
        <w:spacing w:after="0"/>
        <w:rPr>
          <w:sz w:val="20"/>
          <w:szCs w:val="20"/>
          <w:color w:val="auto"/>
        </w:rPr>
      </w:pPr>
      <w:r>
        <w:rPr>
          <w:rFonts w:ascii="Courier New" w:cs="Courier New" w:eastAsia="Courier New" w:hAnsi="Courier New"/>
          <w:sz w:val="14"/>
          <w:szCs w:val="14"/>
          <w:color w:val="auto"/>
        </w:rPr>
        <w:t>[Compensation of Debt Warrant Agent]</w:t>
      </w:r>
    </w:p>
    <w:p>
      <w:pPr>
        <w:sectPr>
          <w:pgSz w:w="11900" w:h="16838" w:orient="portrait"/>
          <w:cols w:equalWidth="0" w:num="1">
            <w:col w:w="9019"/>
          </w:cols>
          <w:pgMar w:left="1440" w:top="1122" w:right="1440" w:bottom="1440" w:gutter="0" w:footer="0" w:header="0"/>
        </w:sectPr>
      </w:pPr>
    </w:p>
    <w:bookmarkStart w:id="104" w:name="page105"/>
    <w:bookmarkEnd w:id="104"/>
    <w:p>
      <w:pPr>
        <w:jc w:val="right"/>
        <w:ind w:right="3239"/>
        <w:spacing w:after="0"/>
        <w:rPr>
          <w:sz w:val="20"/>
          <w:szCs w:val="20"/>
          <w:color w:val="auto"/>
        </w:rPr>
      </w:pPr>
      <w:r>
        <w:rPr>
          <w:rFonts w:ascii="Courier New" w:cs="Courier New" w:eastAsia="Courier New" w:hAnsi="Courier New"/>
          <w:sz w:val="15"/>
          <w:szCs w:val="15"/>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July 22, 2002</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237" w:lineRule="auto"/>
        <w:rPr>
          <w:sz w:val="20"/>
          <w:szCs w:val="20"/>
          <w:color w:val="auto"/>
        </w:rPr>
      </w:pPr>
      <w:r>
        <w:rPr>
          <w:rFonts w:ascii="Courier New" w:cs="Courier New" w:eastAsia="Courier New" w:hAnsi="Courier New"/>
          <w:sz w:val="15"/>
          <w:szCs w:val="15"/>
          <w:color w:val="auto"/>
        </w:rPr>
        <w:t>ClearOne Communications, Inc.</w:t>
      </w:r>
    </w:p>
    <w:p>
      <w:pPr>
        <w:spacing w:after="0" w:line="238" w:lineRule="auto"/>
        <w:rPr>
          <w:sz w:val="20"/>
          <w:szCs w:val="20"/>
          <w:color w:val="auto"/>
        </w:rPr>
      </w:pPr>
      <w:r>
        <w:rPr>
          <w:rFonts w:ascii="Courier New" w:cs="Courier New" w:eastAsia="Courier New" w:hAnsi="Courier New"/>
          <w:sz w:val="15"/>
          <w:szCs w:val="15"/>
          <w:color w:val="auto"/>
        </w:rPr>
        <w:t>1825 Research Way</w:t>
      </w:r>
    </w:p>
    <w:p>
      <w:pPr>
        <w:spacing w:after="0" w:line="237" w:lineRule="auto"/>
        <w:rPr>
          <w:sz w:val="20"/>
          <w:szCs w:val="20"/>
          <w:color w:val="auto"/>
        </w:rPr>
      </w:pPr>
      <w:r>
        <w:rPr>
          <w:rFonts w:ascii="Courier New" w:cs="Courier New" w:eastAsia="Courier New" w:hAnsi="Courier New"/>
          <w:sz w:val="15"/>
          <w:szCs w:val="15"/>
          <w:color w:val="auto"/>
        </w:rPr>
        <w:t>Salt Lake City, Utah 84119</w:t>
      </w:r>
    </w:p>
    <w:p>
      <w:pPr>
        <w:spacing w:after="0" w:line="167"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ClearOne Communications, Inc.</w:t>
      </w:r>
    </w:p>
    <w:p>
      <w:pPr>
        <w:ind w:left="22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3" w:lineRule="exact"/>
        <w:rPr>
          <w:sz w:val="20"/>
          <w:szCs w:val="20"/>
          <w:color w:val="auto"/>
        </w:rPr>
      </w:pPr>
    </w:p>
    <w:p>
      <w:pPr>
        <w:ind w:right="3239" w:firstLine="1312"/>
        <w:spacing w:after="0" w:line="255" w:lineRule="auto"/>
        <w:rPr>
          <w:sz w:val="20"/>
          <w:szCs w:val="20"/>
          <w:color w:val="auto"/>
        </w:rPr>
      </w:pPr>
      <w:r>
        <w:rPr>
          <w:rFonts w:ascii="Courier New" w:cs="Courier New" w:eastAsia="Courier New" w:hAnsi="Courier New"/>
          <w:sz w:val="14"/>
          <w:szCs w:val="14"/>
          <w:color w:val="auto"/>
        </w:rPr>
        <w:t>We act as local counsel for ClearOne Communications, Inc. (the "Company"). We are advised that the Company has prepared a registration statement on Form S-3 (the "Registration Statement") filed with the Securities and Exchange Commission (the "Commission") relating to the offering from time to time, pursuant to Rule 415 of the General Rules and Regulations of the Commission promulgated under the Securities Act of 1933, as amended (the "Securities Act"), by the Company of common stock issued by the Company from its authorized but unissued capital (the "Common Stock") as well as other debt securities and warrants (together, the "Securities") and of shares by certain selling shareholders. The offering of such securities will be as set forth in each of the two prospectuses contained in the Registration Statement (each, a "Prospectus"), as supplemented by one or more supplements to the Prospectuses.</w:t>
      </w:r>
    </w:p>
    <w:p>
      <w:pPr>
        <w:spacing w:after="0" w:line="164"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In our capacity as local counsel to the Company we have examined (i) the Registration Statement dated and filed on today's date, (ii) the Common Stock Warrant Agreement, Debt Warrant Agreement, Indenture providing for the issuance of Subordinated Debt Securities and Indenture providing for the issuance of Senior Debt Securities which are, or will be, filed with the Registration Statement as Exhibits (the "Securities Agreements") and (iii) the originals, or copies identified to our satisfaction, of such corporate records of the Company, certificates of public officials, officers of the Company and other persons, and such other documents, agreements and instruments as we have deemed necessary as a basis for the opinions hereinafter expressed. In our examination, we have assumed the authenticity of all documents submitted to us as originals, the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ClearOne Communications, Inc.</w:t>
      </w:r>
    </w:p>
    <w:p>
      <w:pPr>
        <w:spacing w:after="0" w:line="237" w:lineRule="auto"/>
        <w:rPr>
          <w:sz w:val="20"/>
          <w:szCs w:val="20"/>
          <w:color w:val="auto"/>
        </w:rPr>
      </w:pPr>
      <w:r>
        <w:rPr>
          <w:rFonts w:ascii="Courier New" w:cs="Courier New" w:eastAsia="Courier New" w:hAnsi="Courier New"/>
          <w:sz w:val="15"/>
          <w:szCs w:val="15"/>
          <w:color w:val="auto"/>
        </w:rPr>
        <w:t>July 18, 2002</w:t>
      </w:r>
    </w:p>
    <w:p>
      <w:pPr>
        <w:spacing w:after="0" w:line="238" w:lineRule="auto"/>
        <w:rPr>
          <w:sz w:val="20"/>
          <w:szCs w:val="20"/>
          <w:color w:val="auto"/>
        </w:rPr>
      </w:pPr>
      <w:r>
        <w:rPr>
          <w:rFonts w:ascii="Courier New" w:cs="Courier New" w:eastAsia="Courier New" w:hAnsi="Courier New"/>
          <w:sz w:val="15"/>
          <w:szCs w:val="15"/>
          <w:color w:val="auto"/>
        </w:rPr>
        <w:t>Page 2</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genuineness of all signatures, the legal capacity of all natural persons and the conformity with the originals of all documents submitted to us as copies. We have not examined any certificates representing shares of Common Stock or other securities and express no opinion thereon. We have not received or reviewed any Prospectus supplement or any form of subscription agreement. This opinion is limited by general principles of equity as listed in Section 13 of the Third-Party Legal Opinion Report of the Section of Business Law, American Bar Association, 1991 ("Section 13") excluding commentary, which Section 13 is incorporated by this reference, (whether considered in a proceeding at law or in equity). With the exception of the section entitled "Description of Common Stock" in each Prospectus and Item 15 of Part II of the Registration statement, both of which sections we have reviewed and commented upon, we have not participated in the drafting of the Registration Statement or any Prospectus, we have relied upon the correctness and completeness of the Registration Statement and Prospectuses and we disclaim any opinion regarding the Registration Statement and any Prospectus and take no responsibility regarding the accuracy, completeness or fairness of the statements contained in the Registration Statement or any Prospectus. Further, to the extent securities are to be purchased pursuant to any form of subscription agreement or other contract, we have not received or reviewed such agreements or contracts and we expressly disclaim any opinion based thereon and we further disclaim any opinion on the effect of such agreements or contracts on the nonassessability portion of this opinion.</w:t>
      </w:r>
    </w:p>
    <w:p>
      <w:pPr>
        <w:spacing w:after="0" w:line="177" w:lineRule="exact"/>
        <w:rPr>
          <w:sz w:val="20"/>
          <w:szCs w:val="20"/>
          <w:color w:val="auto"/>
        </w:rPr>
      </w:pPr>
    </w:p>
    <w:p>
      <w:pPr>
        <w:jc w:val="both"/>
        <w:ind w:right="3239" w:firstLine="1312"/>
        <w:spacing w:after="0" w:line="258" w:lineRule="auto"/>
        <w:rPr>
          <w:sz w:val="20"/>
          <w:szCs w:val="20"/>
          <w:color w:val="auto"/>
        </w:rPr>
      </w:pPr>
      <w:r>
        <w:rPr>
          <w:rFonts w:ascii="Courier New" w:cs="Courier New" w:eastAsia="Courier New" w:hAnsi="Courier New"/>
          <w:sz w:val="14"/>
          <w:szCs w:val="14"/>
          <w:color w:val="auto"/>
        </w:rPr>
        <w:t>Our opinions set forth below are limited to the laws of the State of Utah and we do not express any opinion herein concerning any other laws. Our opinion pertains to Common Stock (as defined above) and no other securities.</w:t>
      </w:r>
    </w:p>
    <w:p>
      <w:pPr>
        <w:spacing w:after="0" w:line="155"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Based on the foregoing, we are of the opinion that</w:t>
      </w:r>
    </w:p>
    <w:p>
      <w:pPr>
        <w:spacing w:after="0" w:line="173" w:lineRule="exact"/>
        <w:rPr>
          <w:sz w:val="20"/>
          <w:szCs w:val="20"/>
          <w:color w:val="auto"/>
        </w:rPr>
      </w:pPr>
    </w:p>
    <w:p>
      <w:pPr>
        <w:ind w:left="2640" w:right="3239" w:hanging="1318"/>
        <w:spacing w:after="0" w:line="255" w:lineRule="auto"/>
        <w:tabs>
          <w:tab w:leader="none" w:pos="264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authority pursuant to its Articles of Incorporation to issue up to 50,000,000 shares of Common Stock. When (i) all corporate action necessary for the issuance of the Common Stock has been taken and (ii) such shares of Common Stock have been duly issued and delivered to and paid for by the purchasers thereof, then the Common Stock (including any Common Stock issued on the exercise of any warrants) will be validly issued, fully paid and non-assessable.</w:t>
      </w:r>
    </w:p>
    <w:p>
      <w:pPr>
        <w:spacing w:after="0" w:line="165" w:lineRule="exact"/>
        <w:rPr>
          <w:rFonts w:ascii="Courier New" w:cs="Courier New" w:eastAsia="Courier New" w:hAnsi="Courier New"/>
          <w:sz w:val="14"/>
          <w:szCs w:val="14"/>
          <w:color w:val="auto"/>
        </w:rPr>
      </w:pPr>
    </w:p>
    <w:p>
      <w:pPr>
        <w:ind w:left="2640" w:right="3319" w:hanging="1318"/>
        <w:spacing w:after="0" w:line="258" w:lineRule="auto"/>
        <w:tabs>
          <w:tab w:leader="none" w:pos="264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is incorporated and validly existing in the State of Utah and has all requisite corporate power and authority to execute, deliver</w:t>
      </w:r>
    </w:p>
    <w:p>
      <w:pPr>
        <w:sectPr>
          <w:pgSz w:w="11900" w:h="16838" w:orient="portrait"/>
          <w:cols w:equalWidth="0" w:num="1">
            <w:col w:w="10239"/>
          </w:cols>
          <w:pgMar w:left="220" w:top="135" w:right="1440" w:bottom="0" w:gutter="0" w:footer="0" w:header="0"/>
        </w:sectPr>
      </w:pPr>
    </w:p>
    <w:bookmarkStart w:id="105" w:name="page106"/>
    <w:bookmarkEnd w:id="105"/>
    <w:p>
      <w:pPr>
        <w:ind w:left="1420"/>
        <w:spacing w:after="0"/>
        <w:rPr>
          <w:sz w:val="20"/>
          <w:szCs w:val="20"/>
          <w:color w:val="auto"/>
        </w:rPr>
      </w:pPr>
      <w:r>
        <w:rPr>
          <w:rFonts w:ascii="Courier New" w:cs="Courier New" w:eastAsia="Courier New" w:hAnsi="Courier New"/>
          <w:sz w:val="14"/>
          <w:szCs w:val="14"/>
          <w:color w:val="auto"/>
        </w:rPr>
        <w:t>and perform the obligation under the Securities</w:t>
      </w:r>
    </w:p>
    <w:p>
      <w:pPr>
        <w:spacing w:after="0" w:line="3"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Agreements.</w:t>
      </w:r>
    </w:p>
    <w:p>
      <w:pPr>
        <w:sectPr>
          <w:pgSz w:w="11900" w:h="16838" w:orient="portrait"/>
          <w:cols w:equalWidth="0" w:num="1">
            <w:col w:w="9019"/>
          </w:cols>
          <w:pgMar w:left="1440" w:top="141" w:right="1440" w:bottom="1440" w:gutter="0" w:footer="0" w:header="0"/>
        </w:sectPr>
      </w:pPr>
    </w:p>
    <w:bookmarkStart w:id="106" w:name="page107"/>
    <w:bookmarkEnd w:id="106"/>
    <w:p>
      <w:pPr>
        <w:spacing w:after="0"/>
        <w:rPr>
          <w:sz w:val="20"/>
          <w:szCs w:val="20"/>
          <w:color w:val="auto"/>
        </w:rPr>
      </w:pPr>
      <w:r>
        <w:rPr>
          <w:rFonts w:ascii="Courier New" w:cs="Courier New" w:eastAsia="Courier New" w:hAnsi="Courier New"/>
          <w:sz w:val="15"/>
          <w:szCs w:val="15"/>
          <w:color w:val="auto"/>
        </w:rPr>
        <w:t>ClearOne Communications, Inc.</w:t>
      </w:r>
    </w:p>
    <w:p>
      <w:pPr>
        <w:spacing w:after="0" w:line="237" w:lineRule="auto"/>
        <w:rPr>
          <w:sz w:val="20"/>
          <w:szCs w:val="20"/>
          <w:color w:val="auto"/>
        </w:rPr>
      </w:pPr>
      <w:r>
        <w:rPr>
          <w:rFonts w:ascii="Courier New" w:cs="Courier New" w:eastAsia="Courier New" w:hAnsi="Courier New"/>
          <w:sz w:val="15"/>
          <w:szCs w:val="15"/>
          <w:color w:val="auto"/>
        </w:rPr>
        <w:t>July 18, 2002</w:t>
      </w:r>
    </w:p>
    <w:p>
      <w:pPr>
        <w:spacing w:after="0" w:line="238" w:lineRule="auto"/>
        <w:rPr>
          <w:sz w:val="20"/>
          <w:szCs w:val="20"/>
          <w:color w:val="auto"/>
        </w:rPr>
      </w:pPr>
      <w:r>
        <w:rPr>
          <w:rFonts w:ascii="Courier New" w:cs="Courier New" w:eastAsia="Courier New" w:hAnsi="Courier New"/>
          <w:sz w:val="15"/>
          <w:szCs w:val="15"/>
          <w:color w:val="auto"/>
        </w:rPr>
        <w:t>Page 3</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jc w:val="both"/>
        <w:ind w:right="3239" w:firstLine="1312"/>
        <w:spacing w:after="0" w:line="236" w:lineRule="auto"/>
        <w:rPr>
          <w:sz w:val="20"/>
          <w:szCs w:val="20"/>
          <w:color w:val="auto"/>
        </w:rPr>
      </w:pPr>
      <w:r>
        <w:rPr>
          <w:rFonts w:ascii="Courier New" w:cs="Courier New" w:eastAsia="Courier New" w:hAnsi="Courier New"/>
          <w:sz w:val="15"/>
          <w:szCs w:val="15"/>
          <w:color w:val="auto"/>
        </w:rPr>
        <w:t>We hereby consent to the use of this opinion as an exhibit to the Registration Statement and to the use of our name under the heading "Validity of the Securities" in the Prospectus. This Opinion is solely for the benefit of the Company and may not be relied upon by any other person of for any other purpose without our prior written consent.</w:t>
      </w:r>
    </w:p>
    <w:p>
      <w:pPr>
        <w:spacing w:after="0" w:line="167"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5"/>
          <w:szCs w:val="15"/>
          <w:color w:val="auto"/>
        </w:rPr>
        <w:t>Very truly yours,</w:t>
      </w:r>
    </w:p>
    <w:p>
      <w:pPr>
        <w:spacing w:after="0" w:line="335"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/s/ Clyde Snow Sessions &amp;</w:t>
      </w:r>
    </w:p>
    <w:p>
      <w:pPr>
        <w:ind w:left="4480"/>
        <w:spacing w:after="0" w:line="237" w:lineRule="auto"/>
        <w:rPr>
          <w:sz w:val="20"/>
          <w:szCs w:val="20"/>
          <w:color w:val="auto"/>
        </w:rPr>
      </w:pPr>
      <w:r>
        <w:rPr>
          <w:rFonts w:ascii="Courier New" w:cs="Courier New" w:eastAsia="Courier New" w:hAnsi="Courier New"/>
          <w:sz w:val="15"/>
          <w:szCs w:val="15"/>
          <w:color w:val="auto"/>
        </w:rPr>
        <w:t>Swenson, PC</w:t>
      </w:r>
    </w:p>
    <w:p>
      <w:pPr>
        <w:sectPr>
          <w:pgSz w:w="11900" w:h="16838" w:orient="portrait"/>
          <w:cols w:equalWidth="0" w:num="1">
            <w:col w:w="10239"/>
          </w:cols>
          <w:pgMar w:left="220" w:top="617" w:right="1440" w:bottom="1440" w:gutter="0" w:footer="0" w:header="0"/>
        </w:sectPr>
      </w:pPr>
    </w:p>
    <w:bookmarkStart w:id="107" w:name="page108"/>
    <w:bookmarkEnd w:id="107"/>
    <w:p>
      <w:pPr>
        <w:jc w:val="right"/>
        <w:ind w:right="3239"/>
        <w:spacing w:after="0"/>
        <w:rPr>
          <w:sz w:val="20"/>
          <w:szCs w:val="20"/>
          <w:color w:val="auto"/>
        </w:rPr>
      </w:pPr>
      <w:r>
        <w:rPr>
          <w:rFonts w:ascii="Courier New" w:cs="Courier New" w:eastAsia="Courier New" w:hAnsi="Courier New"/>
          <w:sz w:val="15"/>
          <w:szCs w:val="15"/>
          <w:color w:val="auto"/>
        </w:rPr>
        <w:t>Exhibit 5.2</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[On the letterhead of Shearman &amp; Sterling]</w:t>
      </w:r>
    </w:p>
    <w:p>
      <w:pPr>
        <w:spacing w:after="0" w:line="200" w:lineRule="exact"/>
        <w:rPr>
          <w:sz w:val="20"/>
          <w:szCs w:val="20"/>
          <w:color w:val="auto"/>
        </w:rPr>
      </w:pPr>
    </w:p>
    <w:p>
      <w:pPr>
        <w:spacing w:after="0" w:line="30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July 22, 2002</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237" w:lineRule="auto"/>
        <w:rPr>
          <w:sz w:val="20"/>
          <w:szCs w:val="20"/>
          <w:color w:val="auto"/>
        </w:rPr>
      </w:pPr>
      <w:r>
        <w:rPr>
          <w:rFonts w:ascii="Courier New" w:cs="Courier New" w:eastAsia="Courier New" w:hAnsi="Courier New"/>
          <w:sz w:val="15"/>
          <w:szCs w:val="15"/>
          <w:color w:val="auto"/>
        </w:rPr>
        <w:t>ClearOne Communications, Inc.</w:t>
      </w:r>
    </w:p>
    <w:p>
      <w:pPr>
        <w:spacing w:after="0" w:line="238" w:lineRule="auto"/>
        <w:rPr>
          <w:sz w:val="20"/>
          <w:szCs w:val="20"/>
          <w:color w:val="auto"/>
        </w:rPr>
      </w:pPr>
      <w:r>
        <w:rPr>
          <w:rFonts w:ascii="Courier New" w:cs="Courier New" w:eastAsia="Courier New" w:hAnsi="Courier New"/>
          <w:sz w:val="15"/>
          <w:szCs w:val="15"/>
          <w:color w:val="auto"/>
        </w:rPr>
        <w:t>1825 Research Way</w:t>
      </w:r>
    </w:p>
    <w:p>
      <w:pPr>
        <w:spacing w:after="0" w:line="237" w:lineRule="auto"/>
        <w:rPr>
          <w:sz w:val="20"/>
          <w:szCs w:val="20"/>
          <w:color w:val="auto"/>
        </w:rPr>
      </w:pPr>
      <w:r>
        <w:rPr>
          <w:rFonts w:ascii="Courier New" w:cs="Courier New" w:eastAsia="Courier New" w:hAnsi="Courier New"/>
          <w:sz w:val="15"/>
          <w:szCs w:val="15"/>
          <w:color w:val="auto"/>
        </w:rPr>
        <w:t>Salt Lake City, Utah 84119</w:t>
      </w:r>
    </w:p>
    <w:p>
      <w:pPr>
        <w:spacing w:after="0" w:line="167"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ClearOne Communications,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3" w:lineRule="exact"/>
        <w:rPr>
          <w:sz w:val="20"/>
          <w:szCs w:val="20"/>
          <w:color w:val="auto"/>
        </w:rPr>
      </w:pPr>
    </w:p>
    <w:p>
      <w:pPr>
        <w:ind w:right="3239" w:firstLine="1312"/>
        <w:spacing w:after="0" w:line="254" w:lineRule="auto"/>
        <w:rPr>
          <w:sz w:val="20"/>
          <w:szCs w:val="20"/>
          <w:color w:val="auto"/>
        </w:rPr>
      </w:pPr>
      <w:r>
        <w:rPr>
          <w:rFonts w:ascii="Courier New" w:cs="Courier New" w:eastAsia="Courier New" w:hAnsi="Courier New"/>
          <w:sz w:val="14"/>
          <w:szCs w:val="14"/>
          <w:color w:val="auto"/>
        </w:rPr>
        <w:t>We have acted as counsel for ClearOne Communications, Inc. (the "Company") in connection with the preparation of a registration statement on Form S-3 (the "Registration Statement") filed with the Securities and Exchange Commission (the "Commission") relating to the offering from time to time, pursuant to Rule 415 of the General Rules and Regulations of the Commission promulgated under the Securities Act of 1933, as amended (the "Securities Act"),</w:t>
      </w:r>
    </w:p>
    <w:p>
      <w:pPr>
        <w:spacing w:after="0" w:line="2" w:lineRule="exact"/>
        <w:rPr>
          <w:sz w:val="20"/>
          <w:szCs w:val="20"/>
          <w:color w:val="auto"/>
        </w:rPr>
      </w:pPr>
    </w:p>
    <w:p>
      <w:pPr>
        <w:ind w:right="3319" w:firstLine="10"/>
        <w:spacing w:after="0" w:line="237" w:lineRule="auto"/>
        <w:tabs>
          <w:tab w:leader="none" w:pos="35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Company of the following securities of the Company with an aggregate offering price of up to $100,000,000 or the equivalent thereof in one or more foreign currencies: (i) senior debt securities (the "Senior Debt Securities") and subordinated debt securities (the "Subordinated Debt Securities", and together with the Senior Debt Securities, the "Debt Securities"); (ii) common stock (the "Common Stock"), including common stock that may be issued upon conversion of the Debt Securities or the Warrants (as defined below); (iii) warrants to purchase Debt Securities (the "Debt Warrants"), (iv) warrants to purchase Common Stock (the "Stock Warrants", and together with the Debt Warrants, the "Warrants"); and (b) by certain selling stockholders of the Company identified in the Prospectus (as defined below) of up to 1,000,000 shares of Common Stock held by them. The Debt Securities, the Common Stock and the Warrants are collectively referred to as the "Securities". The offering of the Securities will be as set forth in the prospectus contained in the Registration Statement (the "Prospectus"), as supplemented by one or more supplements to the Prospectus.</w:t>
      </w:r>
    </w:p>
    <w:p>
      <w:pPr>
        <w:spacing w:after="0" w:line="175" w:lineRule="exact"/>
        <w:rPr>
          <w:sz w:val="20"/>
          <w:szCs w:val="20"/>
          <w:color w:val="auto"/>
        </w:rPr>
      </w:pPr>
    </w:p>
    <w:p>
      <w:pPr>
        <w:ind w:right="3239" w:firstLine="1312"/>
        <w:spacing w:after="0" w:line="255" w:lineRule="auto"/>
        <w:rPr>
          <w:sz w:val="20"/>
          <w:szCs w:val="20"/>
          <w:color w:val="auto"/>
        </w:rPr>
      </w:pPr>
      <w:r>
        <w:rPr>
          <w:rFonts w:ascii="Courier New" w:cs="Courier New" w:eastAsia="Courier New" w:hAnsi="Courier New"/>
          <w:sz w:val="14"/>
          <w:szCs w:val="14"/>
          <w:color w:val="auto"/>
        </w:rPr>
        <w:t>The Senior Debt Securities will be issued in one or more series pursuant to an indenture (together with any supplemental indentures, the "Senior Indenture") to be entered into among the Company and The Bank of New York, as trustee (the "Senior Trustee"). The Subordinated Debt Securities will be issued in one or more series pursuant to a subordinated indenture (together with any supplemental indentures, the "Subordinated Indenture" and, together with the Senior Indenture, the "Indentures") to be entered into among the Company and The Bank of New York, as trustee (the "Subordinated Trustee"). The Debt Warrants will be issued pursuant to one or more debt warrant agreements (each, a "Debt Warrant Agreement") to be entered into among the Company and a financial institution identified therein as warrant agent (the "Debt Warrant Agent"). The Stock Warrants will be issued pursuant to one or more stock warrant agreements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(each, a "Stock Warrant Agreement") to be entered into among the Company and a financial institution identified therein as warrant agent (the "Stock Warrant Agent").</w:t>
      </w:r>
    </w:p>
    <w:p>
      <w:pPr>
        <w:spacing w:after="0" w:line="174" w:lineRule="exact"/>
        <w:rPr>
          <w:sz w:val="20"/>
          <w:szCs w:val="20"/>
          <w:color w:val="auto"/>
        </w:rPr>
      </w:pPr>
    </w:p>
    <w:p>
      <w:pPr>
        <w:ind w:right="3239" w:firstLine="1312"/>
        <w:spacing w:after="0" w:line="255" w:lineRule="auto"/>
        <w:rPr>
          <w:sz w:val="20"/>
          <w:szCs w:val="20"/>
          <w:color w:val="auto"/>
        </w:rPr>
      </w:pPr>
      <w:r>
        <w:rPr>
          <w:rFonts w:ascii="Courier New" w:cs="Courier New" w:eastAsia="Courier New" w:hAnsi="Courier New"/>
          <w:sz w:val="14"/>
          <w:szCs w:val="14"/>
          <w:color w:val="auto"/>
        </w:rPr>
        <w:t>In our capacity as counsel to the Company we have examined (i) the Registration Statement, (ii) the form of Senior Indenture to be filed as an exhibit to the Registration Statement, (iii) the form of Subordinated Indenture to be filed as an exhibit to the Registration Statement, (iv) the form of Debt Warrant Agreement filed as an exhibit to the Registration Statement; (v) the form of Stock Warrant Agreement filed as an exhibit to the Registration Statement and (vi) the originals, or copies identified to our satisfaction, of such corporate records of the Company and the Subsidiary Guarantors, certificates of public officials, officers of the Company and other persons, and such other documents, agreements and instruments as we have deemed necessary as a basis for the opinions hereinafter expressed. In our examination, we have assumed the authenticity of all documents submitted to us as originals, the conformity with the originals of all documents submitted to us as copies.</w:t>
      </w:r>
    </w:p>
    <w:p>
      <w:pPr>
        <w:spacing w:after="0" w:line="164" w:lineRule="exact"/>
        <w:rPr>
          <w:sz w:val="20"/>
          <w:szCs w:val="20"/>
          <w:color w:val="auto"/>
        </w:rPr>
      </w:pPr>
    </w:p>
    <w:p>
      <w:pPr>
        <w:ind w:right="3399" w:firstLine="1312"/>
        <w:spacing w:after="0" w:line="236" w:lineRule="auto"/>
        <w:rPr>
          <w:sz w:val="20"/>
          <w:szCs w:val="20"/>
          <w:color w:val="auto"/>
        </w:rPr>
      </w:pPr>
      <w:r>
        <w:rPr>
          <w:rFonts w:ascii="Courier New" w:cs="Courier New" w:eastAsia="Courier New" w:hAnsi="Courier New"/>
          <w:sz w:val="15"/>
          <w:szCs w:val="15"/>
          <w:color w:val="auto"/>
        </w:rPr>
        <w:t>In rendering our opinion, we assume that the Company is duly incorporated and validly existing in the State of Utah and has all requisite corporate power and authority to execute, deliver and perform its obligations under the Senior Indenture, the Subordinated Indenture, the Debt Warrant Agreement and the Stock Warrant Agreement. We understand that such matters are covered in the opinion of Clyde Snow Sessions &amp; Swenson, PC dated the date hereof and delivered to you.</w:t>
      </w:r>
    </w:p>
    <w:p>
      <w:pPr>
        <w:spacing w:after="0" w:line="176" w:lineRule="exact"/>
        <w:rPr>
          <w:sz w:val="20"/>
          <w:szCs w:val="20"/>
          <w:color w:val="auto"/>
        </w:rPr>
      </w:pPr>
    </w:p>
    <w:p>
      <w:pPr>
        <w:ind w:right="3319" w:firstLine="1312"/>
        <w:spacing w:after="0" w:line="261" w:lineRule="auto"/>
        <w:rPr>
          <w:sz w:val="20"/>
          <w:szCs w:val="20"/>
          <w:color w:val="auto"/>
        </w:rPr>
      </w:pPr>
      <w:r>
        <w:rPr>
          <w:rFonts w:ascii="Courier New" w:cs="Courier New" w:eastAsia="Courier New" w:hAnsi="Courier New"/>
          <w:sz w:val="14"/>
          <w:szCs w:val="14"/>
          <w:color w:val="auto"/>
        </w:rPr>
        <w:t>The opinions stated herein are limited to the laws of the State of New York and we do not express any opinion herein concerning any other laws.</w:t>
      </w:r>
    </w:p>
    <w:p>
      <w:pPr>
        <w:spacing w:after="0" w:line="153"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Based on and subject to the foregoing, we are of the opinion</w:t>
      </w:r>
    </w:p>
    <w:p>
      <w:pPr>
        <w:spacing w:after="0" w:line="237" w:lineRule="auto"/>
        <w:rPr>
          <w:sz w:val="20"/>
          <w:szCs w:val="20"/>
          <w:color w:val="auto"/>
        </w:rPr>
      </w:pPr>
      <w:r>
        <w:rPr>
          <w:rFonts w:ascii="Courier New" w:cs="Courier New" w:eastAsia="Courier New" w:hAnsi="Courier New"/>
          <w:sz w:val="15"/>
          <w:szCs w:val="15"/>
          <w:color w:val="auto"/>
        </w:rPr>
        <w:t>that:</w:t>
      </w:r>
    </w:p>
    <w:p>
      <w:pPr>
        <w:spacing w:after="0" w:line="173" w:lineRule="exact"/>
        <w:rPr>
          <w:sz w:val="20"/>
          <w:szCs w:val="20"/>
          <w:color w:val="auto"/>
        </w:rPr>
      </w:pPr>
    </w:p>
    <w:p>
      <w:pPr>
        <w:jc w:val="both"/>
        <w:ind w:right="3239" w:firstLine="1322"/>
        <w:spacing w:after="0" w:line="236" w:lineRule="auto"/>
        <w:tabs>
          <w:tab w:leader="none" w:pos="1574" w:val="left"/>
        </w:tabs>
        <w:numPr>
          <w:ilvl w:val="1"/>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the Senior Indenture has been duly authorized, executed and delivered by the Company and assuming due authorization, execution and delivery by the Senior Trustee, the Senior Indenture will constitute a valid and legally binding obligation of the Company, enforceable against the Company in accordance with its terms.</w:t>
      </w:r>
    </w:p>
    <w:p>
      <w:pPr>
        <w:spacing w:after="0" w:line="173" w:lineRule="exact"/>
        <w:rPr>
          <w:rFonts w:ascii="Courier New" w:cs="Courier New" w:eastAsia="Courier New" w:hAnsi="Courier New"/>
          <w:sz w:val="15"/>
          <w:szCs w:val="15"/>
          <w:color w:val="auto"/>
        </w:rPr>
      </w:pPr>
    </w:p>
    <w:p>
      <w:pPr>
        <w:ind w:left="1580" w:hanging="258"/>
        <w:spacing w:after="0"/>
        <w:tabs>
          <w:tab w:leader="none" w:pos="1580" w:val="left"/>
        </w:tabs>
        <w:numPr>
          <w:ilvl w:val="1"/>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 (i) the Senior Debt Securities have been duly authorized;</w:t>
      </w:r>
    </w:p>
    <w:p>
      <w:pPr>
        <w:spacing w:after="0" w:line="9" w:lineRule="exact"/>
        <w:rPr>
          <w:rFonts w:ascii="Courier New" w:cs="Courier New" w:eastAsia="Courier New" w:hAnsi="Courier New"/>
          <w:sz w:val="14"/>
          <w:szCs w:val="14"/>
          <w:color w:val="auto"/>
        </w:rPr>
      </w:pPr>
    </w:p>
    <w:p>
      <w:pPr>
        <w:jc w:val="both"/>
        <w:ind w:right="3239" w:firstLine="10"/>
        <w:spacing w:after="0" w:line="234" w:lineRule="auto"/>
        <w:tabs>
          <w:tab w:leader="none" w:pos="437"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final terms of the Senior Debt Securities have been duly established and approved, and (iii) the Senior Debt Securities have been duly executed by</w:t>
      </w:r>
    </w:p>
    <w:p>
      <w:pPr>
        <w:sectPr>
          <w:pgSz w:w="11900" w:h="16838" w:orient="portrait"/>
          <w:cols w:equalWidth="0" w:num="1">
            <w:col w:w="10239"/>
          </w:cols>
          <w:pgMar w:left="220" w:top="135" w:right="1440" w:bottom="0" w:gutter="0" w:footer="0" w:header="0"/>
        </w:sectPr>
      </w:pPr>
    </w:p>
    <w:bookmarkStart w:id="108" w:name="page109"/>
    <w:bookmarkEnd w:id="108"/>
    <w:p>
      <w:pPr>
        <w:jc w:val="both"/>
        <w:ind w:right="3239"/>
        <w:spacing w:after="0" w:line="255" w:lineRule="auto"/>
        <w:rPr>
          <w:sz w:val="20"/>
          <w:szCs w:val="20"/>
          <w:color w:val="auto"/>
        </w:rPr>
      </w:pPr>
      <w:r>
        <w:rPr>
          <w:rFonts w:ascii="Courier New" w:cs="Courier New" w:eastAsia="Courier New" w:hAnsi="Courier New"/>
          <w:sz w:val="14"/>
          <w:szCs w:val="14"/>
          <w:color w:val="auto"/>
        </w:rPr>
        <w:t>the Company and authenticated by the Senior Trustee in accordance with the Senior Indenture and delivered to and paid for by the purchasers thereof, the Senior Debt Securities (including any Senior Debt Securities issued upon the exercise of any Debt Warrants) will constitute valid and legally binding obligations of the Company, enforceable against the Company in accordance with the terms thereof and will be entitled to the benefits of the Senior Indenture.</w:t>
      </w:r>
    </w:p>
    <w:p>
      <w:pPr>
        <w:spacing w:after="0" w:line="166" w:lineRule="exact"/>
        <w:rPr>
          <w:sz w:val="20"/>
          <w:szCs w:val="20"/>
          <w:color w:val="auto"/>
        </w:rPr>
      </w:pPr>
    </w:p>
    <w:p>
      <w:pPr>
        <w:jc w:val="both"/>
        <w:ind w:right="3239" w:firstLine="1322"/>
        <w:spacing w:after="0" w:line="236" w:lineRule="auto"/>
        <w:tabs>
          <w:tab w:leader="none" w:pos="1574"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the Subordinated Indenture has been duly authorized, executed and delivered by the Company and assuming due authorization, execution and delivery by the Subordinated Trustee, the Subordinated Indenture will constitute a valid and legally binding obligation of the Company, enforceable against the Company in accordance with its terms.</w:t>
      </w:r>
    </w:p>
    <w:p>
      <w:pPr>
        <w:spacing w:after="0" w:line="173" w:lineRule="exact"/>
        <w:rPr>
          <w:rFonts w:ascii="Courier New" w:cs="Courier New" w:eastAsia="Courier New" w:hAnsi="Courier New"/>
          <w:sz w:val="15"/>
          <w:szCs w:val="15"/>
          <w:color w:val="auto"/>
        </w:rPr>
      </w:pPr>
    </w:p>
    <w:p>
      <w:pPr>
        <w:jc w:val="both"/>
        <w:ind w:right="3239" w:firstLine="1322"/>
        <w:spacing w:after="0" w:line="261" w:lineRule="auto"/>
        <w:tabs>
          <w:tab w:leader="none" w:pos="1662"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 (i) the Subordinated Debt Securities have been duly authorized; (ii) the final terms of the Subordinated Debt Securities have been</w:t>
      </w:r>
    </w:p>
    <w:p>
      <w:pPr>
        <w:spacing w:after="0" w:line="32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141" w:right="1440" w:bottom="1440" w:gutter="0" w:footer="0" w:header="0"/>
        </w:sectPr>
      </w:pPr>
    </w:p>
    <w:bookmarkStart w:id="109" w:name="page110"/>
    <w:bookmarkEnd w:id="109"/>
    <w:p>
      <w:pPr>
        <w:jc w:val="both"/>
        <w:ind w:right="3239"/>
        <w:spacing w:after="0" w:line="236" w:lineRule="auto"/>
        <w:rPr>
          <w:sz w:val="20"/>
          <w:szCs w:val="20"/>
          <w:color w:val="auto"/>
        </w:rPr>
      </w:pPr>
      <w:r>
        <w:rPr>
          <w:rFonts w:ascii="Courier New" w:cs="Courier New" w:eastAsia="Courier New" w:hAnsi="Courier New"/>
          <w:sz w:val="15"/>
          <w:szCs w:val="15"/>
          <w:color w:val="auto"/>
        </w:rPr>
        <w:t>duly established and approved, and (iii) the Subordinated Debt Securities have been duly executed by the Company and authenticated by the Subordinated Trustee in accordance with the Subordinated Indenture and delivered to and paid for by the purchasers thereof, the Subordinated Debt Securities (including any Subordinated Debt Securities issued upon the exercise of any Debt Warrants) will constitute valid and legally binding obligations of the Company, enforceable against the Company in accordance with the terms thereof and will be entitled to the benefits of the Subordinated Indenture.</w:t>
      </w:r>
    </w:p>
    <w:p>
      <w:pPr>
        <w:spacing w:after="0" w:line="177" w:lineRule="exact"/>
        <w:rPr>
          <w:sz w:val="20"/>
          <w:szCs w:val="20"/>
          <w:color w:val="auto"/>
        </w:rPr>
      </w:pPr>
    </w:p>
    <w:p>
      <w:pPr>
        <w:jc w:val="both"/>
        <w:ind w:right="3239" w:firstLine="1322"/>
        <w:spacing w:after="0" w:line="236" w:lineRule="auto"/>
        <w:tabs>
          <w:tab w:leader="none" w:pos="1574" w:val="left"/>
        </w:tabs>
        <w:numPr>
          <w:ilvl w:val="1"/>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the Debt Warrant Agreement has been duly authorized, executed and delivered by the Company and assuming due authorization, execution and delivery by the Debt Warrant Agent, the Debt Warrant Agreement will constitute a valid and legally binding obligation of the Company, enforceable against the Company in accordance with its terms.</w:t>
      </w:r>
    </w:p>
    <w:p>
      <w:pPr>
        <w:spacing w:after="0" w:line="173" w:lineRule="exact"/>
        <w:rPr>
          <w:rFonts w:ascii="Courier New" w:cs="Courier New" w:eastAsia="Courier New" w:hAnsi="Courier New"/>
          <w:sz w:val="15"/>
          <w:szCs w:val="15"/>
          <w:color w:val="auto"/>
        </w:rPr>
      </w:pPr>
    </w:p>
    <w:p>
      <w:pPr>
        <w:jc w:val="both"/>
        <w:ind w:right="3239" w:firstLine="1322"/>
        <w:spacing w:after="0" w:line="236" w:lineRule="auto"/>
        <w:tabs>
          <w:tab w:leader="none" w:pos="1574" w:val="left"/>
        </w:tabs>
        <w:numPr>
          <w:ilvl w:val="1"/>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(i) the Debt Warrants have been duly authorized, (ii) the terms of the Debt Warrants have been duly established and approved, and (iii) the Debt Warrants have been duly executed by the Company and countersigned in accordance with the Debt Warrant Agreement and delivered to and paid for by the purchasers thereof, the Debt Warrants will constitute valid and legally binding obligations of the Company, enforceable against the Company in accordance with the terms thereof.</w:t>
      </w:r>
    </w:p>
    <w:p>
      <w:pPr>
        <w:spacing w:after="0" w:line="175" w:lineRule="exact"/>
        <w:rPr>
          <w:rFonts w:ascii="Courier New" w:cs="Courier New" w:eastAsia="Courier New" w:hAnsi="Courier New"/>
          <w:sz w:val="15"/>
          <w:szCs w:val="15"/>
          <w:color w:val="auto"/>
        </w:rPr>
      </w:pPr>
    </w:p>
    <w:p>
      <w:pPr>
        <w:jc w:val="both"/>
        <w:ind w:right="3239" w:firstLine="1322"/>
        <w:spacing w:after="0" w:line="236" w:lineRule="auto"/>
        <w:tabs>
          <w:tab w:leader="none" w:pos="1574" w:val="left"/>
        </w:tabs>
        <w:numPr>
          <w:ilvl w:val="1"/>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the Stock Warrant Agreement has been duly authorized, executed and delivered by the Company and assuming due authorization, execution and delivery by the Warrant Agent, the Stock Warrant Agreement will constitute a valid and legally binding obligation of the Company, enforceable against the Company in accordance with its terms.</w:t>
      </w:r>
    </w:p>
    <w:p>
      <w:pPr>
        <w:spacing w:after="0" w:line="173" w:lineRule="exact"/>
        <w:rPr>
          <w:rFonts w:ascii="Courier New" w:cs="Courier New" w:eastAsia="Courier New" w:hAnsi="Courier New"/>
          <w:sz w:val="15"/>
          <w:szCs w:val="15"/>
          <w:color w:val="auto"/>
        </w:rPr>
      </w:pPr>
    </w:p>
    <w:p>
      <w:pPr>
        <w:jc w:val="both"/>
        <w:ind w:right="3239" w:firstLine="1322"/>
        <w:spacing w:after="0" w:line="234" w:lineRule="auto"/>
        <w:tabs>
          <w:tab w:leader="none" w:pos="1574" w:val="left"/>
        </w:tabs>
        <w:numPr>
          <w:ilvl w:val="1"/>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(i) the Stock Warrants have been duly authorized, (ii) the terms of the Stock Warrants have been duly established and approved, and</w:t>
      </w:r>
    </w:p>
    <w:p>
      <w:pPr>
        <w:spacing w:after="0" w:line="5" w:lineRule="exact"/>
        <w:rPr>
          <w:rFonts w:ascii="Courier New" w:cs="Courier New" w:eastAsia="Courier New" w:hAnsi="Courier New"/>
          <w:sz w:val="15"/>
          <w:szCs w:val="15"/>
          <w:color w:val="auto"/>
        </w:rPr>
      </w:pPr>
    </w:p>
    <w:p>
      <w:pPr>
        <w:jc w:val="both"/>
        <w:ind w:right="3239" w:firstLine="10"/>
        <w:spacing w:after="0" w:line="236" w:lineRule="auto"/>
        <w:tabs>
          <w:tab w:leader="none" w:pos="612"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 Warrants have been duly executed by the Company and countersigned in accordance with the Stock Warrant Agreement and delivered to and paid for by the purchasers thereof, the Stock Warrants will constitute valid and legally binding obligations of the Company, enforceable against the Company in accordance with the terms thereof.</w:t>
      </w:r>
    </w:p>
    <w:p>
      <w:pPr>
        <w:spacing w:after="0" w:line="174" w:lineRule="exact"/>
        <w:rPr>
          <w:sz w:val="20"/>
          <w:szCs w:val="20"/>
          <w:color w:val="auto"/>
        </w:rPr>
      </w:pPr>
    </w:p>
    <w:p>
      <w:pPr>
        <w:ind w:right="3239" w:firstLine="1312"/>
        <w:spacing w:after="0" w:line="236" w:lineRule="auto"/>
        <w:rPr>
          <w:sz w:val="20"/>
          <w:szCs w:val="20"/>
          <w:color w:val="auto"/>
        </w:rPr>
      </w:pPr>
      <w:r>
        <w:rPr>
          <w:rFonts w:ascii="Courier New" w:cs="Courier New" w:eastAsia="Courier New" w:hAnsi="Courier New"/>
          <w:sz w:val="15"/>
          <w:szCs w:val="15"/>
          <w:color w:val="auto"/>
        </w:rPr>
        <w:t>The opinions set forth in paragraphs (1) through (8) above are subject, as to enforcement, to (i) bankruptcy, insolvency, reorganization, moratorium or other similar laws relating to or affecting creditors' rights generally (including, without limitation, all laws relating to fraudulent transfers), (ii) general principles of equity (regardless of whether enforcement is considered in a proceeding in equity or at law) and (iii) provisions of law that require that a judgment for money damages rendered by a court in the United States be expressed only in United States dollars.</w:t>
      </w:r>
    </w:p>
    <w:p>
      <w:pPr>
        <w:spacing w:after="0" w:line="177" w:lineRule="exact"/>
        <w:rPr>
          <w:sz w:val="20"/>
          <w:szCs w:val="20"/>
          <w:color w:val="auto"/>
        </w:rPr>
      </w:pPr>
    </w:p>
    <w:p>
      <w:pPr>
        <w:jc w:val="both"/>
        <w:ind w:right="3239" w:firstLine="1312"/>
        <w:spacing w:after="0" w:line="235" w:lineRule="auto"/>
        <w:rPr>
          <w:sz w:val="20"/>
          <w:szCs w:val="20"/>
          <w:color w:val="auto"/>
        </w:rPr>
      </w:pPr>
      <w:r>
        <w:rPr>
          <w:rFonts w:ascii="Courier New" w:cs="Courier New" w:eastAsia="Courier New" w:hAnsi="Courier New"/>
          <w:sz w:val="15"/>
          <w:szCs w:val="15"/>
          <w:color w:val="auto"/>
        </w:rPr>
        <w:t>We hereby consent to the use of this opinion as an exhibit to the Registration Statement and to the use of our name under the heading "Validity of the Securities" in the Prospectus.</w:t>
      </w:r>
    </w:p>
    <w:p>
      <w:pPr>
        <w:spacing w:after="0" w:line="167"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Very truly yours,</w:t>
      </w:r>
    </w:p>
    <w:p>
      <w:pPr>
        <w:spacing w:after="0" w:line="166"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5"/>
          <w:szCs w:val="15"/>
          <w:color w:val="auto"/>
        </w:rPr>
        <w:t>/s/ Shearman &amp; Sterling</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24" w:right="1440" w:bottom="1440" w:gutter="0" w:footer="0" w:header="0"/>
        </w:sectPr>
      </w:pPr>
    </w:p>
    <w:bookmarkStart w:id="110" w:name="page111"/>
    <w:bookmarkEnd w:id="110"/>
    <w:p>
      <w:pPr>
        <w:ind w:left="5960"/>
        <w:spacing w:after="0"/>
        <w:rPr>
          <w:sz w:val="20"/>
          <w:szCs w:val="20"/>
          <w:color w:val="auto"/>
        </w:rPr>
      </w:pPr>
      <w:r>
        <w:rPr>
          <w:rFonts w:ascii="Courier New" w:cs="Courier New" w:eastAsia="Courier New" w:hAnsi="Courier New"/>
          <w:sz w:val="15"/>
          <w:szCs w:val="15"/>
          <w:color w:val="auto"/>
        </w:rPr>
        <w:t>Exhibit 12.1</w:t>
      </w:r>
    </w:p>
    <w:p>
      <w:pPr>
        <w:spacing w:after="0" w:line="200" w:lineRule="exact"/>
        <w:rPr>
          <w:sz w:val="20"/>
          <w:szCs w:val="20"/>
          <w:color w:val="auto"/>
        </w:rPr>
      </w:pPr>
    </w:p>
    <w:p>
      <w:pPr>
        <w:spacing w:after="0" w:line="30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ClearOne Communications, Inc.</w:t>
      </w:r>
    </w:p>
    <w:p>
      <w:pPr>
        <w:jc w:val="center"/>
        <w:ind w:right="3139"/>
        <w:spacing w:after="0" w:line="237" w:lineRule="auto"/>
        <w:rPr>
          <w:sz w:val="20"/>
          <w:szCs w:val="20"/>
          <w:color w:val="auto"/>
        </w:rPr>
      </w:pPr>
      <w:r>
        <w:rPr>
          <w:rFonts w:ascii="Courier New" w:cs="Courier New" w:eastAsia="Courier New" w:hAnsi="Courier New"/>
          <w:sz w:val="15"/>
          <w:szCs w:val="15"/>
          <w:color w:val="auto"/>
        </w:rPr>
        <w:t>Statement re: Computation of Ratio of Earnings to Fixed Charges</w:t>
      </w:r>
    </w:p>
    <w:p>
      <w:pPr>
        <w:jc w:val="center"/>
        <w:ind w:right="3139"/>
        <w:spacing w:after="0" w:line="238" w:lineRule="auto"/>
        <w:rPr>
          <w:sz w:val="20"/>
          <w:szCs w:val="20"/>
          <w:color w:val="auto"/>
        </w:rPr>
      </w:pPr>
      <w:r>
        <w:rPr>
          <w:rFonts w:ascii="Courier New" w:cs="Courier New" w:eastAsia="Courier New" w:hAnsi="Courier New"/>
          <w:sz w:val="15"/>
          <w:szCs w:val="15"/>
          <w:color w:val="auto"/>
        </w:rPr>
        <w:t>(In thousands, except ratios)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20" w:type="dxa"/>
            <w:vAlign w:val="bottom"/>
          </w:tcPr>
          <w:p>
            <w:pPr>
              <w:spacing w:after="0"/>
              <w:rPr>
                <w:sz w:val="14"/>
                <w:szCs w:val="14"/>
                <w:color w:val="auto"/>
              </w:rPr>
            </w:pPr>
          </w:p>
        </w:tc>
        <w:tc>
          <w:tcPr>
            <w:tcW w:w="1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Nine months ended</w:t>
            </w:r>
          </w:p>
        </w:tc>
        <w:tc>
          <w:tcPr>
            <w:tcW w:w="700" w:type="dxa"/>
            <w:vAlign w:val="bottom"/>
          </w:tcPr>
          <w:p>
            <w:pPr>
              <w:spacing w:after="0"/>
              <w:rPr>
                <w:sz w:val="14"/>
                <w:szCs w:val="14"/>
                <w:color w:val="auto"/>
              </w:rPr>
            </w:pPr>
          </w:p>
        </w:tc>
        <w:tc>
          <w:tcPr>
            <w:tcW w:w="240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Year ended June 30</w:t>
            </w:r>
          </w:p>
        </w:tc>
        <w:tc>
          <w:tcPr>
            <w:tcW w:w="780" w:type="dxa"/>
            <w:vAlign w:val="bottom"/>
          </w:tcPr>
          <w:p>
            <w:pPr>
              <w:spacing w:after="0"/>
              <w:rPr>
                <w:sz w:val="14"/>
                <w:szCs w:val="14"/>
                <w:color w:val="auto"/>
              </w:rPr>
            </w:pPr>
          </w:p>
        </w:tc>
      </w:tr>
      <w:tr>
        <w:trPr>
          <w:trHeight w:val="168"/>
        </w:trPr>
        <w:tc>
          <w:tcPr>
            <w:tcW w:w="2420" w:type="dxa"/>
            <w:vAlign w:val="bottom"/>
          </w:tcPr>
          <w:p>
            <w:pPr>
              <w:spacing w:after="0"/>
              <w:rPr>
                <w:sz w:val="14"/>
                <w:szCs w:val="14"/>
                <w:color w:val="auto"/>
              </w:rPr>
            </w:pPr>
          </w:p>
        </w:tc>
        <w:tc>
          <w:tcPr>
            <w:tcW w:w="1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March 31, 2002</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2001</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2000</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1999</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1998</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2420" w:type="dxa"/>
            <w:vAlign w:val="bottom"/>
          </w:tcPr>
          <w:p>
            <w:pPr>
              <w:spacing w:after="0"/>
              <w:rPr>
                <w:sz w:val="14"/>
                <w:szCs w:val="14"/>
                <w:color w:val="auto"/>
              </w:rPr>
            </w:pPr>
          </w:p>
        </w:tc>
        <w:tc>
          <w:tcPr>
            <w:tcW w:w="572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8"/>
              </w:rPr>
              <w:t>------------------- --------------------------------------------</w:t>
            </w: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Fixed Charges:</w:t>
            </w:r>
          </w:p>
        </w:tc>
        <w:tc>
          <w:tcPr>
            <w:tcW w:w="1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2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on debt</w:t>
            </w:r>
          </w:p>
        </w:tc>
        <w:tc>
          <w:tcPr>
            <w:tcW w:w="184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  18</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42</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66</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$ 148</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$ 240</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$ 196</w:t>
            </w:r>
          </w:p>
        </w:tc>
      </w:tr>
      <w:tr>
        <w:trPr>
          <w:trHeight w:val="168"/>
        </w:trPr>
        <w:tc>
          <w:tcPr>
            <w:tcW w:w="2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portion of</w:t>
            </w:r>
          </w:p>
        </w:tc>
        <w:tc>
          <w:tcPr>
            <w:tcW w:w="1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rental expense</w:t>
            </w:r>
          </w:p>
        </w:tc>
        <w:tc>
          <w:tcPr>
            <w:tcW w:w="184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237</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316</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199</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154</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80</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w:t>
            </w:r>
          </w:p>
        </w:tc>
      </w:tr>
      <w:tr>
        <w:trPr>
          <w:trHeight w:val="168"/>
        </w:trPr>
        <w:tc>
          <w:tcPr>
            <w:tcW w:w="2420" w:type="dxa"/>
            <w:vAlign w:val="bottom"/>
          </w:tcPr>
          <w:p>
            <w:pPr>
              <w:spacing w:after="0"/>
              <w:rPr>
                <w:sz w:val="14"/>
                <w:szCs w:val="14"/>
                <w:color w:val="auto"/>
              </w:rPr>
            </w:pPr>
          </w:p>
        </w:tc>
        <w:tc>
          <w:tcPr>
            <w:tcW w:w="572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8"/>
              </w:rPr>
              <w:t>------------------- --------------------------------------------</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fixed charges</w:t>
            </w:r>
          </w:p>
        </w:tc>
        <w:tc>
          <w:tcPr>
            <w:tcW w:w="184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$ 255</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$ 358</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$ 265</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$ 302</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$ 320</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$ 270</w:t>
            </w:r>
          </w:p>
        </w:tc>
      </w:tr>
      <w:tr>
        <w:trPr>
          <w:trHeight w:val="168"/>
        </w:trPr>
        <w:tc>
          <w:tcPr>
            <w:tcW w:w="2420" w:type="dxa"/>
            <w:vAlign w:val="bottom"/>
          </w:tcPr>
          <w:p>
            <w:pPr>
              <w:spacing w:after="0"/>
              <w:rPr>
                <w:sz w:val="14"/>
                <w:szCs w:val="14"/>
                <w:color w:val="auto"/>
              </w:rPr>
            </w:pPr>
          </w:p>
        </w:tc>
        <w:tc>
          <w:tcPr>
            <w:tcW w:w="572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8"/>
              </w:rPr>
              <w:t>=================== ============================================</w:t>
            </w: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Earnings:</w:t>
            </w:r>
          </w:p>
        </w:tc>
        <w:tc>
          <w:tcPr>
            <w:tcW w:w="1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2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Consolidated pre-tax</w:t>
            </w:r>
          </w:p>
        </w:tc>
        <w:tc>
          <w:tcPr>
            <w:tcW w:w="1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income (loss) from</w:t>
            </w:r>
          </w:p>
        </w:tc>
        <w:tc>
          <w:tcPr>
            <w:tcW w:w="184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$7,745</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$8,844</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$6,720</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$3,229</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$ 988</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$(471)</w:t>
            </w:r>
          </w:p>
        </w:tc>
      </w:tr>
      <w:tr>
        <w:trPr>
          <w:trHeight w:val="168"/>
        </w:trPr>
        <w:tc>
          <w:tcPr>
            <w:tcW w:w="2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1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Add back:  fixed charges</w:t>
            </w:r>
          </w:p>
        </w:tc>
        <w:tc>
          <w:tcPr>
            <w:tcW w:w="184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255</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358</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265</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302</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320</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270</w:t>
            </w:r>
          </w:p>
        </w:tc>
      </w:tr>
      <w:tr>
        <w:trPr>
          <w:trHeight w:val="168"/>
        </w:trPr>
        <w:tc>
          <w:tcPr>
            <w:tcW w:w="2420" w:type="dxa"/>
            <w:vAlign w:val="bottom"/>
          </w:tcPr>
          <w:p>
            <w:pPr>
              <w:spacing w:after="0"/>
              <w:rPr>
                <w:sz w:val="14"/>
                <w:szCs w:val="14"/>
                <w:color w:val="auto"/>
              </w:rPr>
            </w:pPr>
          </w:p>
        </w:tc>
        <w:tc>
          <w:tcPr>
            <w:tcW w:w="1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88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earnings</w:t>
            </w:r>
          </w:p>
        </w:tc>
        <w:tc>
          <w:tcPr>
            <w:tcW w:w="184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$8,000</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$9,202</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$6,985</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$3,531</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$1,308</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$(201)</w:t>
            </w:r>
          </w:p>
        </w:tc>
      </w:tr>
      <w:tr>
        <w:trPr>
          <w:trHeight w:val="168"/>
        </w:trPr>
        <w:tc>
          <w:tcPr>
            <w:tcW w:w="2420" w:type="dxa"/>
            <w:vAlign w:val="bottom"/>
          </w:tcPr>
          <w:p>
            <w:pPr>
              <w:spacing w:after="0"/>
              <w:rPr>
                <w:sz w:val="14"/>
                <w:szCs w:val="14"/>
                <w:color w:val="auto"/>
              </w:rPr>
            </w:pPr>
          </w:p>
        </w:tc>
        <w:tc>
          <w:tcPr>
            <w:tcW w:w="572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8"/>
              </w:rPr>
              <w:t>=================== ============================================</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Ratio of earnings to fixed</w:t>
            </w:r>
          </w:p>
        </w:tc>
        <w:tc>
          <w:tcPr>
            <w:tcW w:w="1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charges</w:t>
            </w:r>
          </w:p>
        </w:tc>
        <w:tc>
          <w:tcPr>
            <w:tcW w:w="184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31.4</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25.7</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26.4</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11.7</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Fixed charges in excess of</w:t>
            </w:r>
          </w:p>
        </w:tc>
        <w:tc>
          <w:tcPr>
            <w:tcW w:w="1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earnings</w:t>
            </w:r>
          </w:p>
        </w:tc>
        <w:tc>
          <w:tcPr>
            <w:tcW w:w="18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$(201)</w:t>
            </w:r>
          </w:p>
        </w:tc>
      </w:tr>
    </w:tbl>
    <w:p>
      <w:pPr>
        <w:sectPr>
          <w:pgSz w:w="11900" w:h="16838" w:orient="portrait"/>
          <w:cols w:equalWidth="0" w:num="1">
            <w:col w:w="10239"/>
          </w:cols>
          <w:pgMar w:left="220" w:top="135" w:right="1440" w:bottom="1440" w:gutter="0" w:footer="0" w:header="0"/>
        </w:sectPr>
      </w:pPr>
    </w:p>
    <w:bookmarkStart w:id="111" w:name="page112"/>
    <w:bookmarkEnd w:id="111"/>
    <w:p>
      <w:pPr>
        <w:jc w:val="right"/>
        <w:ind w:right="3239"/>
        <w:spacing w:after="0"/>
        <w:rPr>
          <w:sz w:val="20"/>
          <w:szCs w:val="20"/>
          <w:color w:val="auto"/>
        </w:rPr>
      </w:pPr>
      <w:r>
        <w:rPr>
          <w:rFonts w:ascii="Courier New" w:cs="Courier New" w:eastAsia="Courier New" w:hAnsi="Courier New"/>
          <w:sz w:val="15"/>
          <w:szCs w:val="15"/>
          <w:color w:val="auto"/>
        </w:rPr>
        <w:t>Exhibit 23.3</w:t>
      </w:r>
    </w:p>
    <w:p>
      <w:pPr>
        <w:spacing w:after="0" w:line="33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CONSENT OF INDEPENDENT AUDITORS</w:t>
      </w:r>
    </w:p>
    <w:p>
      <w:pPr>
        <w:spacing w:after="0" w:line="200" w:lineRule="exact"/>
        <w:rPr>
          <w:sz w:val="20"/>
          <w:szCs w:val="20"/>
          <w:color w:val="auto"/>
        </w:rPr>
      </w:pPr>
    </w:p>
    <w:p>
      <w:pPr>
        <w:spacing w:after="0" w:line="309"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We consent to the reference to our firm under the caption "Experts" in the Registration Statement on Form S-3 and related Prospectuses of ClearOne Communications, Inc. filed with the Securities and Exchange Commission on July 22, 2002 and to the incorporation by reference therein of our report dated July 27, 2001, with respect to the consolidated financial statements of ClearOne Communications, Inc. (formerly Gentner Communications Corporation) included in its Annual Report (Form 10-K) for the year ended June 30, 2001, filed with the Securities and Exchange Commission.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Ernst &amp; Young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19, 2002</w:t>
      </w:r>
    </w:p>
    <w:p>
      <w:pPr>
        <w:sectPr>
          <w:pgSz w:w="11900" w:h="16838" w:orient="portrait"/>
          <w:cols w:equalWidth="0" w:num="1">
            <w:col w:w="10239"/>
          </w:cols>
          <w:pgMar w:left="220" w:top="135" w:right="1440" w:bottom="1440" w:gutter="0" w:footer="0" w:header="0"/>
        </w:sectPr>
      </w:pPr>
    </w:p>
    <w:bookmarkStart w:id="112" w:name="page113"/>
    <w:bookmarkEnd w:id="112"/>
    <w:p>
      <w:pPr>
        <w:jc w:val="right"/>
        <w:ind w:right="3239"/>
        <w:spacing w:after="0"/>
        <w:rPr>
          <w:sz w:val="20"/>
          <w:szCs w:val="20"/>
          <w:color w:val="auto"/>
        </w:rPr>
      </w:pPr>
      <w:r>
        <w:rPr>
          <w:rFonts w:ascii="Courier New" w:cs="Courier New" w:eastAsia="Courier New" w:hAnsi="Courier New"/>
          <w:sz w:val="15"/>
          <w:szCs w:val="15"/>
          <w:color w:val="auto"/>
        </w:rPr>
        <w:t>Exhibit 23.4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 CONSENT</w:t>
      </w:r>
    </w:p>
    <w:p>
      <w:pPr>
        <w:spacing w:after="0" w:line="341"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We consent to the incorporation by reference in this Registration Statement of ClearOne Communications, Inc. on Form S-3 of our report dated March 1, 2002, appearing in the Annual Report on Form 10-K of E.mergent, Inc. for the year ended December 31, 2001, and to the reference to us under the heading "Experts" in the Prospectuses, which are part of this Registration Statement.</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Minneapolis, Minnesota</w:t>
      </w:r>
    </w:p>
    <w:p>
      <w:pPr>
        <w:spacing w:after="0" w:line="237" w:lineRule="auto"/>
        <w:rPr>
          <w:sz w:val="20"/>
          <w:szCs w:val="20"/>
          <w:color w:val="auto"/>
        </w:rPr>
      </w:pPr>
      <w:r>
        <w:rPr>
          <w:rFonts w:ascii="Courier New" w:cs="Courier New" w:eastAsia="Courier New" w:hAnsi="Courier New"/>
          <w:sz w:val="15"/>
          <w:szCs w:val="15"/>
          <w:color w:val="auto"/>
        </w:rPr>
        <w:t>July 22, 2002</w:t>
      </w:r>
    </w:p>
    <w:p>
      <w:pPr>
        <w:sectPr>
          <w:pgSz w:w="11900" w:h="16838" w:orient="portrait"/>
          <w:cols w:equalWidth="0" w:num="1">
            <w:col w:w="10239"/>
          </w:cols>
          <w:pgMar w:left="220" w:top="135" w:right="1440" w:bottom="1440" w:gutter="0" w:footer="0" w:header="0"/>
        </w:sectPr>
      </w:pPr>
    </w:p>
    <w:bookmarkStart w:id="113" w:name="page114"/>
    <w:bookmarkEnd w:id="113"/>
    <w:p>
      <w:pPr>
        <w:jc w:val="right"/>
        <w:ind w:right="3239"/>
        <w:spacing w:after="0"/>
        <w:rPr>
          <w:sz w:val="20"/>
          <w:szCs w:val="20"/>
          <w:color w:val="auto"/>
        </w:rPr>
      </w:pPr>
      <w:r>
        <w:rPr>
          <w:rFonts w:ascii="Courier New" w:cs="Courier New" w:eastAsia="Courier New" w:hAnsi="Courier New"/>
          <w:sz w:val="15"/>
          <w:szCs w:val="15"/>
          <w:color w:val="auto"/>
        </w:rPr>
        <w:t>Exhibit 23.5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Consent of Independent Auditors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Directors</w:t>
      </w:r>
    </w:p>
    <w:p>
      <w:pPr>
        <w:spacing w:after="0" w:line="237" w:lineRule="auto"/>
        <w:rPr>
          <w:sz w:val="20"/>
          <w:szCs w:val="20"/>
          <w:color w:val="auto"/>
        </w:rPr>
      </w:pPr>
      <w:r>
        <w:rPr>
          <w:rFonts w:ascii="Courier New" w:cs="Courier New" w:eastAsia="Courier New" w:hAnsi="Courier New"/>
          <w:sz w:val="15"/>
          <w:szCs w:val="15"/>
          <w:color w:val="auto"/>
        </w:rPr>
        <w:t>ClearOne Communications, Inc</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We consent to the use of our report dated July 27, 2001, with respect to the financial statements of Ivron Systems Ltd. for the years ending December 3l, 1998, 1999, and 2000, included in ClearOne Communications, Inc Current Report filed on Form 8-K/A on November 23, 2001, filed with the Securities and Exchange Commission, and which Form 8K/A is incorporated by reference into the Registration Statement and to the reference to our firm under the heading "Experts" in each of the prospectuses contained in the Registration Statement.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KPMG</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KPMG</w:t>
      </w:r>
    </w:p>
    <w:p>
      <w:pPr>
        <w:spacing w:after="0" w:line="237" w:lineRule="auto"/>
        <w:rPr>
          <w:sz w:val="20"/>
          <w:szCs w:val="20"/>
          <w:color w:val="auto"/>
        </w:rPr>
      </w:pPr>
      <w:r>
        <w:rPr>
          <w:rFonts w:ascii="Courier New" w:cs="Courier New" w:eastAsia="Courier New" w:hAnsi="Courier New"/>
          <w:sz w:val="15"/>
          <w:szCs w:val="15"/>
          <w:color w:val="auto"/>
        </w:rPr>
        <w:t>Chartered Accountants</w:t>
      </w:r>
    </w:p>
    <w:p>
      <w:pPr>
        <w:spacing w:after="0" w:line="238" w:lineRule="auto"/>
        <w:rPr>
          <w:sz w:val="20"/>
          <w:szCs w:val="20"/>
          <w:color w:val="auto"/>
        </w:rPr>
      </w:pPr>
      <w:r>
        <w:rPr>
          <w:rFonts w:ascii="Courier New" w:cs="Courier New" w:eastAsia="Courier New" w:hAnsi="Courier New"/>
          <w:sz w:val="15"/>
          <w:szCs w:val="15"/>
          <w:color w:val="auto"/>
        </w:rPr>
        <w:t>Dublin, Ireland</w:t>
      </w:r>
    </w:p>
    <w:p>
      <w:pPr>
        <w:spacing w:after="0" w:line="237" w:lineRule="auto"/>
        <w:rPr>
          <w:sz w:val="20"/>
          <w:szCs w:val="20"/>
          <w:color w:val="auto"/>
        </w:rPr>
      </w:pPr>
      <w:r>
        <w:rPr>
          <w:rFonts w:ascii="Courier New" w:cs="Courier New" w:eastAsia="Courier New" w:hAnsi="Courier New"/>
          <w:sz w:val="15"/>
          <w:szCs w:val="15"/>
          <w:color w:val="auto"/>
        </w:rPr>
        <w:t>July 22, 2002</w:t>
      </w:r>
    </w:p>
    <w:p>
      <w:pPr>
        <w:sectPr>
          <w:pgSz w:w="11900" w:h="16838" w:orient="portrait"/>
          <w:cols w:equalWidth="0" w:num="1">
            <w:col w:w="10239"/>
          </w:cols>
          <w:pgMar w:left="220" w:top="135" w:right="1440" w:bottom="1440" w:gutter="0" w:footer="0" w:header="0"/>
        </w:sectPr>
      </w:pPr>
    </w:p>
    <w:bookmarkStart w:id="114" w:name="page115"/>
    <w:bookmarkEnd w:id="114"/>
    <w:p>
      <w:pPr>
        <w:jc w:val="right"/>
        <w:ind w:right="3239"/>
        <w:spacing w:after="0"/>
        <w:rPr>
          <w:sz w:val="20"/>
          <w:szCs w:val="20"/>
          <w:color w:val="auto"/>
        </w:rPr>
      </w:pPr>
      <w:r>
        <w:rPr>
          <w:rFonts w:ascii="Courier New" w:cs="Courier New" w:eastAsia="Courier New" w:hAnsi="Courier New"/>
          <w:sz w:val="15"/>
          <w:szCs w:val="15"/>
          <w:color w:val="auto"/>
        </w:rPr>
        <w:t>Exhibit 23.6</w:t>
      </w:r>
    </w:p>
    <w:p>
      <w:pPr>
        <w:spacing w:after="0" w:line="200" w:lineRule="exact"/>
        <w:rPr>
          <w:sz w:val="20"/>
          <w:szCs w:val="20"/>
          <w:color w:val="auto"/>
        </w:rPr>
      </w:pPr>
    </w:p>
    <w:p>
      <w:pPr>
        <w:spacing w:after="0" w:line="303"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CONSENT OF LECG, LLC</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Directors</w:t>
      </w:r>
    </w:p>
    <w:p>
      <w:pPr>
        <w:spacing w:after="0" w:line="237" w:lineRule="auto"/>
        <w:rPr>
          <w:sz w:val="20"/>
          <w:szCs w:val="20"/>
          <w:color w:val="auto"/>
        </w:rPr>
      </w:pPr>
      <w:r>
        <w:rPr>
          <w:rFonts w:ascii="Courier New" w:cs="Courier New" w:eastAsia="Courier New" w:hAnsi="Courier New"/>
          <w:sz w:val="15"/>
          <w:szCs w:val="15"/>
          <w:color w:val="auto"/>
        </w:rPr>
        <w:t>ClearOne Communications, Inc.</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We consent to the use of our name in the Registration Statement on Form S-3 and related prospectuses of ClearOne Communications, Inc.</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LECG, LLC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LECG, LLC</w:t>
      </w:r>
    </w:p>
    <w:p>
      <w:pPr>
        <w:spacing w:after="0" w:line="237" w:lineRule="auto"/>
        <w:rPr>
          <w:sz w:val="20"/>
          <w:szCs w:val="20"/>
          <w:color w:val="auto"/>
        </w:rPr>
      </w:pPr>
      <w:r>
        <w:rPr>
          <w:rFonts w:ascii="Courier New" w:cs="Courier New" w:eastAsia="Courier New" w:hAnsi="Courier New"/>
          <w:sz w:val="15"/>
          <w:szCs w:val="15"/>
          <w:color w:val="auto"/>
        </w:rPr>
        <w:t>July 22, 2002</w:t>
      </w:r>
    </w:p>
    <w:p>
      <w:pPr>
        <w:sectPr>
          <w:pgSz w:w="11900" w:h="16838" w:orient="portrait"/>
          <w:cols w:equalWidth="0" w:num="1">
            <w:col w:w="10239"/>
          </w:cols>
          <w:pgMar w:left="220" w:top="135" w:right="1440" w:bottom="1440" w:gutter="0" w:footer="0" w:header="0"/>
        </w:sectPr>
      </w:pPr>
    </w:p>
    <w:bookmarkStart w:id="115" w:name="page116"/>
    <w:bookmarkEnd w:id="115"/>
    <w:p>
      <w:pPr>
        <w:ind w:left="5960"/>
        <w:spacing w:after="0"/>
        <w:rPr>
          <w:sz w:val="20"/>
          <w:szCs w:val="20"/>
          <w:color w:val="auto"/>
        </w:rPr>
      </w:pPr>
      <w:r>
        <w:rPr>
          <w:rFonts w:ascii="Courier New" w:cs="Courier New" w:eastAsia="Courier New" w:hAnsi="Courier New"/>
          <w:sz w:val="15"/>
          <w:szCs w:val="15"/>
          <w:color w:val="auto"/>
        </w:rPr>
        <w:t>Exhibit 25.1</w:t>
      </w:r>
    </w:p>
    <w:p>
      <w:pPr>
        <w:spacing w:after="0" w:line="341"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 = = = = = = = = = = = = = = = = = = = = = = = = = = = = = = = = = = = = = = =</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FORM T-1</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219"/>
        <w:spacing w:after="0" w:line="237"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STATEMENT OF ELIGIBILITY</w:t>
      </w:r>
    </w:p>
    <w:p>
      <w:pPr>
        <w:jc w:val="center"/>
        <w:ind w:right="3219"/>
        <w:spacing w:after="0" w:line="237" w:lineRule="auto"/>
        <w:rPr>
          <w:sz w:val="20"/>
          <w:szCs w:val="20"/>
          <w:color w:val="auto"/>
        </w:rPr>
      </w:pPr>
      <w:r>
        <w:rPr>
          <w:rFonts w:ascii="Courier New" w:cs="Courier New" w:eastAsia="Courier New" w:hAnsi="Courier New"/>
          <w:sz w:val="15"/>
          <w:szCs w:val="15"/>
          <w:color w:val="auto"/>
        </w:rPr>
        <w:t>UNDER THE TRUST INDENTURE ACT OF 1939 OF A</w:t>
      </w:r>
    </w:p>
    <w:p>
      <w:pPr>
        <w:jc w:val="center"/>
        <w:ind w:right="3219"/>
        <w:spacing w:after="0" w:line="238" w:lineRule="auto"/>
        <w:rPr>
          <w:sz w:val="20"/>
          <w:szCs w:val="20"/>
          <w:color w:val="auto"/>
        </w:rPr>
      </w:pPr>
      <w:r>
        <w:rPr>
          <w:rFonts w:ascii="Courier New" w:cs="Courier New" w:eastAsia="Courier New" w:hAnsi="Courier New"/>
          <w:sz w:val="15"/>
          <w:szCs w:val="15"/>
          <w:color w:val="auto"/>
        </w:rPr>
        <w:t>CORPORATION DESIGNATED TO ACT AS TRUSTEE</w:t>
      </w:r>
    </w:p>
    <w:p>
      <w:pPr>
        <w:spacing w:after="0" w:line="167"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 IF AN APPLICATION TO DETERMINE</w:t>
      </w:r>
    </w:p>
    <w:p>
      <w:pPr>
        <w:jc w:val="center"/>
        <w:ind w:right="3219"/>
        <w:spacing w:after="0" w:line="237" w:lineRule="auto"/>
        <w:rPr>
          <w:sz w:val="20"/>
          <w:szCs w:val="20"/>
          <w:color w:val="auto"/>
        </w:rPr>
      </w:pPr>
      <w:r>
        <w:rPr>
          <w:rFonts w:ascii="Courier New" w:cs="Courier New" w:eastAsia="Courier New" w:hAnsi="Courier New"/>
          <w:sz w:val="15"/>
          <w:szCs w:val="15"/>
          <w:color w:val="auto"/>
        </w:rPr>
        <w:t>ELIGIBILITY OF A TRUSTEE PURSUANT TO</w:t>
      </w:r>
    </w:p>
    <w:p>
      <w:pPr>
        <w:jc w:val="center"/>
        <w:ind w:right="3219"/>
        <w:spacing w:after="0" w:line="238" w:lineRule="auto"/>
        <w:rPr>
          <w:sz w:val="20"/>
          <w:szCs w:val="20"/>
          <w:color w:val="auto"/>
        </w:rPr>
      </w:pPr>
      <w:r>
        <w:rPr>
          <w:rFonts w:ascii="Courier New" w:cs="Courier New" w:eastAsia="Courier New" w:hAnsi="Courier New"/>
          <w:sz w:val="15"/>
          <w:szCs w:val="15"/>
          <w:color w:val="auto"/>
        </w:rPr>
        <w:t>SECTION 305(b)(2) |__|</w:t>
      </w:r>
    </w:p>
    <w:p>
      <w:pPr>
        <w:spacing w:after="0" w:line="167"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BANK OF NEW YORK</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(Exact name of trustee as specified in its charter)</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tcPr>
          <w:p>
            <w:pPr>
              <w:jc w:val="center"/>
              <w:ind w:right="1487"/>
              <w:spacing w:after="0"/>
              <w:rPr>
                <w:sz w:val="20"/>
                <w:szCs w:val="20"/>
                <w:color w:val="auto"/>
              </w:rPr>
            </w:pPr>
            <w:r>
              <w:rPr>
                <w:rFonts w:ascii="Courier New" w:cs="Courier New" w:eastAsia="Courier New" w:hAnsi="Courier New"/>
                <w:sz w:val="15"/>
                <w:szCs w:val="15"/>
                <w:color w:val="auto"/>
                <w:w w:val="97"/>
              </w:rPr>
              <w:t>New York</w:t>
            </w:r>
          </w:p>
        </w:tc>
        <w:tc>
          <w:tcPr>
            <w:tcW w:w="1760" w:type="dxa"/>
            <w:vAlign w:val="bottom"/>
          </w:tcPr>
          <w:p>
            <w:pPr>
              <w:jc w:val="center"/>
              <w:spacing w:after="0"/>
              <w:rPr>
                <w:sz w:val="20"/>
                <w:szCs w:val="20"/>
                <w:color w:val="auto"/>
              </w:rPr>
            </w:pPr>
            <w:r>
              <w:rPr>
                <w:rFonts w:ascii="Courier New" w:cs="Courier New" w:eastAsia="Courier New" w:hAnsi="Courier New"/>
                <w:sz w:val="15"/>
                <w:szCs w:val="15"/>
                <w:color w:val="auto"/>
                <w:w w:val="97"/>
              </w:rPr>
              <w:t>13-5160382</w:t>
            </w:r>
          </w:p>
        </w:tc>
      </w:tr>
      <w:tr>
        <w:trPr>
          <w:trHeight w:val="168"/>
        </w:trPr>
        <w:tc>
          <w:tcPr>
            <w:tcW w:w="49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(State of incorporation</w:t>
            </w:r>
          </w:p>
        </w:tc>
        <w:tc>
          <w:tcPr>
            <w:tcW w:w="17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(I.R.S. employer</w:t>
            </w:r>
          </w:p>
        </w:tc>
      </w:tr>
      <w:tr>
        <w:trPr>
          <w:trHeight w:val="168"/>
        </w:trPr>
        <w:tc>
          <w:tcPr>
            <w:tcW w:w="49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if not a U.S. national bank)</w:t>
            </w:r>
          </w:p>
        </w:tc>
        <w:tc>
          <w:tcPr>
            <w:tcW w:w="1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identification no.)</w:t>
            </w:r>
          </w:p>
        </w:tc>
      </w:tr>
      <w:tr>
        <w:trPr>
          <w:trHeight w:val="336"/>
        </w:trPr>
        <w:tc>
          <w:tcPr>
            <w:tcW w:w="4900" w:type="dxa"/>
            <w:vAlign w:val="bottom"/>
          </w:tcPr>
          <w:p>
            <w:pPr>
              <w:jc w:val="center"/>
              <w:ind w:right="1567"/>
              <w:spacing w:after="0"/>
              <w:rPr>
                <w:sz w:val="20"/>
                <w:szCs w:val="20"/>
                <w:color w:val="auto"/>
              </w:rPr>
            </w:pPr>
            <w:r>
              <w:rPr>
                <w:rFonts w:ascii="Courier New" w:cs="Courier New" w:eastAsia="Courier New" w:hAnsi="Courier New"/>
                <w:sz w:val="15"/>
                <w:szCs w:val="15"/>
                <w:color w:val="auto"/>
                <w:w w:val="96"/>
              </w:rPr>
              <w:t>One Wall Street, New York, N.Y.</w:t>
            </w:r>
          </w:p>
        </w:tc>
        <w:tc>
          <w:tcPr>
            <w:tcW w:w="17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10286</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(Address of principal executive offices)</w:t>
            </w:r>
          </w:p>
        </w:tc>
        <w:tc>
          <w:tcPr>
            <w:tcW w:w="17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(Zip code)</w:t>
            </w:r>
          </w:p>
        </w:tc>
      </w:tr>
      <w:tr>
        <w:trPr>
          <w:trHeight w:val="336"/>
        </w:trPr>
        <w:tc>
          <w:tcPr>
            <w:tcW w:w="4900" w:type="dxa"/>
            <w:vAlign w:val="bottom"/>
          </w:tcPr>
          <w:p>
            <w:pPr>
              <w:jc w:val="center"/>
              <w:ind w:left="2147"/>
              <w:spacing w:after="0"/>
              <w:rPr>
                <w:sz w:val="20"/>
                <w:szCs w:val="20"/>
                <w:color w:val="auto"/>
              </w:rPr>
            </w:pPr>
            <w:r>
              <w:rPr>
                <w:rFonts w:ascii="Courier New" w:cs="Courier New" w:eastAsia="Courier New" w:hAnsi="Courier New"/>
                <w:sz w:val="15"/>
                <w:szCs w:val="15"/>
                <w:color w:val="auto"/>
                <w:w w:val="97"/>
              </w:rPr>
              <w:t>---------------------------</w:t>
            </w:r>
          </w:p>
        </w:tc>
        <w:tc>
          <w:tcPr>
            <w:tcW w:w="1760" w:type="dxa"/>
            <w:vAlign w:val="bottom"/>
          </w:tcPr>
          <w:p>
            <w:pPr>
              <w:spacing w:after="0"/>
              <w:rPr>
                <w:sz w:val="24"/>
                <w:szCs w:val="24"/>
                <w:color w:val="auto"/>
              </w:rPr>
            </w:pPr>
          </w:p>
        </w:tc>
      </w:tr>
      <w:tr>
        <w:trPr>
          <w:trHeight w:val="336"/>
        </w:trPr>
        <w:tc>
          <w:tcPr>
            <w:tcW w:w="4900" w:type="dxa"/>
            <w:vAlign w:val="bottom"/>
          </w:tcPr>
          <w:p>
            <w:pPr>
              <w:jc w:val="center"/>
              <w:ind w:left="2127"/>
              <w:spacing w:after="0"/>
              <w:rPr>
                <w:sz w:val="20"/>
                <w:szCs w:val="20"/>
                <w:color w:val="auto"/>
              </w:rPr>
            </w:pPr>
            <w:r>
              <w:rPr>
                <w:rFonts w:ascii="Courier New" w:cs="Courier New" w:eastAsia="Courier New" w:hAnsi="Courier New"/>
                <w:sz w:val="15"/>
                <w:szCs w:val="15"/>
                <w:color w:val="auto"/>
                <w:w w:val="97"/>
              </w:rPr>
              <w:t>ClearOne Communications, Inc.</w:t>
            </w:r>
          </w:p>
        </w:tc>
        <w:tc>
          <w:tcPr>
            <w:tcW w:w="1760" w:type="dxa"/>
            <w:vAlign w:val="bottom"/>
          </w:tcPr>
          <w:p>
            <w:pPr>
              <w:spacing w:after="0"/>
              <w:rPr>
                <w:sz w:val="24"/>
                <w:szCs w:val="24"/>
                <w:color w:val="auto"/>
              </w:rPr>
            </w:pPr>
          </w:p>
        </w:tc>
      </w:tr>
      <w:tr>
        <w:trPr>
          <w:trHeight w:val="168"/>
        </w:trPr>
        <w:tc>
          <w:tcPr>
            <w:tcW w:w="6660" w:type="dxa"/>
            <w:vAlign w:val="bottom"/>
            <w:gridSpan w:val="2"/>
          </w:tcPr>
          <w:p>
            <w:pPr>
              <w:jc w:val="center"/>
              <w:ind w:left="367"/>
              <w:spacing w:after="0" w:line="168" w:lineRule="exact"/>
              <w:rPr>
                <w:sz w:val="20"/>
                <w:szCs w:val="20"/>
                <w:color w:val="auto"/>
              </w:rPr>
            </w:pPr>
            <w:r>
              <w:rPr>
                <w:rFonts w:ascii="Courier New" w:cs="Courier New" w:eastAsia="Courier New" w:hAnsi="Courier New"/>
                <w:sz w:val="15"/>
                <w:szCs w:val="15"/>
                <w:color w:val="auto"/>
                <w:w w:val="97"/>
              </w:rPr>
              <w:t>(Exact name of obligor as specified in its charter)</w:t>
            </w:r>
          </w:p>
        </w:tc>
      </w:tr>
      <w:tr>
        <w:trPr>
          <w:trHeight w:val="336"/>
        </w:trPr>
        <w:tc>
          <w:tcPr>
            <w:tcW w:w="4900" w:type="dxa"/>
            <w:vAlign w:val="bottom"/>
          </w:tcPr>
          <w:p>
            <w:pPr>
              <w:jc w:val="center"/>
              <w:ind w:right="1487"/>
              <w:spacing w:after="0"/>
              <w:rPr>
                <w:sz w:val="20"/>
                <w:szCs w:val="20"/>
                <w:color w:val="auto"/>
              </w:rPr>
            </w:pPr>
            <w:r>
              <w:rPr>
                <w:rFonts w:ascii="Courier New" w:cs="Courier New" w:eastAsia="Courier New" w:hAnsi="Courier New"/>
                <w:sz w:val="15"/>
                <w:szCs w:val="15"/>
                <w:color w:val="auto"/>
                <w:w w:val="94"/>
              </w:rPr>
              <w:t>Utah</w:t>
            </w:r>
          </w:p>
        </w:tc>
        <w:tc>
          <w:tcPr>
            <w:tcW w:w="1760" w:type="dxa"/>
            <w:vAlign w:val="bottom"/>
          </w:tcPr>
          <w:p>
            <w:pPr>
              <w:jc w:val="center"/>
              <w:spacing w:after="0"/>
              <w:rPr>
                <w:sz w:val="20"/>
                <w:szCs w:val="20"/>
                <w:color w:val="auto"/>
              </w:rPr>
            </w:pPr>
            <w:r>
              <w:rPr>
                <w:rFonts w:ascii="Courier New" w:cs="Courier New" w:eastAsia="Courier New" w:hAnsi="Courier New"/>
                <w:sz w:val="15"/>
                <w:szCs w:val="15"/>
                <w:color w:val="auto"/>
                <w:w w:val="97"/>
              </w:rPr>
              <w:t>87-0398877</w:t>
            </w:r>
          </w:p>
        </w:tc>
      </w:tr>
      <w:tr>
        <w:trPr>
          <w:trHeight w:val="168"/>
        </w:trPr>
        <w:tc>
          <w:tcPr>
            <w:tcW w:w="4900" w:type="dxa"/>
            <w:vAlign w:val="bottom"/>
          </w:tcPr>
          <w:p>
            <w:pPr>
              <w:jc w:val="center"/>
              <w:ind w:right="1567"/>
              <w:spacing w:after="0" w:line="168" w:lineRule="exact"/>
              <w:rPr>
                <w:sz w:val="20"/>
                <w:szCs w:val="20"/>
                <w:color w:val="auto"/>
              </w:rPr>
            </w:pPr>
            <w:r>
              <w:rPr>
                <w:rFonts w:ascii="Courier New" w:cs="Courier New" w:eastAsia="Courier New" w:hAnsi="Courier New"/>
                <w:sz w:val="15"/>
                <w:szCs w:val="15"/>
                <w:color w:val="auto"/>
                <w:w w:val="96"/>
              </w:rPr>
              <w:t>(State or other jurisdiction of</w:t>
            </w:r>
          </w:p>
        </w:tc>
        <w:tc>
          <w:tcPr>
            <w:tcW w:w="17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(I.R.S. employer</w:t>
            </w:r>
          </w:p>
        </w:tc>
      </w:tr>
      <w:tr>
        <w:trPr>
          <w:trHeight w:val="168"/>
        </w:trPr>
        <w:tc>
          <w:tcPr>
            <w:tcW w:w="4900" w:type="dxa"/>
            <w:vAlign w:val="bottom"/>
          </w:tcPr>
          <w:p>
            <w:pPr>
              <w:jc w:val="center"/>
              <w:ind w:right="1487"/>
              <w:spacing w:after="0" w:line="168" w:lineRule="exact"/>
              <w:rPr>
                <w:sz w:val="20"/>
                <w:szCs w:val="20"/>
                <w:color w:val="auto"/>
              </w:rPr>
            </w:pPr>
            <w:r>
              <w:rPr>
                <w:rFonts w:ascii="Courier New" w:cs="Courier New" w:eastAsia="Courier New" w:hAnsi="Courier New"/>
                <w:sz w:val="15"/>
                <w:szCs w:val="15"/>
                <w:color w:val="auto"/>
                <w:w w:val="97"/>
              </w:rPr>
              <w:t>incorporation or organization)</w:t>
            </w:r>
          </w:p>
        </w:tc>
        <w:tc>
          <w:tcPr>
            <w:tcW w:w="1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identification no.)</w:t>
            </w:r>
          </w:p>
        </w:tc>
      </w:tr>
      <w:tr>
        <w:trPr>
          <w:trHeight w:val="336"/>
        </w:trPr>
        <w:tc>
          <w:tcPr>
            <w:tcW w:w="4900" w:type="dxa"/>
            <w:vAlign w:val="bottom"/>
          </w:tcPr>
          <w:p>
            <w:pPr>
              <w:jc w:val="center"/>
              <w:ind w:right="1567"/>
              <w:spacing w:after="0"/>
              <w:rPr>
                <w:sz w:val="20"/>
                <w:szCs w:val="20"/>
                <w:color w:val="auto"/>
              </w:rPr>
            </w:pPr>
            <w:r>
              <w:rPr>
                <w:rFonts w:ascii="Courier New" w:cs="Courier New" w:eastAsia="Courier New" w:hAnsi="Courier New"/>
                <w:sz w:val="15"/>
                <w:szCs w:val="15"/>
                <w:color w:val="auto"/>
                <w:w w:val="98"/>
              </w:rPr>
              <w:t>1825 Research Way</w:t>
            </w:r>
          </w:p>
        </w:tc>
        <w:tc>
          <w:tcPr>
            <w:tcW w:w="1760" w:type="dxa"/>
            <w:vAlign w:val="bottom"/>
          </w:tcPr>
          <w:p>
            <w:pPr>
              <w:spacing w:after="0"/>
              <w:rPr>
                <w:sz w:val="24"/>
                <w:szCs w:val="24"/>
                <w:color w:val="auto"/>
              </w:rPr>
            </w:pPr>
          </w:p>
        </w:tc>
      </w:tr>
      <w:tr>
        <w:trPr>
          <w:trHeight w:val="168"/>
        </w:trPr>
        <w:tc>
          <w:tcPr>
            <w:tcW w:w="4900" w:type="dxa"/>
            <w:vAlign w:val="bottom"/>
          </w:tcPr>
          <w:p>
            <w:pPr>
              <w:jc w:val="center"/>
              <w:ind w:right="1487"/>
              <w:spacing w:after="0" w:line="168" w:lineRule="exact"/>
              <w:rPr>
                <w:sz w:val="20"/>
                <w:szCs w:val="20"/>
                <w:color w:val="auto"/>
              </w:rPr>
            </w:pPr>
            <w:r>
              <w:rPr>
                <w:rFonts w:ascii="Courier New" w:cs="Courier New" w:eastAsia="Courier New" w:hAnsi="Courier New"/>
                <w:sz w:val="15"/>
                <w:szCs w:val="15"/>
                <w:color w:val="auto"/>
                <w:w w:val="96"/>
              </w:rPr>
              <w:t>Salt Lake City, Utah</w:t>
            </w:r>
          </w:p>
        </w:tc>
        <w:tc>
          <w:tcPr>
            <w:tcW w:w="17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84119</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(Address of principal executive offices)</w:t>
            </w:r>
          </w:p>
        </w:tc>
        <w:tc>
          <w:tcPr>
            <w:tcW w:w="17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(Zip code)</w:t>
            </w:r>
          </w:p>
        </w:tc>
      </w:tr>
    </w:tbl>
    <w:p>
      <w:pPr>
        <w:spacing w:after="0" w:line="33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Debt Securities</w:t>
      </w:r>
    </w:p>
    <w:p>
      <w:pPr>
        <w:jc w:val="center"/>
        <w:ind w:right="3139"/>
        <w:spacing w:after="0" w:line="237" w:lineRule="auto"/>
        <w:rPr>
          <w:sz w:val="20"/>
          <w:szCs w:val="20"/>
          <w:color w:val="auto"/>
        </w:rPr>
      </w:pPr>
      <w:r>
        <w:rPr>
          <w:rFonts w:ascii="Courier New" w:cs="Courier New" w:eastAsia="Courier New" w:hAnsi="Courier New"/>
          <w:sz w:val="15"/>
          <w:szCs w:val="15"/>
          <w:color w:val="auto"/>
        </w:rPr>
        <w:t>(Title of the indenture securities)</w:t>
      </w:r>
    </w:p>
    <w:p>
      <w:pPr>
        <w:spacing w:after="0" w:line="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 = = = = = = = = = = = = = = = = = = = = = = = = = = = = = = = = =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40" w:hanging="430"/>
        <w:spacing w:after="0"/>
        <w:tabs>
          <w:tab w:leader="none" w:pos="44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information. Furnish the following information as to the Trustee:</w:t>
      </w:r>
    </w:p>
    <w:p>
      <w:pPr>
        <w:spacing w:after="0" w:line="173" w:lineRule="exact"/>
        <w:rPr>
          <w:sz w:val="20"/>
          <w:szCs w:val="20"/>
          <w:color w:val="auto"/>
        </w:rPr>
      </w:pPr>
    </w:p>
    <w:p>
      <w:pPr>
        <w:ind w:left="880" w:right="3239" w:hanging="433"/>
        <w:spacing w:after="0" w:line="234" w:lineRule="auto"/>
        <w:tabs>
          <w:tab w:leader="none" w:pos="880" w:val="left"/>
        </w:tabs>
        <w:numPr>
          <w:ilvl w:val="1"/>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and address of each examining or supervising authority to which it is subject.</w:t>
      </w:r>
    </w:p>
    <w:p>
      <w:pPr>
        <w:spacing w:after="0" w:line="173"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240"/>
        <w:spacing w:after="0"/>
        <w:tabs>
          <w:tab w:leader="none" w:pos="48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Address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060" w:type="dxa"/>
            <w:vAlign w:val="bottom"/>
          </w:tcPr>
          <w:p>
            <w:pPr>
              <w:spacing w:after="0"/>
              <w:rPr>
                <w:sz w:val="20"/>
                <w:szCs w:val="20"/>
                <w:color w:val="auto"/>
              </w:rPr>
            </w:pPr>
            <w:r>
              <w:rPr>
                <w:rFonts w:ascii="Courier New" w:cs="Courier New" w:eastAsia="Courier New" w:hAnsi="Courier New"/>
                <w:sz w:val="15"/>
                <w:szCs w:val="15"/>
                <w:color w:val="auto"/>
                <w:w w:val="98"/>
              </w:rPr>
              <w:t>Superintendent of Banks</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rPr>
              <w:t>of the State</w:t>
            </w:r>
          </w:p>
        </w:tc>
        <w:tc>
          <w:tcPr>
            <w:tcW w:w="302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9"/>
              </w:rPr>
              <w:t>2 Rector Street, New York, N.Y.</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of New York</w:t>
            </w:r>
          </w:p>
        </w:tc>
        <w:tc>
          <w:tcPr>
            <w:tcW w:w="1400" w:type="dxa"/>
            <w:vAlign w:val="bottom"/>
          </w:tcPr>
          <w:p>
            <w:pPr>
              <w:spacing w:after="0"/>
              <w:rPr>
                <w:sz w:val="14"/>
                <w:szCs w:val="14"/>
                <w:color w:val="auto"/>
              </w:rPr>
            </w:pPr>
          </w:p>
        </w:tc>
        <w:tc>
          <w:tcPr>
            <w:tcW w:w="30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10006, and Albany, N.Y. 12203</w:t>
            </w:r>
          </w:p>
        </w:tc>
      </w:tr>
      <w:tr>
        <w:trPr>
          <w:trHeight w:val="336"/>
        </w:trPr>
        <w:tc>
          <w:tcPr>
            <w:tcW w:w="2060" w:type="dxa"/>
            <w:vAlign w:val="bottom"/>
          </w:tcPr>
          <w:p>
            <w:pPr>
              <w:spacing w:after="0"/>
              <w:rPr>
                <w:sz w:val="20"/>
                <w:szCs w:val="20"/>
                <w:color w:val="auto"/>
              </w:rPr>
            </w:pPr>
            <w:r>
              <w:rPr>
                <w:rFonts w:ascii="Courier New" w:cs="Courier New" w:eastAsia="Courier New" w:hAnsi="Courier New"/>
                <w:sz w:val="15"/>
                <w:szCs w:val="15"/>
                <w:color w:val="auto"/>
                <w:w w:val="98"/>
              </w:rPr>
              <w:t>Federal Reserve Bank of</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rPr>
              <w:t>New York</w:t>
            </w:r>
          </w:p>
        </w:tc>
        <w:tc>
          <w:tcPr>
            <w:tcW w:w="302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6"/>
              </w:rPr>
              <w:t>33 Liberty Plaza, New York, N.Y.</w:t>
            </w:r>
          </w:p>
        </w:tc>
      </w:tr>
      <w:tr>
        <w:trPr>
          <w:trHeight w:val="168"/>
        </w:trPr>
        <w:tc>
          <w:tcPr>
            <w:tcW w:w="20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10045</w:t>
            </w:r>
          </w:p>
        </w:tc>
        <w:tc>
          <w:tcPr>
            <w:tcW w:w="1220" w:type="dxa"/>
            <w:vAlign w:val="bottom"/>
          </w:tcPr>
          <w:p>
            <w:pPr>
              <w:spacing w:after="0"/>
              <w:rPr>
                <w:sz w:val="14"/>
                <w:szCs w:val="14"/>
                <w:color w:val="auto"/>
              </w:rPr>
            </w:pPr>
          </w:p>
        </w:tc>
      </w:tr>
      <w:tr>
        <w:trPr>
          <w:trHeight w:val="336"/>
        </w:trPr>
        <w:tc>
          <w:tcPr>
            <w:tcW w:w="3460" w:type="dxa"/>
            <w:vAlign w:val="bottom"/>
            <w:gridSpan w:val="2"/>
          </w:tcPr>
          <w:p>
            <w:pPr>
              <w:spacing w:after="0"/>
              <w:rPr>
                <w:sz w:val="20"/>
                <w:szCs w:val="20"/>
                <w:color w:val="auto"/>
              </w:rPr>
            </w:pPr>
            <w:r>
              <w:rPr>
                <w:rFonts w:ascii="Courier New" w:cs="Courier New" w:eastAsia="Courier New" w:hAnsi="Courier New"/>
                <w:sz w:val="15"/>
                <w:szCs w:val="15"/>
                <w:color w:val="auto"/>
              </w:rPr>
              <w:t>Federal Deposit Insurance Corporation</w:t>
            </w:r>
          </w:p>
        </w:tc>
        <w:tc>
          <w:tcPr>
            <w:tcW w:w="1800" w:type="dxa"/>
            <w:vAlign w:val="bottom"/>
          </w:tcPr>
          <w:p>
            <w:pPr>
              <w:ind w:left="220"/>
              <w:spacing w:after="0"/>
              <w:rPr>
                <w:sz w:val="20"/>
                <w:szCs w:val="20"/>
                <w:color w:val="auto"/>
              </w:rPr>
            </w:pPr>
            <w:r>
              <w:rPr>
                <w:rFonts w:ascii="Courier New" w:cs="Courier New" w:eastAsia="Courier New" w:hAnsi="Courier New"/>
                <w:sz w:val="15"/>
                <w:szCs w:val="15"/>
                <w:color w:val="auto"/>
              </w:rPr>
              <w:t>Washington, D.C.</w:t>
            </w:r>
          </w:p>
        </w:tc>
        <w:tc>
          <w:tcPr>
            <w:tcW w:w="1220" w:type="dxa"/>
            <w:vAlign w:val="bottom"/>
          </w:tcPr>
          <w:p>
            <w:pPr>
              <w:jc w:val="right"/>
              <w:ind w:right="707"/>
              <w:spacing w:after="0"/>
              <w:rPr>
                <w:sz w:val="20"/>
                <w:szCs w:val="20"/>
                <w:color w:val="auto"/>
              </w:rPr>
            </w:pPr>
            <w:r>
              <w:rPr>
                <w:rFonts w:ascii="Courier New" w:cs="Courier New" w:eastAsia="Courier New" w:hAnsi="Courier New"/>
                <w:sz w:val="15"/>
                <w:szCs w:val="15"/>
                <w:color w:val="auto"/>
                <w:w w:val="93"/>
              </w:rPr>
              <w:t>20429</w:t>
            </w:r>
          </w:p>
        </w:tc>
      </w:tr>
      <w:tr>
        <w:trPr>
          <w:trHeight w:val="336"/>
        </w:trPr>
        <w:tc>
          <w:tcPr>
            <w:tcW w:w="2060" w:type="dxa"/>
            <w:vAlign w:val="bottom"/>
          </w:tcPr>
          <w:p>
            <w:pPr>
              <w:spacing w:after="0"/>
              <w:rPr>
                <w:sz w:val="20"/>
                <w:szCs w:val="20"/>
                <w:color w:val="auto"/>
              </w:rPr>
            </w:pPr>
            <w:r>
              <w:rPr>
                <w:rFonts w:ascii="Courier New" w:cs="Courier New" w:eastAsia="Courier New" w:hAnsi="Courier New"/>
                <w:sz w:val="15"/>
                <w:szCs w:val="15"/>
                <w:color w:val="auto"/>
                <w:w w:val="98"/>
              </w:rPr>
              <w:t>New York Clearing House</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rPr>
              <w:t>Association</w:t>
            </w:r>
          </w:p>
        </w:tc>
        <w:tc>
          <w:tcPr>
            <w:tcW w:w="1800" w:type="dxa"/>
            <w:vAlign w:val="bottom"/>
          </w:tcPr>
          <w:p>
            <w:pPr>
              <w:ind w:left="220"/>
              <w:spacing w:after="0"/>
              <w:rPr>
                <w:sz w:val="20"/>
                <w:szCs w:val="20"/>
                <w:color w:val="auto"/>
              </w:rPr>
            </w:pPr>
            <w:r>
              <w:rPr>
                <w:rFonts w:ascii="Courier New" w:cs="Courier New" w:eastAsia="Courier New" w:hAnsi="Courier New"/>
                <w:sz w:val="15"/>
                <w:szCs w:val="15"/>
                <w:color w:val="auto"/>
                <w:w w:val="96"/>
              </w:rPr>
              <w:t>New York, New York</w:t>
            </w: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10005</w:t>
            </w:r>
          </w:p>
        </w:tc>
      </w:tr>
    </w:tbl>
    <w:p>
      <w:pPr>
        <w:spacing w:after="0" w:line="166" w:lineRule="exact"/>
        <w:rPr>
          <w:sz w:val="20"/>
          <w:szCs w:val="20"/>
          <w:color w:val="auto"/>
        </w:rPr>
      </w:pPr>
    </w:p>
    <w:p>
      <w:pPr>
        <w:ind w:left="880" w:hanging="433"/>
        <w:spacing w:after="0"/>
        <w:tabs>
          <w:tab w:leader="none" w:pos="880" w:val="left"/>
        </w:tabs>
        <w:numPr>
          <w:ilvl w:val="1"/>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it is authorized to exercise corporate trust powers.</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Yes.</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Affiliations with Obligor.</w:t>
      </w:r>
    </w:p>
    <w:p>
      <w:pPr>
        <w:spacing w:after="0" w:line="172" w:lineRule="exact"/>
        <w:rPr>
          <w:rFonts w:ascii="Courier New" w:cs="Courier New" w:eastAsia="Courier New" w:hAnsi="Courier New"/>
          <w:sz w:val="15"/>
          <w:szCs w:val="15"/>
          <w:color w:val="auto"/>
        </w:rPr>
      </w:pPr>
    </w:p>
    <w:p>
      <w:pPr>
        <w:ind w:left="440" w:right="323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If the obligor is an affiliate of the trustee, describe each such affiliation.</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None.</w:t>
      </w:r>
    </w:p>
    <w:p>
      <w:pPr>
        <w:spacing w:after="0" w:line="166" w:lineRule="exact"/>
        <w:rPr>
          <w:sz w:val="20"/>
          <w:szCs w:val="20"/>
          <w:color w:val="auto"/>
        </w:rPr>
      </w:pPr>
    </w:p>
    <w:p>
      <w:pPr>
        <w:ind w:left="440" w:hanging="430"/>
        <w:spacing w:after="0"/>
        <w:tabs>
          <w:tab w:leader="none" w:pos="44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 of Exhibits.</w:t>
      </w:r>
    </w:p>
    <w:p>
      <w:pPr>
        <w:spacing w:after="0" w:line="172" w:lineRule="exact"/>
        <w:rPr>
          <w:rFonts w:ascii="Courier New" w:cs="Courier New" w:eastAsia="Courier New" w:hAnsi="Courier New"/>
          <w:sz w:val="15"/>
          <w:szCs w:val="15"/>
          <w:color w:val="auto"/>
        </w:rPr>
      </w:pPr>
    </w:p>
    <w:p>
      <w:pPr>
        <w:jc w:val="both"/>
        <w:ind w:left="44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identified in parentheses below, on file with the Commission, are incorporated herein by reference as an exhibit hereto, pursuant to Rule 7a-29 under the Trust Indenture Act of 1939 (the "Act") and 17 C.F.R. 229.10(d).</w:t>
      </w:r>
    </w:p>
    <w:p>
      <w:pPr>
        <w:spacing w:after="0" w:line="175" w:lineRule="exact"/>
        <w:rPr>
          <w:rFonts w:ascii="Courier New" w:cs="Courier New" w:eastAsia="Courier New" w:hAnsi="Courier New"/>
          <w:sz w:val="15"/>
          <w:szCs w:val="15"/>
          <w:color w:val="auto"/>
        </w:rPr>
      </w:pPr>
    </w:p>
    <w:p>
      <w:pPr>
        <w:jc w:val="both"/>
        <w:ind w:left="880" w:right="3239" w:hanging="433"/>
        <w:spacing w:after="0" w:line="258" w:lineRule="auto"/>
        <w:tabs>
          <w:tab w:leader="none" w:pos="880" w:val="left"/>
        </w:tabs>
        <w:numPr>
          <w:ilvl w:val="1"/>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copy of the Organization Certificate of The Bank of New York (formerly Irving Trust Company) as now in effect, which contains the authority to commence business and a grant of powers to exercise</w:t>
      </w:r>
    </w:p>
    <w:p>
      <w:pPr>
        <w:sectPr>
          <w:pgSz w:w="11900" w:h="16838" w:orient="portrait"/>
          <w:cols w:equalWidth="0" w:num="1">
            <w:col w:w="10239"/>
          </w:cols>
          <w:pgMar w:left="220" w:top="135" w:right="1440" w:bottom="0" w:gutter="0" w:footer="0" w:header="0"/>
        </w:sectPr>
      </w:pPr>
    </w:p>
    <w:bookmarkStart w:id="116" w:name="page117"/>
    <w:bookmarkEnd w:id="116"/>
    <w:p>
      <w:pPr>
        <w:jc w:val="both"/>
        <w:ind w:left="433" w:right="3239"/>
        <w:spacing w:after="0" w:line="256" w:lineRule="auto"/>
        <w:rPr>
          <w:sz w:val="20"/>
          <w:szCs w:val="20"/>
          <w:color w:val="auto"/>
        </w:rPr>
      </w:pPr>
      <w:r>
        <w:rPr>
          <w:rFonts w:ascii="Courier New" w:cs="Courier New" w:eastAsia="Courier New" w:hAnsi="Courier New"/>
          <w:sz w:val="14"/>
          <w:szCs w:val="14"/>
          <w:color w:val="auto"/>
        </w:rPr>
        <w:t>corporate trust powers. (Exhibit 1 to Amendment No. 1 to Form T-1 filed with Registration Statement No. 33-6215, Exhibits 1a and 1b to Form T-1 filed with Registration Statement No. 33-21672 and Exhibit 1 to Form T-1 filed with Registration Statement No. 33-29637.)</w:t>
      </w:r>
    </w:p>
    <w:p>
      <w:pPr>
        <w:spacing w:after="0" w:line="164" w:lineRule="exact"/>
        <w:rPr>
          <w:sz w:val="20"/>
          <w:szCs w:val="20"/>
          <w:color w:val="auto"/>
        </w:rPr>
      </w:pPr>
    </w:p>
    <w:p>
      <w:pPr>
        <w:ind w:left="433" w:right="3239" w:hanging="433"/>
        <w:spacing w:after="0" w:line="234" w:lineRule="auto"/>
        <w:tabs>
          <w:tab w:leader="none" w:pos="433"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existing By-laws of the Trustee. (Exhibit 4 to Form T-1 filed with Registration Statement No. 33-31019.)</w:t>
      </w:r>
    </w:p>
    <w:p>
      <w:pPr>
        <w:spacing w:after="0" w:line="173" w:lineRule="exact"/>
        <w:rPr>
          <w:sz w:val="20"/>
          <w:szCs w:val="20"/>
          <w:color w:val="auto"/>
        </w:rPr>
      </w:pPr>
    </w:p>
    <w:p>
      <w:pPr>
        <w:jc w:val="both"/>
        <w:ind w:left="433" w:right="3239" w:hanging="433"/>
        <w:spacing w:after="0" w:line="235" w:lineRule="auto"/>
        <w:tabs>
          <w:tab w:leader="none" w:pos="433"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consent of the Trustee required by Section 321(b) of the Act. (Exhibit 6 to Form T-1 filed with Registration Statement No. 33-44051.)</w:t>
      </w:r>
    </w:p>
    <w:p>
      <w:pPr>
        <w:spacing w:after="0" w:line="167" w:lineRule="exact"/>
        <w:rPr>
          <w:sz w:val="20"/>
          <w:szCs w:val="20"/>
          <w:color w:val="auto"/>
        </w:rPr>
      </w:pPr>
    </w:p>
    <w:p>
      <w:pPr>
        <w:ind w:left="2893"/>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792"/>
          </w:cols>
          <w:pgMar w:left="667" w:top="141" w:right="1440" w:bottom="1440" w:gutter="0" w:footer="0" w:header="0"/>
        </w:sectPr>
      </w:pPr>
    </w:p>
    <w:bookmarkStart w:id="117" w:name="page118"/>
    <w:bookmarkEnd w:id="117"/>
    <w:p>
      <w:pPr>
        <w:jc w:val="both"/>
        <w:ind w:left="433" w:right="3239" w:hanging="433"/>
        <w:spacing w:after="0" w:line="235" w:lineRule="auto"/>
        <w:tabs>
          <w:tab w:leader="none" w:pos="433"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latest report of condition of the Trustee published pursuant to law or to the requirements of its supervising or examining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893"/>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792"/>
          </w:cols>
          <w:pgMar w:left="667" w:top="623" w:right="1440" w:bottom="1440" w:gutter="0" w:footer="0" w:header="0"/>
        </w:sectPr>
      </w:pPr>
    </w:p>
    <w:bookmarkStart w:id="118" w:name="page119"/>
    <w:bookmarkEnd w:id="118"/>
    <w:p>
      <w:pPr>
        <w:ind w:left="3160"/>
        <w:spacing w:after="0"/>
        <w:rPr>
          <w:sz w:val="20"/>
          <w:szCs w:val="20"/>
          <w:color w:val="auto"/>
        </w:rPr>
      </w:pPr>
      <w:r>
        <w:rPr>
          <w:rFonts w:ascii="Courier New" w:cs="Courier New" w:eastAsia="Courier New" w:hAnsi="Courier New"/>
          <w:sz w:val="15"/>
          <w:szCs w:val="15"/>
          <w:color w:val="auto"/>
        </w:rPr>
        <w:t>SIGNATURE</w:t>
      </w:r>
    </w:p>
    <w:p>
      <w:pPr>
        <w:spacing w:after="0" w:line="341"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Pursuant to the requirements of the Act, the Trustee, The Bank of New York, a corporation organized and existing under the laws of the State of New York, has duly caused this statement of eligibility to be signed on its behalf by the undersigned, thereunto duly authorized, all in The City of New York, and State of New York, on the 12th day of July, 2002.</w:t>
      </w:r>
    </w:p>
    <w:p>
      <w:pPr>
        <w:spacing w:after="0" w:line="335" w:lineRule="exact"/>
        <w:rPr>
          <w:sz w:val="20"/>
          <w:szCs w:val="20"/>
          <w:color w:val="auto"/>
        </w:rPr>
      </w:pPr>
    </w:p>
    <w:p>
      <w:pPr>
        <w:ind w:left="4640"/>
        <w:spacing w:after="0"/>
        <w:rPr>
          <w:sz w:val="20"/>
          <w:szCs w:val="20"/>
          <w:color w:val="auto"/>
        </w:rPr>
      </w:pPr>
      <w:r>
        <w:rPr>
          <w:rFonts w:ascii="Courier New" w:cs="Courier New" w:eastAsia="Courier New" w:hAnsi="Courier New"/>
          <w:sz w:val="15"/>
          <w:szCs w:val="15"/>
          <w:color w:val="auto"/>
        </w:rPr>
        <w:t>THE BANK OF NEW YORK</w:t>
      </w:r>
    </w:p>
    <w:p>
      <w:pPr>
        <w:spacing w:after="0" w:line="335" w:lineRule="exact"/>
        <w:rPr>
          <w:sz w:val="20"/>
          <w:szCs w:val="20"/>
          <w:color w:val="auto"/>
        </w:rPr>
      </w:pPr>
    </w:p>
    <w:p>
      <w:pPr>
        <w:ind w:left="4640"/>
        <w:spacing w:after="0"/>
        <w:tabs>
          <w:tab w:leader="none" w:pos="5060" w:val="left"/>
        </w:tabs>
        <w:rPr>
          <w:sz w:val="20"/>
          <w:szCs w:val="20"/>
          <w:color w:val="auto"/>
        </w:rPr>
      </w:pPr>
      <w:r>
        <w:rPr>
          <w:rFonts w:ascii="Courier New" w:cs="Courier New" w:eastAsia="Courier New" w:hAnsi="Courier New"/>
          <w:sz w:val="15"/>
          <w:szCs w:val="15"/>
          <w:color w:val="auto"/>
        </w:rPr>
        <w:t>By:</w:t>
        <w:tab/>
        <w:t>/S/ MING SHIANG</w:t>
      </w:r>
    </w:p>
    <w:p>
      <w:pPr>
        <w:ind w:left="4900"/>
        <w:spacing w:after="0" w:line="237" w:lineRule="auto"/>
        <w:rPr>
          <w:sz w:val="20"/>
          <w:szCs w:val="20"/>
          <w:color w:val="auto"/>
        </w:rPr>
      </w:pPr>
      <w:r>
        <w:rPr>
          <w:rFonts w:ascii="Courier New" w:cs="Courier New" w:eastAsia="Courier New" w:hAnsi="Courier New"/>
          <w:sz w:val="15"/>
          <w:szCs w:val="15"/>
          <w:color w:val="auto"/>
        </w:rPr>
        <w:t>-----------------</w:t>
      </w:r>
    </w:p>
    <w:p>
      <w:pPr>
        <w:ind w:left="4640"/>
        <w:spacing w:after="0" w:line="238" w:lineRule="auto"/>
        <w:rPr>
          <w:sz w:val="20"/>
          <w:szCs w:val="20"/>
          <w:color w:val="auto"/>
        </w:rPr>
      </w:pPr>
      <w:r>
        <w:rPr>
          <w:rFonts w:ascii="Courier New" w:cs="Courier New" w:eastAsia="Courier New" w:hAnsi="Courier New"/>
          <w:sz w:val="15"/>
          <w:szCs w:val="15"/>
          <w:color w:val="auto"/>
        </w:rPr>
        <w:t>Name: Ming Shiang</w:t>
      </w:r>
    </w:p>
    <w:p>
      <w:pPr>
        <w:ind w:left="4640"/>
        <w:spacing w:after="0" w:line="237" w:lineRule="auto"/>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17" w:right="1440" w:bottom="1440" w:gutter="0" w:footer="0" w:header="0"/>
        </w:sectPr>
      </w:pPr>
    </w:p>
    <w:bookmarkStart w:id="119" w:name="page120"/>
    <w:bookmarkEnd w:id="119"/>
    <w:p>
      <w:pPr>
        <w:ind w:left="6220"/>
        <w:spacing w:after="0"/>
        <w:rPr>
          <w:sz w:val="20"/>
          <w:szCs w:val="20"/>
          <w:color w:val="auto"/>
        </w:rPr>
      </w:pPr>
      <w:r>
        <w:rPr>
          <w:rFonts w:ascii="Courier New" w:cs="Courier New" w:eastAsia="Courier New" w:hAnsi="Courier New"/>
          <w:sz w:val="15"/>
          <w:szCs w:val="15"/>
          <w:color w:val="auto"/>
        </w:rPr>
        <w:t>EXHIBIT 7</w:t>
      </w:r>
    </w:p>
    <w:p>
      <w:pPr>
        <w:spacing w:after="0" w:line="173" w:lineRule="exact"/>
        <w:rPr>
          <w:sz w:val="20"/>
          <w:szCs w:val="20"/>
          <w:color w:val="auto"/>
        </w:rPr>
      </w:pPr>
    </w:p>
    <w:p>
      <w:pPr>
        <w:ind w:left="180" w:hanging="170"/>
        <w:spacing w:after="0"/>
        <w:tabs>
          <w:tab w:leader="none" w:pos="180"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ind w:left="20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Consolidated Report of Condition of</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BANK OF NEW YORK</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of One Wall Street, New York, N.Y. 10286</w:t>
      </w:r>
    </w:p>
    <w:p>
      <w:pPr>
        <w:jc w:val="center"/>
        <w:ind w:right="3219"/>
        <w:spacing w:after="0" w:line="237" w:lineRule="auto"/>
        <w:rPr>
          <w:sz w:val="20"/>
          <w:szCs w:val="20"/>
          <w:color w:val="auto"/>
        </w:rPr>
      </w:pPr>
      <w:r>
        <w:rPr>
          <w:rFonts w:ascii="Courier New" w:cs="Courier New" w:eastAsia="Courier New" w:hAnsi="Courier New"/>
          <w:sz w:val="15"/>
          <w:szCs w:val="15"/>
          <w:color w:val="auto"/>
        </w:rPr>
        <w:t>And Foreign and Domestic Subsidiaries,</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 member of the Federal Reserve System, at the close of business March 31, 2002, published in accordance with a call made by the Federal Reserve Bank of this District pursuant to the provisions of the Federal Reserve Act.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Dollar Amounts</w:t>
            </w:r>
          </w:p>
        </w:tc>
      </w:tr>
      <w:tr>
        <w:trPr>
          <w:trHeight w:val="168"/>
        </w:trPr>
        <w:tc>
          <w:tcPr>
            <w:tcW w:w="5560" w:type="dxa"/>
            <w:vAlign w:val="bottom"/>
          </w:tcPr>
          <w:p>
            <w:pPr>
              <w:spacing w:after="0"/>
              <w:rPr>
                <w:sz w:val="14"/>
                <w:szCs w:val="14"/>
                <w:color w:val="auto"/>
              </w:rPr>
            </w:pP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 Thousands</w:t>
            </w: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w:t>
            </w:r>
          </w:p>
        </w:tc>
        <w:tc>
          <w:tcPr>
            <w:tcW w:w="1360" w:type="dxa"/>
            <w:vAlign w:val="bottom"/>
          </w:tcPr>
          <w:p>
            <w:pPr>
              <w:spacing w:after="0"/>
              <w:rPr>
                <w:sz w:val="14"/>
                <w:szCs w:val="14"/>
                <w:color w:val="auto"/>
              </w:rPr>
            </w:pP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balances due from depository institutions:</w:t>
            </w:r>
          </w:p>
        </w:tc>
        <w:tc>
          <w:tcPr>
            <w:tcW w:w="1360" w:type="dxa"/>
            <w:vAlign w:val="bottom"/>
          </w:tcPr>
          <w:p>
            <w:pPr>
              <w:spacing w:after="0"/>
              <w:rPr>
                <w:sz w:val="14"/>
                <w:szCs w:val="14"/>
                <w:color w:val="auto"/>
              </w:rPr>
            </w:pPr>
          </w:p>
        </w:tc>
      </w:tr>
      <w:tr>
        <w:trPr>
          <w:trHeight w:val="168"/>
        </w:trPr>
        <w:tc>
          <w:tcPr>
            <w:tcW w:w="5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Noninterest-bearing balances and currency and coin.......</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$3,765,462</w:t>
            </w:r>
          </w:p>
        </w:tc>
      </w:tr>
      <w:tr>
        <w:trPr>
          <w:trHeight w:val="168"/>
        </w:trPr>
        <w:tc>
          <w:tcPr>
            <w:tcW w:w="5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Interest-bearing balances................................</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3,835,061</w:t>
            </w: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w:t>
            </w:r>
          </w:p>
        </w:tc>
        <w:tc>
          <w:tcPr>
            <w:tcW w:w="1360" w:type="dxa"/>
            <w:vAlign w:val="bottom"/>
          </w:tcPr>
          <w:p>
            <w:pPr>
              <w:spacing w:after="0"/>
              <w:rPr>
                <w:sz w:val="14"/>
                <w:szCs w:val="14"/>
                <w:color w:val="auto"/>
              </w:rPr>
            </w:pPr>
          </w:p>
        </w:tc>
      </w:tr>
      <w:tr>
        <w:trPr>
          <w:trHeight w:val="168"/>
        </w:trPr>
        <w:tc>
          <w:tcPr>
            <w:tcW w:w="5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Held-to-maturity securities..............................</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1,232,736</w:t>
            </w:r>
          </w:p>
        </w:tc>
      </w:tr>
      <w:tr>
        <w:trPr>
          <w:trHeight w:val="168"/>
        </w:trPr>
        <w:tc>
          <w:tcPr>
            <w:tcW w:w="5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Available-for-sale securities............................</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10,522,833</w:t>
            </w: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rPr>
              <w:t>Federal funds sold and Securities purchased under</w:t>
            </w:r>
          </w:p>
        </w:tc>
        <w:tc>
          <w:tcPr>
            <w:tcW w:w="1360" w:type="dxa"/>
            <w:vAlign w:val="bottom"/>
          </w:tcPr>
          <w:p>
            <w:pPr>
              <w:spacing w:after="0"/>
              <w:rPr>
                <w:sz w:val="14"/>
                <w:szCs w:val="14"/>
                <w:color w:val="auto"/>
              </w:rPr>
            </w:pPr>
          </w:p>
        </w:tc>
      </w:tr>
      <w:tr>
        <w:trPr>
          <w:trHeight w:val="168"/>
        </w:trPr>
        <w:tc>
          <w:tcPr>
            <w:tcW w:w="5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agreements to resell........................................</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1,456,635</w:t>
            </w: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rPr>
              <w:t>Loans and lease financing receivables:</w:t>
            </w:r>
          </w:p>
        </w:tc>
        <w:tc>
          <w:tcPr>
            <w:tcW w:w="1360" w:type="dxa"/>
            <w:vAlign w:val="bottom"/>
          </w:tcPr>
          <w:p>
            <w:pPr>
              <w:spacing w:after="0"/>
              <w:rPr>
                <w:sz w:val="14"/>
                <w:szCs w:val="14"/>
                <w:color w:val="auto"/>
              </w:rPr>
            </w:pPr>
          </w:p>
        </w:tc>
      </w:tr>
      <w:tr>
        <w:trPr>
          <w:trHeight w:val="168"/>
        </w:trPr>
        <w:tc>
          <w:tcPr>
            <w:tcW w:w="5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Loans and leases held for sale...........................</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801,505</w:t>
            </w:r>
          </w:p>
        </w:tc>
      </w:tr>
      <w:tr>
        <w:trPr>
          <w:trHeight w:val="168"/>
        </w:trPr>
        <w:tc>
          <w:tcPr>
            <w:tcW w:w="5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Loans and leases, net of unearned income.................</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46,206,726</w:t>
            </w:r>
          </w:p>
        </w:tc>
      </w:tr>
      <w:tr>
        <w:trPr>
          <w:trHeight w:val="168"/>
        </w:trPr>
        <w:tc>
          <w:tcPr>
            <w:tcW w:w="5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LESS: Allowance for loan and lease losses................</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607,115</w:t>
            </w:r>
          </w:p>
        </w:tc>
      </w:tr>
      <w:tr>
        <w:trPr>
          <w:trHeight w:val="168"/>
        </w:trPr>
        <w:tc>
          <w:tcPr>
            <w:tcW w:w="5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Loans and leases, net of unearned income and allowance...</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35,249,695</w:t>
            </w:r>
          </w:p>
        </w:tc>
      </w:tr>
      <w:tr>
        <w:trPr>
          <w:trHeight w:val="168"/>
        </w:trPr>
        <w:tc>
          <w:tcPr>
            <w:tcW w:w="5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Trading Assets................................................</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8,132,696</w:t>
            </w:r>
          </w:p>
        </w:tc>
      </w:tr>
      <w:tr>
        <w:trPr>
          <w:trHeight w:val="168"/>
        </w:trPr>
        <w:tc>
          <w:tcPr>
            <w:tcW w:w="5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Premises and fixed assets (including capitalized leases)......</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898,980</w:t>
            </w:r>
          </w:p>
        </w:tc>
      </w:tr>
      <w:tr>
        <w:trPr>
          <w:trHeight w:val="168"/>
        </w:trPr>
        <w:tc>
          <w:tcPr>
            <w:tcW w:w="5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Other real estate owned.......................................</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911</w:t>
            </w: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Investments in unconsolidated subsidiaries and associated</w:t>
            </w:r>
          </w:p>
        </w:tc>
        <w:tc>
          <w:tcPr>
            <w:tcW w:w="1360" w:type="dxa"/>
            <w:vAlign w:val="bottom"/>
          </w:tcPr>
          <w:p>
            <w:pPr>
              <w:spacing w:after="0"/>
              <w:rPr>
                <w:sz w:val="14"/>
                <w:szCs w:val="14"/>
                <w:color w:val="auto"/>
              </w:rPr>
            </w:pPr>
          </w:p>
        </w:tc>
      </w:tr>
      <w:tr>
        <w:trPr>
          <w:trHeight w:val="168"/>
        </w:trPr>
        <w:tc>
          <w:tcPr>
            <w:tcW w:w="5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companies...................................................</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220,609</w:t>
            </w:r>
          </w:p>
        </w:tc>
      </w:tr>
      <w:tr>
        <w:trPr>
          <w:trHeight w:val="168"/>
        </w:trPr>
        <w:tc>
          <w:tcPr>
            <w:tcW w:w="5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Customers' liability to this bank on acceptances outstanding..</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574,020</w:t>
            </w: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rPr>
              <w:t>Intangible assets:</w:t>
            </w:r>
          </w:p>
        </w:tc>
        <w:tc>
          <w:tcPr>
            <w:tcW w:w="1360" w:type="dxa"/>
            <w:vAlign w:val="bottom"/>
          </w:tcPr>
          <w:p>
            <w:pPr>
              <w:spacing w:after="0"/>
              <w:rPr>
                <w:sz w:val="14"/>
                <w:szCs w:val="14"/>
                <w:color w:val="auto"/>
              </w:rPr>
            </w:pPr>
          </w:p>
        </w:tc>
      </w:tr>
      <w:tr>
        <w:trPr>
          <w:trHeight w:val="168"/>
        </w:trPr>
        <w:tc>
          <w:tcPr>
            <w:tcW w:w="5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Goodwill.................................................</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1,714,761</w:t>
            </w:r>
          </w:p>
        </w:tc>
      </w:tr>
      <w:tr>
        <w:trPr>
          <w:trHeight w:val="168"/>
        </w:trPr>
        <w:tc>
          <w:tcPr>
            <w:tcW w:w="5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Other intangible assets..................................</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49,213</w:t>
            </w:r>
          </w:p>
        </w:tc>
      </w:tr>
      <w:tr>
        <w:trPr>
          <w:trHeight w:val="168"/>
        </w:trPr>
        <w:tc>
          <w:tcPr>
            <w:tcW w:w="5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Other assets..................................................</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5,001,308</w:t>
            </w:r>
          </w:p>
        </w:tc>
      </w:tr>
      <w:tr>
        <w:trPr>
          <w:trHeight w:val="168"/>
        </w:trPr>
        <w:tc>
          <w:tcPr>
            <w:tcW w:w="556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Total assets..................................................</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$73,954,859</w:t>
            </w:r>
          </w:p>
        </w:tc>
      </w:tr>
      <w:tr>
        <w:trPr>
          <w:trHeight w:val="168"/>
        </w:trPr>
        <w:tc>
          <w:tcPr>
            <w:tcW w:w="556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39"/>
          </w:cols>
          <w:pgMar w:left="220" w:top="617" w:right="1440" w:bottom="1440" w:gutter="0" w:footer="0" w:header="0"/>
        </w:sectPr>
      </w:pPr>
    </w:p>
    <w:bookmarkStart w:id="120" w:name="page121"/>
    <w:bookmarkEnd w:id="1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0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1240" w:type="dxa"/>
            <w:vAlign w:val="bottom"/>
          </w:tcPr>
          <w:p>
            <w:pPr>
              <w:spacing w:after="0"/>
              <w:rPr>
                <w:sz w:val="14"/>
                <w:szCs w:val="14"/>
                <w:color w:val="auto"/>
              </w:rPr>
            </w:pP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Deposits:</w:t>
            </w:r>
          </w:p>
        </w:tc>
        <w:tc>
          <w:tcPr>
            <w:tcW w:w="1240" w:type="dxa"/>
            <w:vAlign w:val="bottom"/>
          </w:tcPr>
          <w:p>
            <w:pPr>
              <w:spacing w:after="0"/>
              <w:rPr>
                <w:sz w:val="14"/>
                <w:szCs w:val="14"/>
                <w:color w:val="auto"/>
              </w:rPr>
            </w:pPr>
          </w:p>
        </w:tc>
      </w:tr>
      <w:tr>
        <w:trPr>
          <w:trHeight w:val="168"/>
        </w:trPr>
        <w:tc>
          <w:tcPr>
            <w:tcW w:w="5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In domestic offices......................................</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$29,175,631</w:t>
            </w:r>
          </w:p>
        </w:tc>
      </w:tr>
      <w:tr>
        <w:trPr>
          <w:trHeight w:val="168"/>
        </w:trPr>
        <w:tc>
          <w:tcPr>
            <w:tcW w:w="5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Noninterest-bearing......................................</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11,070,277</w:t>
            </w:r>
          </w:p>
        </w:tc>
      </w:tr>
      <w:tr>
        <w:trPr>
          <w:trHeight w:val="168"/>
        </w:trPr>
        <w:tc>
          <w:tcPr>
            <w:tcW w:w="5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Interest-bearing.........................................</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18,105,354</w:t>
            </w:r>
          </w:p>
        </w:tc>
      </w:tr>
      <w:tr>
        <w:trPr>
          <w:trHeight w:val="168"/>
        </w:trPr>
        <w:tc>
          <w:tcPr>
            <w:tcW w:w="5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 foreign offices, Edge and Agreement subsidiaries,</w:t>
            </w:r>
          </w:p>
        </w:tc>
        <w:tc>
          <w:tcPr>
            <w:tcW w:w="1240" w:type="dxa"/>
            <w:vAlign w:val="bottom"/>
          </w:tcPr>
          <w:p>
            <w:pPr>
              <w:spacing w:after="0"/>
              <w:rPr>
                <w:sz w:val="14"/>
                <w:szCs w:val="14"/>
                <w:color w:val="auto"/>
              </w:rPr>
            </w:pPr>
          </w:p>
        </w:tc>
      </w:tr>
      <w:tr>
        <w:trPr>
          <w:trHeight w:val="168"/>
        </w:trPr>
        <w:tc>
          <w:tcPr>
            <w:tcW w:w="5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and IBFs...............................................</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24,596,600</w:t>
            </w:r>
          </w:p>
        </w:tc>
      </w:tr>
      <w:tr>
        <w:trPr>
          <w:trHeight w:val="168"/>
        </w:trPr>
        <w:tc>
          <w:tcPr>
            <w:tcW w:w="5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Noninterest-bearing......................................</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321,299</w:t>
            </w:r>
          </w:p>
        </w:tc>
      </w:tr>
      <w:tr>
        <w:trPr>
          <w:trHeight w:val="168"/>
        </w:trPr>
        <w:tc>
          <w:tcPr>
            <w:tcW w:w="5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Interest-bearing.........................................</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24,275,301</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Federal funds purchased and securities sold under agreements</w:t>
            </w:r>
          </w:p>
        </w:tc>
        <w:tc>
          <w:tcPr>
            <w:tcW w:w="1240" w:type="dxa"/>
            <w:vAlign w:val="bottom"/>
          </w:tcPr>
          <w:p>
            <w:pPr>
              <w:spacing w:after="0"/>
              <w:rPr>
                <w:sz w:val="14"/>
                <w:szCs w:val="14"/>
                <w:color w:val="auto"/>
              </w:rPr>
            </w:pPr>
          </w:p>
        </w:tc>
      </w:tr>
      <w:tr>
        <w:trPr>
          <w:trHeight w:val="168"/>
        </w:trPr>
        <w:tc>
          <w:tcPr>
            <w:tcW w:w="5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to repurchase...............................................</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1,922,197</w:t>
            </w:r>
          </w:p>
        </w:tc>
      </w:tr>
      <w:tr>
        <w:trPr>
          <w:trHeight w:val="168"/>
        </w:trPr>
        <w:tc>
          <w:tcPr>
            <w:tcW w:w="5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Trading liabilities...........................................</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1,970,040</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borrowed money:</w:t>
            </w:r>
          </w:p>
        </w:tc>
        <w:tc>
          <w:tcPr>
            <w:tcW w:w="1240" w:type="dxa"/>
            <w:vAlign w:val="bottom"/>
          </w:tcPr>
          <w:p>
            <w:pPr>
              <w:spacing w:after="0"/>
              <w:rPr>
                <w:sz w:val="14"/>
                <w:szCs w:val="14"/>
                <w:color w:val="auto"/>
              </w:rPr>
            </w:pPr>
          </w:p>
        </w:tc>
      </w:tr>
      <w:tr>
        <w:trPr>
          <w:trHeight w:val="168"/>
        </w:trPr>
        <w:tc>
          <w:tcPr>
            <w:tcW w:w="5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(includes mortgage indebtedness and obligations under</w:t>
            </w:r>
          </w:p>
        </w:tc>
        <w:tc>
          <w:tcPr>
            <w:tcW w:w="1240" w:type="dxa"/>
            <w:vAlign w:val="bottom"/>
          </w:tcPr>
          <w:p>
            <w:pPr>
              <w:spacing w:after="0"/>
              <w:rPr>
                <w:sz w:val="14"/>
                <w:szCs w:val="14"/>
                <w:color w:val="auto"/>
              </w:rPr>
            </w:pPr>
          </w:p>
        </w:tc>
      </w:tr>
      <w:tr>
        <w:trPr>
          <w:trHeight w:val="168"/>
        </w:trPr>
        <w:tc>
          <w:tcPr>
            <w:tcW w:w="5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capitalized leases)....................................</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1,577,518</w:t>
            </w:r>
          </w:p>
        </w:tc>
      </w:tr>
      <w:tr>
        <w:trPr>
          <w:trHeight w:val="168"/>
        </w:trPr>
        <w:tc>
          <w:tcPr>
            <w:tcW w:w="5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Bank's liability on acceptances executed and outstanding......</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575,362</w:t>
            </w:r>
          </w:p>
        </w:tc>
      </w:tr>
      <w:tr>
        <w:trPr>
          <w:trHeight w:val="168"/>
        </w:trPr>
        <w:tc>
          <w:tcPr>
            <w:tcW w:w="5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Subordinated notes and debentures.............................</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1,940,000</w:t>
            </w:r>
          </w:p>
        </w:tc>
      </w:tr>
      <w:tr>
        <w:trPr>
          <w:trHeight w:val="168"/>
        </w:trPr>
        <w:tc>
          <w:tcPr>
            <w:tcW w:w="5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Other liabilities.............................................</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5,317,831</w:t>
            </w:r>
          </w:p>
        </w:tc>
      </w:tr>
      <w:tr>
        <w:trPr>
          <w:trHeight w:val="168"/>
        </w:trPr>
        <w:tc>
          <w:tcPr>
            <w:tcW w:w="5600" w:type="dxa"/>
            <w:vAlign w:val="bottom"/>
          </w:tcPr>
          <w:p>
            <w:pPr>
              <w:spacing w:after="0"/>
              <w:rPr>
                <w:sz w:val="14"/>
                <w:szCs w:val="14"/>
                <w:color w:val="auto"/>
              </w:rPr>
            </w:pP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Total liabilities.............................................</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$67,075,179</w:t>
            </w:r>
          </w:p>
        </w:tc>
      </w:tr>
      <w:tr>
        <w:trPr>
          <w:trHeight w:val="168"/>
        </w:trPr>
        <w:tc>
          <w:tcPr>
            <w:tcW w:w="5600" w:type="dxa"/>
            <w:vAlign w:val="bottom"/>
          </w:tcPr>
          <w:p>
            <w:pPr>
              <w:spacing w:after="0"/>
              <w:rPr>
                <w:sz w:val="14"/>
                <w:szCs w:val="14"/>
                <w:color w:val="auto"/>
              </w:rPr>
            </w:pP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CAPITAL</w:t>
            </w:r>
          </w:p>
        </w:tc>
        <w:tc>
          <w:tcPr>
            <w:tcW w:w="1240" w:type="dxa"/>
            <w:vAlign w:val="bottom"/>
          </w:tcPr>
          <w:p>
            <w:pPr>
              <w:spacing w:after="0"/>
              <w:rPr>
                <w:sz w:val="14"/>
                <w:szCs w:val="14"/>
                <w:color w:val="auto"/>
              </w:rPr>
            </w:pPr>
          </w:p>
        </w:tc>
      </w:tr>
      <w:tr>
        <w:trPr>
          <w:trHeight w:val="168"/>
        </w:trPr>
        <w:tc>
          <w:tcPr>
            <w:tcW w:w="5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Common stock..................................................</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1,135,284</w:t>
            </w:r>
          </w:p>
        </w:tc>
      </w:tr>
      <w:tr>
        <w:trPr>
          <w:trHeight w:val="168"/>
        </w:trPr>
        <w:tc>
          <w:tcPr>
            <w:tcW w:w="5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Surplus.......................................................</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1,055,508</w:t>
            </w:r>
          </w:p>
        </w:tc>
      </w:tr>
      <w:tr>
        <w:trPr>
          <w:trHeight w:val="168"/>
        </w:trPr>
        <w:tc>
          <w:tcPr>
            <w:tcW w:w="5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Retained earnings.............................................</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4,227,287</w:t>
            </w:r>
          </w:p>
        </w:tc>
      </w:tr>
      <w:tr>
        <w:trPr>
          <w:trHeight w:val="168"/>
        </w:trPr>
        <w:tc>
          <w:tcPr>
            <w:tcW w:w="5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Accumulated other comprehensive income........................</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(38,602)</w:t>
            </w:r>
          </w:p>
        </w:tc>
      </w:tr>
      <w:tr>
        <w:trPr>
          <w:trHeight w:val="168"/>
        </w:trPr>
        <w:tc>
          <w:tcPr>
            <w:tcW w:w="5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Other equity capital components...............................</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5600" w:type="dxa"/>
            <w:vAlign w:val="bottom"/>
          </w:tcPr>
          <w:p>
            <w:pPr>
              <w:spacing w:after="0"/>
              <w:rPr>
                <w:sz w:val="14"/>
                <w:szCs w:val="14"/>
                <w:color w:val="auto"/>
              </w:rPr>
            </w:pP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Total equity capital..........................................</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6,379,477</w:t>
            </w:r>
          </w:p>
        </w:tc>
      </w:tr>
      <w:tr>
        <w:trPr>
          <w:trHeight w:val="168"/>
        </w:trPr>
        <w:tc>
          <w:tcPr>
            <w:tcW w:w="5600" w:type="dxa"/>
            <w:vAlign w:val="bottom"/>
          </w:tcPr>
          <w:p>
            <w:pPr>
              <w:spacing w:after="0"/>
              <w:rPr>
                <w:sz w:val="14"/>
                <w:szCs w:val="14"/>
                <w:color w:val="auto"/>
              </w:rPr>
            </w:pP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Total liabilities and equity capital..........................</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$73,954,859</w:t>
            </w:r>
          </w:p>
        </w:tc>
      </w:tr>
      <w:tr>
        <w:trPr>
          <w:trHeight w:val="168"/>
        </w:trPr>
        <w:tc>
          <w:tcPr>
            <w:tcW w:w="5600" w:type="dxa"/>
            <w:vAlign w:val="bottom"/>
          </w:tcPr>
          <w:p>
            <w:pPr>
              <w:spacing w:after="0"/>
              <w:rPr>
                <w:sz w:val="14"/>
                <w:szCs w:val="14"/>
                <w:color w:val="auto"/>
              </w:rPr>
            </w:pP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right="3239" w:firstLine="437"/>
        <w:spacing w:after="0"/>
        <w:rPr>
          <w:sz w:val="20"/>
          <w:szCs w:val="20"/>
          <w:color w:val="auto"/>
        </w:rPr>
      </w:pPr>
      <w:r>
        <w:rPr>
          <w:rFonts w:ascii="Courier New" w:cs="Courier New" w:eastAsia="Courier New" w:hAnsi="Courier New"/>
          <w:sz w:val="15"/>
          <w:szCs w:val="15"/>
          <w:color w:val="auto"/>
        </w:rPr>
        <w:t>I, Thomas J. Mastro, Senior Vice President and Comptroller of the above-named bank do hereby declare that this Report of Condition has been prepared in conformance with the instructions issued by the Board of Governors of the Federal Reserve System and is true to the best of my knowledge and belief.</w:t>
      </w: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Thomas J. Mastro,</w:t>
      </w:r>
    </w:p>
    <w:p>
      <w:pPr>
        <w:spacing w:after="0" w:line="237" w:lineRule="auto"/>
        <w:rPr>
          <w:sz w:val="20"/>
          <w:szCs w:val="20"/>
          <w:color w:val="auto"/>
        </w:rPr>
      </w:pPr>
      <w:r>
        <w:rPr>
          <w:rFonts w:ascii="Courier New" w:cs="Courier New" w:eastAsia="Courier New" w:hAnsi="Courier New"/>
          <w:sz w:val="15"/>
          <w:szCs w:val="15"/>
          <w:color w:val="auto"/>
        </w:rPr>
        <w:t>Senior Vice President and Comptroller</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We, the undersigned directors, attest to the correctness of this Report of Condition and declare that it has been examined by us and to the best of our knowledge and belief has been prepared in conformance with the instructions issued by the Board of Governors of the Federal Reserve System and is true and correct.</w:t>
      </w:r>
    </w:p>
    <w:p>
      <w:pPr>
        <w:spacing w:after="0" w:line="167"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_</w:t>
      </w:r>
    </w:p>
    <w:p>
      <w:pPr>
        <w:sectPr>
          <w:pgSz w:w="11900" w:h="16838" w:orient="portrait"/>
          <w:cols w:equalWidth="0" w:num="1">
            <w:col w:w="10239"/>
          </w:cols>
          <w:pgMar w:left="220" w:top="617" w:right="1440" w:bottom="1440" w:gutter="0" w:footer="0" w:header="0"/>
        </w:sectPr>
      </w:pPr>
    </w:p>
    <w:p>
      <w:pPr>
        <w:spacing w:after="0" w:line="5" w:lineRule="exact"/>
        <w:rPr>
          <w:sz w:val="20"/>
          <w:szCs w:val="20"/>
          <w:color w:val="auto"/>
        </w:rPr>
      </w:pPr>
    </w:p>
    <w:p>
      <w:pPr>
        <w:spacing w:after="0" w:line="258" w:lineRule="auto"/>
        <w:rPr>
          <w:sz w:val="20"/>
          <w:szCs w:val="20"/>
          <w:color w:val="auto"/>
        </w:rPr>
      </w:pPr>
      <w:r>
        <w:rPr>
          <w:rFonts w:ascii="Courier New" w:cs="Courier New" w:eastAsia="Courier New" w:hAnsi="Courier New"/>
          <w:sz w:val="14"/>
          <w:szCs w:val="14"/>
          <w:color w:val="auto"/>
        </w:rPr>
        <w:t>Thomas A. Renyi Gerald L. Hassell Alan R. Griffith</w:t>
      </w:r>
    </w:p>
    <w:p>
      <w:pPr>
        <w:spacing w:after="0" w:line="20" w:lineRule="exact"/>
        <w:rPr>
          <w:sz w:val="20"/>
          <w:szCs w:val="20"/>
          <w:color w:val="auto"/>
        </w:rPr>
      </w:pPr>
      <w:r>
        <w:rPr>
          <w:sz w:val="20"/>
          <w:szCs w:val="20"/>
          <w:color w:val="auto"/>
        </w:rPr>
        <w:br w:type="column"/>
      </w:r>
    </w:p>
    <w:p>
      <w:pPr>
        <w:jc w:val="right"/>
        <w:spacing w:after="0" w:line="237" w:lineRule="auto"/>
        <w:rPr>
          <w:sz w:val="20"/>
          <w:szCs w:val="20"/>
          <w:color w:val="auto"/>
        </w:rPr>
      </w:pPr>
      <w:r>
        <w:rPr>
          <w:rFonts w:ascii="Courier New" w:cs="Courier New" w:eastAsia="Courier New" w:hAnsi="Courier New"/>
          <w:sz w:val="15"/>
          <w:szCs w:val="15"/>
          <w:color w:val="auto"/>
        </w:rPr>
        <w:t>|</w:t>
      </w:r>
    </w:p>
    <w:p>
      <w:pPr>
        <w:jc w:val="right"/>
        <w:spacing w:after="0" w:line="238" w:lineRule="auto"/>
        <w:rPr>
          <w:sz w:val="20"/>
          <w:szCs w:val="20"/>
          <w:color w:val="auto"/>
        </w:rPr>
      </w:pPr>
      <w:r>
        <w:rPr>
          <w:rFonts w:ascii="Courier New" w:cs="Courier New" w:eastAsia="Courier New" w:hAnsi="Courier New"/>
          <w:sz w:val="15"/>
          <w:szCs w:val="15"/>
          <w:color w:val="auto"/>
        </w:rPr>
        <w:t>|</w:t>
      </w:r>
    </w:p>
    <w:p>
      <w:pPr>
        <w:jc w:val="right"/>
        <w:spacing w:after="0" w:line="237" w:lineRule="auto"/>
        <w:rPr>
          <w:sz w:val="20"/>
          <w:szCs w:val="20"/>
          <w:color w:val="auto"/>
        </w:rPr>
      </w:pPr>
      <w:r>
        <w:rPr>
          <w:rFonts w:ascii="Courier New" w:cs="Courier New" w:eastAsia="Courier New" w:hAnsi="Courier New"/>
          <w:sz w:val="15"/>
          <w:szCs w:val="15"/>
          <w:color w:val="auto"/>
        </w:rPr>
        <w:t>_|</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Directors</w:t>
      </w:r>
    </w:p>
    <w:p>
      <w:pPr>
        <w:spacing w:after="0" w:line="384" w:lineRule="exact"/>
        <w:rPr>
          <w:sz w:val="20"/>
          <w:szCs w:val="20"/>
          <w:color w:val="auto"/>
        </w:rPr>
      </w:pPr>
    </w:p>
    <w:p>
      <w:pPr>
        <w:sectPr>
          <w:pgSz w:w="11900" w:h="16838" w:orient="portrait"/>
          <w:cols w:equalWidth="0" w:num="3">
            <w:col w:w="1500" w:space="520"/>
            <w:col w:w="180" w:space="520"/>
            <w:col w:w="7519"/>
          </w:cols>
          <w:pgMar w:left="220" w:top="617" w:right="1440" w:bottom="1440" w:gutter="0" w:footer="0" w:header="0"/>
          <w:type w:val="continuous"/>
        </w:sectPr>
      </w:pPr>
    </w:p>
    <w:p>
      <w:pPr>
        <w:spacing w:after="0" w:line="1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sectPr>
      <w:pgSz w:w="11900" w:h="16838" w:orient="portrait"/>
      <w:cols w:equalWidth="0" w:num="1">
        <w:col w:w="10239"/>
      </w:cols>
      <w:pgMar w:left="220" w:top="6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5BA861"/>
    <w:multiLevelType w:val="hybridMultilevel"/>
    <w:lvl w:ilvl="0">
      <w:lvlJc w:val="left"/>
      <w:lvlText w:val="-"/>
      <w:numFmt w:val="bullet"/>
      <w:start w:val="1"/>
    </w:lvl>
  </w:abstractNum>
  <w:abstractNum w:abstractNumId="1">
    <w:nsid w:val="47398C89"/>
    <w:multiLevelType w:val="hybridMultilevel"/>
    <w:lvl w:ilvl="0">
      <w:lvlJc w:val="left"/>
      <w:lvlText w:val="-"/>
      <w:numFmt w:val="bullet"/>
      <w:start w:val="1"/>
    </w:lvl>
  </w:abstractNum>
  <w:abstractNum w:abstractNumId="2">
    <w:nsid w:val="354FE9F9"/>
    <w:multiLevelType w:val="hybridMultilevel"/>
    <w:lvl w:ilvl="0">
      <w:lvlJc w:val="left"/>
      <w:lvlText w:val="(%1)"/>
      <w:numFmt w:val="decimal"/>
      <w:start w:val="1"/>
    </w:lvl>
  </w:abstractNum>
  <w:abstractNum w:abstractNumId="3">
    <w:nsid w:val="15B5AF5C"/>
    <w:multiLevelType w:val="hybridMultilevel"/>
    <w:lvl w:ilvl="0">
      <w:lvlJc w:val="left"/>
      <w:lvlText w:val="o"/>
      <w:numFmt w:val="bullet"/>
      <w:start w:val="1"/>
    </w:lvl>
  </w:abstractNum>
  <w:abstractNum w:abstractNumId="4">
    <w:nsid w:val="741226BB"/>
    <w:multiLevelType w:val="hybridMultilevel"/>
    <w:lvl w:ilvl="0">
      <w:lvlJc w:val="left"/>
      <w:lvlText w:val="o"/>
      <w:numFmt w:val="bullet"/>
      <w:start w:val="1"/>
    </w:lvl>
  </w:abstractNum>
  <w:abstractNum w:abstractNumId="5">
    <w:nsid w:val="D34B6A8"/>
    <w:multiLevelType w:val="hybridMultilevel"/>
    <w:lvl w:ilvl="0">
      <w:lvlJc w:val="left"/>
      <w:lvlText w:val="%1."/>
      <w:numFmt w:val="decimal"/>
      <w:start w:val="1"/>
    </w:lvl>
  </w:abstractNum>
  <w:abstractNum w:abstractNumId="6">
    <w:nsid w:val="10233C99"/>
    <w:multiLevelType w:val="hybridMultilevel"/>
    <w:lvl w:ilvl="0">
      <w:lvlJc w:val="left"/>
      <w:lvlText w:val="%1."/>
      <w:numFmt w:val="decimal"/>
      <w:start w:val="5"/>
    </w:lvl>
  </w:abstractNum>
  <w:abstractNum w:abstractNumId="7">
    <w:nsid w:val="3F6AB60F"/>
    <w:multiLevelType w:val="hybridMultilevel"/>
    <w:lvl w:ilvl="0">
      <w:lvlJc w:val="left"/>
      <w:lvlText w:val="o"/>
      <w:numFmt w:val="bullet"/>
      <w:start w:val="1"/>
    </w:lvl>
  </w:abstractNum>
  <w:abstractNum w:abstractNumId="8">
    <w:nsid w:val="61574095"/>
    <w:multiLevelType w:val="hybridMultilevel"/>
    <w:lvl w:ilvl="0">
      <w:lvlJc w:val="left"/>
      <w:lvlText w:val="(%1)"/>
      <w:numFmt w:val="upperLetter"/>
      <w:start w:val="1"/>
    </w:lvl>
  </w:abstractNum>
  <w:abstractNum w:abstractNumId="9">
    <w:nsid w:val="7E0C57B1"/>
    <w:multiLevelType w:val="hybridMultilevel"/>
    <w:lvl w:ilvl="0">
      <w:lvlJc w:val="left"/>
      <w:lvlText w:val="%1"/>
      <w:numFmt w:val="upperLetter"/>
      <w:start w:val="1"/>
    </w:lvl>
    <w:lvl w:ilvl="1">
      <w:lvlJc w:val="left"/>
      <w:lvlText w:val="(%2)"/>
      <w:numFmt w:val="lowerRoman"/>
      <w:start w:val="1"/>
    </w:lvl>
  </w:abstractNum>
  <w:abstractNum w:abstractNumId="10">
    <w:nsid w:val="77AE35EB"/>
    <w:multiLevelType w:val="hybridMultilevel"/>
    <w:lvl w:ilvl="0">
      <w:lvlJc w:val="left"/>
      <w:lvlText w:val="(%1)"/>
      <w:numFmt w:val="upperLetter"/>
      <w:start w:val="3"/>
    </w:lvl>
    <w:lvl w:ilvl="1">
      <w:lvlJc w:val="left"/>
      <w:lvlText w:val="%2"/>
      <w:numFmt w:val="lowerRoman"/>
      <w:start w:val="1"/>
    </w:lvl>
  </w:abstractNum>
  <w:abstractNum w:abstractNumId="11">
    <w:nsid w:val="579BE4F1"/>
    <w:multiLevelType w:val="hybridMultilevel"/>
    <w:lvl w:ilvl="0">
      <w:lvlJc w:val="left"/>
      <w:lvlText w:val="(%1)"/>
      <w:numFmt w:val="upperLetter"/>
      <w:start w:val="10"/>
    </w:lvl>
  </w:abstractNum>
  <w:abstractNum w:abstractNumId="12">
    <w:nsid w:val="310C50B3"/>
    <w:multiLevelType w:val="hybridMultilevel"/>
    <w:lvl w:ilvl="0">
      <w:lvlJc w:val="left"/>
      <w:lvlText w:val="o"/>
      <w:numFmt w:val="bullet"/>
      <w:start w:val="1"/>
    </w:lvl>
  </w:abstractNum>
  <w:abstractNum w:abstractNumId="13">
    <w:nsid w:val="5FF87E05"/>
    <w:multiLevelType w:val="hybridMultilevel"/>
    <w:lvl w:ilvl="0">
      <w:lvlJc w:val="left"/>
      <w:lvlText w:val="o"/>
      <w:numFmt w:val="bullet"/>
      <w:start w:val="1"/>
    </w:lvl>
  </w:abstractNum>
  <w:abstractNum w:abstractNumId="14">
    <w:nsid w:val="2F305DEF"/>
    <w:multiLevelType w:val="hybridMultilevel"/>
    <w:lvl w:ilvl="0">
      <w:lvlJc w:val="left"/>
      <w:lvlText w:val="o"/>
      <w:numFmt w:val="bullet"/>
      <w:start w:val="1"/>
    </w:lvl>
  </w:abstractNum>
  <w:abstractNum w:abstractNumId="15">
    <w:nsid w:val="25A70BF7"/>
    <w:multiLevelType w:val="hybridMultilevel"/>
    <w:lvl w:ilvl="0">
      <w:lvlJc w:val="left"/>
      <w:lvlText w:val="o"/>
      <w:numFmt w:val="bullet"/>
      <w:start w:val="1"/>
    </w:lvl>
  </w:abstractNum>
  <w:abstractNum w:abstractNumId="16">
    <w:nsid w:val="1DBABF00"/>
    <w:multiLevelType w:val="hybridMultilevel"/>
    <w:lvl w:ilvl="0">
      <w:lvlJc w:val="left"/>
      <w:lvlText w:val="o"/>
      <w:numFmt w:val="bullet"/>
      <w:start w:val="1"/>
    </w:lvl>
  </w:abstractNum>
  <w:abstractNum w:abstractNumId="17">
    <w:nsid w:val="4AD084E9"/>
    <w:multiLevelType w:val="hybridMultilevel"/>
    <w:lvl w:ilvl="0">
      <w:lvlJc w:val="left"/>
      <w:lvlText w:val="o"/>
      <w:numFmt w:val="bullet"/>
      <w:start w:val="1"/>
    </w:lvl>
  </w:abstractNum>
  <w:abstractNum w:abstractNumId="18">
    <w:nsid w:val="1F48EAA1"/>
    <w:multiLevelType w:val="hybridMultilevel"/>
    <w:lvl w:ilvl="0">
      <w:lvlJc w:val="left"/>
      <w:lvlText w:val="o"/>
      <w:numFmt w:val="bullet"/>
      <w:start w:val="1"/>
    </w:lvl>
  </w:abstractNum>
  <w:abstractNum w:abstractNumId="19">
    <w:nsid w:val="1381823A"/>
    <w:multiLevelType w:val="hybridMultilevel"/>
    <w:lvl w:ilvl="0">
      <w:lvlJc w:val="left"/>
      <w:lvlText w:val="o"/>
      <w:numFmt w:val="bullet"/>
      <w:start w:val="1"/>
    </w:lvl>
  </w:abstractNum>
  <w:abstractNum w:abstractNumId="20">
    <w:nsid w:val="5DB70AE5"/>
    <w:multiLevelType w:val="hybridMultilevel"/>
    <w:lvl w:ilvl="0">
      <w:lvlJc w:val="left"/>
      <w:lvlText w:val="o"/>
      <w:numFmt w:val="bullet"/>
      <w:start w:val="1"/>
    </w:lvl>
  </w:abstractNum>
  <w:abstractNum w:abstractNumId="21">
    <w:nsid w:val="100F8FCA"/>
    <w:multiLevelType w:val="hybridMultilevel"/>
    <w:lvl w:ilvl="0">
      <w:lvlJc w:val="left"/>
      <w:lvlText w:val="o"/>
      <w:numFmt w:val="bullet"/>
      <w:start w:val="1"/>
    </w:lvl>
  </w:abstractNum>
  <w:abstractNum w:abstractNumId="22">
    <w:nsid w:val="6590700B"/>
    <w:multiLevelType w:val="hybridMultilevel"/>
    <w:lvl w:ilvl="0">
      <w:lvlJc w:val="left"/>
      <w:lvlText w:val="o"/>
      <w:numFmt w:val="bullet"/>
      <w:start w:val="1"/>
    </w:lvl>
  </w:abstractNum>
  <w:abstractNum w:abstractNumId="23">
    <w:nsid w:val="15014ACB"/>
    <w:multiLevelType w:val="hybridMultilevel"/>
    <w:lvl w:ilvl="0">
      <w:lvlJc w:val="left"/>
      <w:lvlText w:val="o"/>
      <w:numFmt w:val="bullet"/>
      <w:start w:val="1"/>
    </w:lvl>
  </w:abstractNum>
  <w:abstractNum w:abstractNumId="24">
    <w:nsid w:val="5F5E7FD0"/>
    <w:multiLevelType w:val="hybridMultilevel"/>
    <w:lvl w:ilvl="0">
      <w:lvlJc w:val="left"/>
      <w:lvlText w:val="o"/>
      <w:numFmt w:val="bullet"/>
      <w:start w:val="1"/>
    </w:lvl>
  </w:abstractNum>
  <w:abstractNum w:abstractNumId="25">
    <w:nsid w:val="98A3148"/>
    <w:multiLevelType w:val="hybridMultilevel"/>
    <w:lvl w:ilvl="0">
      <w:lvlJc w:val="left"/>
      <w:lvlText w:val="o"/>
      <w:numFmt w:val="bullet"/>
      <w:start w:val="1"/>
    </w:lvl>
  </w:abstractNum>
  <w:abstractNum w:abstractNumId="26">
    <w:nsid w:val="799D0247"/>
    <w:multiLevelType w:val="hybridMultilevel"/>
    <w:lvl w:ilvl="0">
      <w:lvlJc w:val="left"/>
      <w:lvlText w:val="o"/>
      <w:numFmt w:val="bullet"/>
      <w:start w:val="1"/>
    </w:lvl>
  </w:abstractNum>
  <w:abstractNum w:abstractNumId="27">
    <w:nsid w:val="6B94764"/>
    <w:multiLevelType w:val="hybridMultilevel"/>
    <w:lvl w:ilvl="0">
      <w:lvlJc w:val="left"/>
      <w:lvlText w:val="o"/>
      <w:numFmt w:val="bullet"/>
      <w:start w:val="1"/>
    </w:lvl>
  </w:abstractNum>
  <w:abstractNum w:abstractNumId="28">
    <w:nsid w:val="42C296BD"/>
    <w:multiLevelType w:val="hybridMultilevel"/>
    <w:lvl w:ilvl="0">
      <w:lvlJc w:val="left"/>
      <w:lvlText w:val="o"/>
      <w:numFmt w:val="bullet"/>
      <w:start w:val="1"/>
    </w:lvl>
  </w:abstractNum>
  <w:abstractNum w:abstractNumId="29">
    <w:nsid w:val="168E121F"/>
    <w:multiLevelType w:val="hybridMultilevel"/>
    <w:lvl w:ilvl="0">
      <w:lvlJc w:val="left"/>
      <w:lvlText w:val="o"/>
      <w:numFmt w:val="bullet"/>
      <w:start w:val="1"/>
    </w:lvl>
  </w:abstractNum>
  <w:abstractNum w:abstractNumId="30">
    <w:nsid w:val="1EBA5D23"/>
    <w:multiLevelType w:val="hybridMultilevel"/>
    <w:lvl w:ilvl="0">
      <w:lvlJc w:val="left"/>
      <w:lvlText w:val="o"/>
      <w:numFmt w:val="bullet"/>
      <w:start w:val="1"/>
    </w:lvl>
  </w:abstractNum>
  <w:abstractNum w:abstractNumId="31">
    <w:nsid w:val="661E3F1E"/>
    <w:multiLevelType w:val="hybridMultilevel"/>
    <w:lvl w:ilvl="0">
      <w:lvlJc w:val="left"/>
      <w:lvlText w:val="o"/>
      <w:numFmt w:val="bullet"/>
      <w:start w:val="1"/>
    </w:lvl>
  </w:abstractNum>
  <w:abstractNum w:abstractNumId="32">
    <w:nsid w:val="5DC79EA8"/>
    <w:multiLevelType w:val="hybridMultilevel"/>
    <w:lvl w:ilvl="0">
      <w:lvlJc w:val="left"/>
      <w:lvlText w:val="o"/>
      <w:numFmt w:val="bullet"/>
      <w:start w:val="1"/>
    </w:lvl>
  </w:abstractNum>
  <w:abstractNum w:abstractNumId="33">
    <w:nsid w:val="540A471C"/>
    <w:multiLevelType w:val="hybridMultilevel"/>
    <w:lvl w:ilvl="0">
      <w:lvlJc w:val="left"/>
      <w:lvlText w:val="o"/>
      <w:numFmt w:val="bullet"/>
      <w:start w:val="1"/>
    </w:lvl>
  </w:abstractNum>
  <w:abstractNum w:abstractNumId="34">
    <w:nsid w:val="7BD3EE7B"/>
    <w:multiLevelType w:val="hybridMultilevel"/>
    <w:lvl w:ilvl="0">
      <w:lvlJc w:val="left"/>
      <w:lvlText w:val="o"/>
      <w:numFmt w:val="bullet"/>
      <w:start w:val="1"/>
    </w:lvl>
  </w:abstractNum>
  <w:abstractNum w:abstractNumId="35">
    <w:nsid w:val="51D9C564"/>
    <w:multiLevelType w:val="hybridMultilevel"/>
    <w:lvl w:ilvl="0">
      <w:lvlJc w:val="left"/>
      <w:lvlText w:val="o"/>
      <w:numFmt w:val="bullet"/>
      <w:start w:val="1"/>
    </w:lvl>
  </w:abstractNum>
  <w:abstractNum w:abstractNumId="36">
    <w:nsid w:val="613EFDC5"/>
    <w:multiLevelType w:val="hybridMultilevel"/>
    <w:lvl w:ilvl="0">
      <w:lvlJc w:val="left"/>
      <w:lvlText w:val="o"/>
      <w:numFmt w:val="bullet"/>
      <w:start w:val="1"/>
    </w:lvl>
  </w:abstractNum>
  <w:abstractNum w:abstractNumId="37">
    <w:nsid w:val="BF72B14"/>
    <w:multiLevelType w:val="hybridMultilevel"/>
    <w:lvl w:ilvl="0">
      <w:lvlJc w:val="left"/>
      <w:lvlText w:val="o"/>
      <w:numFmt w:val="bullet"/>
      <w:start w:val="1"/>
    </w:lvl>
  </w:abstractNum>
  <w:abstractNum w:abstractNumId="38">
    <w:nsid w:val="11447B73"/>
    <w:multiLevelType w:val="hybridMultilevel"/>
    <w:lvl w:ilvl="0">
      <w:lvlJc w:val="left"/>
      <w:lvlText w:val="o"/>
      <w:numFmt w:val="bullet"/>
      <w:start w:val="1"/>
    </w:lvl>
  </w:abstractNum>
  <w:abstractNum w:abstractNumId="39">
    <w:nsid w:val="42963E5A"/>
    <w:multiLevelType w:val="hybridMultilevel"/>
    <w:lvl w:ilvl="0">
      <w:lvlJc w:val="left"/>
      <w:lvlText w:val="(%1)"/>
      <w:numFmt w:val="lowerRoman"/>
      <w:start w:val="4"/>
    </w:lvl>
  </w:abstractNum>
  <w:abstractNum w:abstractNumId="40">
    <w:nsid w:val="A0382C5"/>
    <w:multiLevelType w:val="hybridMultilevel"/>
    <w:lvl w:ilvl="0">
      <w:lvlJc w:val="left"/>
      <w:lvlText w:val="(%1)"/>
      <w:numFmt w:val="decimal"/>
      <w:start w:val="2"/>
    </w:lvl>
  </w:abstractNum>
  <w:abstractNum w:abstractNumId="41">
    <w:nsid w:val="8F2B15E"/>
    <w:multiLevelType w:val="hybridMultilevel"/>
    <w:lvl w:ilvl="0">
      <w:lvlJc w:val="left"/>
      <w:lvlText w:val="%1."/>
      <w:numFmt w:val="decimal"/>
      <w:start w:val="1"/>
    </w:lvl>
  </w:abstractNum>
  <w:abstractNum w:abstractNumId="42">
    <w:nsid w:val="1A32234B"/>
    <w:multiLevelType w:val="hybridMultilevel"/>
    <w:lvl w:ilvl="0">
      <w:lvlJc w:val="left"/>
      <w:lvlText w:val="%1."/>
      <w:numFmt w:val="decimal"/>
      <w:start w:val="5"/>
    </w:lvl>
  </w:abstractNum>
  <w:abstractNum w:abstractNumId="43">
    <w:nsid w:val="3B0FD379"/>
    <w:multiLevelType w:val="hybridMultilevel"/>
    <w:lvl w:ilvl="0">
      <w:lvlJc w:val="left"/>
      <w:lvlText w:val="(%1)"/>
      <w:numFmt w:val="upperLetter"/>
      <w:start w:val="1"/>
    </w:lvl>
  </w:abstractNum>
  <w:abstractNum w:abstractNumId="44">
    <w:nsid w:val="68EB2F63"/>
    <w:multiLevelType w:val="hybridMultilevel"/>
    <w:lvl w:ilvl="0">
      <w:lvlJc w:val="left"/>
      <w:lvlText w:val="%1"/>
      <w:numFmt w:val="upperLetter"/>
      <w:start w:val="1"/>
    </w:lvl>
    <w:lvl w:ilvl="1">
      <w:lvlJc w:val="left"/>
      <w:lvlText w:val="(%2)"/>
      <w:numFmt w:val="lowerRoman"/>
      <w:start w:val="1"/>
    </w:lvl>
  </w:abstractNum>
  <w:abstractNum w:abstractNumId="45">
    <w:nsid w:val="4962813B"/>
    <w:multiLevelType w:val="hybridMultilevel"/>
    <w:lvl w:ilvl="0">
      <w:lvlJc w:val="left"/>
      <w:lvlText w:val="(%1)"/>
      <w:numFmt w:val="upperLetter"/>
      <w:start w:val="3"/>
    </w:lvl>
    <w:lvl w:ilvl="1">
      <w:lvlJc w:val="left"/>
      <w:lvlText w:val="%2"/>
      <w:numFmt w:val="lowerRoman"/>
      <w:start w:val="1"/>
    </w:lvl>
  </w:abstractNum>
  <w:abstractNum w:abstractNumId="46">
    <w:nsid w:val="60B6DF70"/>
    <w:multiLevelType w:val="hybridMultilevel"/>
    <w:lvl w:ilvl="0">
      <w:lvlJc w:val="left"/>
      <w:lvlText w:val="(%1)"/>
      <w:numFmt w:val="upperLetter"/>
      <w:start w:val="10"/>
    </w:lvl>
  </w:abstractNum>
  <w:abstractNum w:abstractNumId="47">
    <w:nsid w:val="6A5EE64"/>
    <w:multiLevelType w:val="hybridMultilevel"/>
    <w:lvl w:ilvl="0">
      <w:lvlJc w:val="left"/>
      <w:lvlText w:val="(%1)"/>
      <w:numFmt w:val="lowerRoman"/>
      <w:start w:val="4"/>
    </w:lvl>
  </w:abstractNum>
  <w:abstractNum w:abstractNumId="48">
    <w:nsid w:val="14330624"/>
    <w:multiLevelType w:val="hybridMultilevel"/>
    <w:lvl w:ilvl="0">
      <w:lvlJc w:val="left"/>
      <w:lvlText w:val="(%1)"/>
      <w:numFmt w:val="decimal"/>
      <w:start w:val="2"/>
    </w:lvl>
  </w:abstractNum>
  <w:abstractNum w:abstractNumId="49">
    <w:nsid w:val="7FFFCA11"/>
    <w:multiLevelType w:val="hybridMultilevel"/>
    <w:lvl w:ilvl="0">
      <w:lvlJc w:val="left"/>
      <w:lvlText w:val="(%1)"/>
      <w:numFmt w:val="lowerRoman"/>
      <w:start w:val="1"/>
    </w:lvl>
  </w:abstractNum>
  <w:abstractNum w:abstractNumId="50">
    <w:nsid w:val="1A27709E"/>
    <w:multiLevelType w:val="hybridMultilevel"/>
    <w:lvl w:ilvl="0">
      <w:lvlJc w:val="left"/>
      <w:lvlText w:val="%1"/>
      <w:numFmt w:val="lowerLetter"/>
      <w:start w:val="1"/>
    </w:lvl>
    <w:lvl w:ilvl="1">
      <w:lvlJc w:val="left"/>
      <w:lvlText w:val="(%2)"/>
      <w:numFmt w:val="decimal"/>
      <w:start w:val="2"/>
    </w:lvl>
  </w:abstractNum>
  <w:abstractNum w:abstractNumId="51">
    <w:nsid w:val="71EA1109"/>
    <w:multiLevelType w:val="hybridMultilevel"/>
    <w:lvl w:ilvl="0">
      <w:lvlJc w:val="left"/>
      <w:lvlText w:val="(%1)"/>
      <w:numFmt w:val="lowerLetter"/>
      <w:start w:val="2"/>
    </w:lvl>
    <w:lvl w:ilvl="1">
      <w:lvlJc w:val="left"/>
      <w:lvlText w:val="%2"/>
      <w:numFmt w:val="decimal"/>
      <w:start w:val="1"/>
    </w:lvl>
  </w:abstractNum>
  <w:abstractNum w:abstractNumId="52">
    <w:nsid w:val="100F59DC"/>
    <w:multiLevelType w:val="hybridMultilevel"/>
    <w:lvl w:ilvl="0">
      <w:lvlJc w:val="left"/>
      <w:lvlText w:val="-"/>
      <w:numFmt w:val="bullet"/>
      <w:start w:val="1"/>
    </w:lvl>
  </w:abstractNum>
  <w:abstractNum w:abstractNumId="53">
    <w:nsid w:val="7FB7E0AA"/>
    <w:multiLevelType w:val="hybridMultilevel"/>
    <w:lvl w:ilvl="0">
      <w:lvlJc w:val="left"/>
      <w:lvlText w:val="-"/>
      <w:numFmt w:val="bullet"/>
      <w:start w:val="1"/>
    </w:lvl>
  </w:abstractNum>
  <w:abstractNum w:abstractNumId="54">
    <w:nsid w:val="6EB5BD4"/>
    <w:multiLevelType w:val="hybridMultilevel"/>
    <w:lvl w:ilvl="0">
      <w:lvlJc w:val="left"/>
      <w:lvlText w:val="-"/>
      <w:numFmt w:val="bullet"/>
      <w:start w:val="1"/>
    </w:lvl>
  </w:abstractNum>
  <w:abstractNum w:abstractNumId="55">
    <w:nsid w:val="6F6DD9AC"/>
    <w:multiLevelType w:val="hybridMultilevel"/>
    <w:lvl w:ilvl="0">
      <w:lvlJc w:val="left"/>
      <w:lvlText w:val="-"/>
      <w:numFmt w:val="bullet"/>
      <w:start w:val="1"/>
    </w:lvl>
  </w:abstractNum>
  <w:abstractNum w:abstractNumId="56">
    <w:nsid w:val="94211F2"/>
    <w:multiLevelType w:val="hybridMultilevel"/>
    <w:lvl w:ilvl="0">
      <w:lvlJc w:val="left"/>
      <w:lvlText w:val="-"/>
      <w:numFmt w:val="bullet"/>
      <w:start w:val="1"/>
    </w:lvl>
  </w:abstractNum>
  <w:abstractNum w:abstractNumId="57">
    <w:nsid w:val="885E1B"/>
    <w:multiLevelType w:val="hybridMultilevel"/>
    <w:lvl w:ilvl="0">
      <w:lvlJc w:val="left"/>
      <w:lvlText w:val="*"/>
      <w:numFmt w:val="bullet"/>
      <w:start w:val="1"/>
    </w:lvl>
  </w:abstractNum>
  <w:abstractNum w:abstractNumId="58">
    <w:nsid w:val="76272110"/>
    <w:multiLevelType w:val="hybridMultilevel"/>
    <w:lvl w:ilvl="0">
      <w:lvlJc w:val="left"/>
      <w:lvlText w:val="(%1)"/>
      <w:numFmt w:val="lowerLetter"/>
      <w:start w:val="1"/>
    </w:lvl>
  </w:abstractNum>
  <w:abstractNum w:abstractNumId="59">
    <w:nsid w:val="4C04A8AF"/>
    <w:multiLevelType w:val="hybridMultilevel"/>
    <w:lvl w:ilvl="0">
      <w:lvlJc w:val="left"/>
      <w:lvlText w:val="(%1)"/>
      <w:numFmt w:val="lowerLetter"/>
      <w:start w:val="6"/>
    </w:lvl>
  </w:abstractNum>
  <w:abstractNum w:abstractNumId="60">
    <w:nsid w:val="1716703B"/>
    <w:multiLevelType w:val="hybridMultilevel"/>
    <w:lvl w:ilvl="0">
      <w:lvlJc w:val="left"/>
      <w:lvlText w:val="(%1)"/>
      <w:numFmt w:val="lowerLetter"/>
      <w:start w:val="1"/>
    </w:lvl>
  </w:abstractNum>
  <w:abstractNum w:abstractNumId="61">
    <w:nsid w:val="14E17E33"/>
    <w:multiLevelType w:val="hybridMultilevel"/>
    <w:lvl w:ilvl="0">
      <w:lvlJc w:val="left"/>
      <w:lvlText w:val="(%1)"/>
      <w:numFmt w:val="lowerLetter"/>
      <w:start w:val="4"/>
    </w:lvl>
  </w:abstractNum>
  <w:abstractNum w:abstractNumId="62">
    <w:nsid w:val="3222E7CD"/>
    <w:multiLevelType w:val="hybridMultilevel"/>
    <w:lvl w:ilvl="0">
      <w:lvlJc w:val="left"/>
      <w:lvlText w:val="(%1)"/>
      <w:numFmt w:val="lowerLetter"/>
      <w:start w:val="1"/>
    </w:lvl>
  </w:abstractNum>
  <w:abstractNum w:abstractNumId="63">
    <w:nsid w:val="74DE0EE3"/>
    <w:multiLevelType w:val="hybridMultilevel"/>
    <w:lvl w:ilvl="0">
      <w:lvlJc w:val="left"/>
      <w:lvlText w:val="(%1)"/>
      <w:numFmt w:val="lowerLetter"/>
      <w:start w:val="1"/>
    </w:lvl>
  </w:abstractNum>
  <w:abstractNum w:abstractNumId="64">
    <w:nsid w:val="68EBC550"/>
    <w:multiLevelType w:val="hybridMultilevel"/>
    <w:lvl w:ilvl="0">
      <w:lvlJc w:val="left"/>
      <w:lvlText w:val="(%1)"/>
      <w:numFmt w:val="lowerLetter"/>
      <w:start w:val="6"/>
    </w:lvl>
  </w:abstractNum>
  <w:abstractNum w:abstractNumId="65">
    <w:nsid w:val="2DF6D648"/>
    <w:multiLevelType w:val="hybridMultilevel"/>
    <w:lvl w:ilvl="0">
      <w:lvlJc w:val="left"/>
      <w:lvlText w:val="(%1)"/>
      <w:numFmt w:val="lowerLetter"/>
      <w:start w:val="2"/>
    </w:lvl>
  </w:abstractNum>
  <w:abstractNum w:abstractNumId="66">
    <w:nsid w:val="46B7D447"/>
    <w:multiLevelType w:val="hybridMultilevel"/>
    <w:lvl w:ilvl="0">
      <w:lvlJc w:val="left"/>
      <w:lvlText w:val="(%1)"/>
      <w:numFmt w:val="lowerLetter"/>
      <w:start w:val="1"/>
    </w:lvl>
  </w:abstractNum>
  <w:abstractNum w:abstractNumId="67">
    <w:nsid w:val="4A2AC315"/>
    <w:multiLevelType w:val="hybridMultilevel"/>
    <w:lvl w:ilvl="0">
      <w:lvlJc w:val="left"/>
      <w:lvlText w:val="(%1)"/>
      <w:numFmt w:val="lowerLetter"/>
      <w:start w:val="2"/>
    </w:lvl>
  </w:abstractNum>
  <w:abstractNum w:abstractNumId="68">
    <w:nsid w:val="39EE015C"/>
    <w:multiLevelType w:val="hybridMultilevel"/>
    <w:lvl w:ilvl="0">
      <w:lvlJc w:val="left"/>
      <w:lvlText w:val="(%1)"/>
      <w:numFmt w:val="lowerLetter"/>
      <w:start w:val="1"/>
    </w:lvl>
  </w:abstractNum>
  <w:abstractNum w:abstractNumId="69">
    <w:nsid w:val="57FC4FBB"/>
    <w:multiLevelType w:val="hybridMultilevel"/>
    <w:lvl w:ilvl="0">
      <w:lvlJc w:val="left"/>
      <w:lvlText w:val="(%1)"/>
      <w:numFmt w:val="lowerLetter"/>
      <w:start w:val="2"/>
    </w:lvl>
  </w:abstractNum>
  <w:abstractNum w:abstractNumId="70">
    <w:nsid w:val="CC1016F"/>
    <w:multiLevelType w:val="hybridMultilevel"/>
    <w:lvl w:ilvl="0">
      <w:lvlJc w:val="left"/>
      <w:lvlText w:val="(%1)"/>
      <w:numFmt w:val="lowerLetter"/>
      <w:start w:val="1"/>
    </w:lvl>
  </w:abstractNum>
  <w:abstractNum w:abstractNumId="71">
    <w:nsid w:val="43F18422"/>
    <w:multiLevelType w:val="hybridMultilevel"/>
    <w:lvl w:ilvl="0">
      <w:lvlJc w:val="left"/>
      <w:lvlText w:val="(%1)"/>
      <w:numFmt w:val="lowerLetter"/>
      <w:start w:val="1"/>
    </w:lvl>
  </w:abstractNum>
  <w:abstractNum w:abstractNumId="72">
    <w:nsid w:val="60EF0119"/>
    <w:multiLevelType w:val="hybridMultilevel"/>
    <w:lvl w:ilvl="0">
      <w:lvlJc w:val="left"/>
      <w:lvlText w:val="(%1)"/>
      <w:numFmt w:val="lowerLetter"/>
      <w:start w:val="3"/>
    </w:lvl>
  </w:abstractNum>
  <w:abstractNum w:abstractNumId="73">
    <w:nsid w:val="26F324BA"/>
    <w:multiLevelType w:val="hybridMultilevel"/>
    <w:lvl w:ilvl="0">
      <w:lvlJc w:val="left"/>
      <w:lvlText w:val="(%1)"/>
      <w:numFmt w:val="lowerLetter"/>
      <w:start w:val="1"/>
    </w:lvl>
  </w:abstractNum>
  <w:abstractNum w:abstractNumId="74">
    <w:nsid w:val="7F01579B"/>
    <w:multiLevelType w:val="hybridMultilevel"/>
    <w:lvl w:ilvl="0">
      <w:lvlJc w:val="left"/>
      <w:lvlText w:val="(%1)"/>
      <w:numFmt w:val="lowerLetter"/>
      <w:start w:val="5"/>
    </w:lvl>
  </w:abstractNum>
  <w:abstractNum w:abstractNumId="75">
    <w:nsid w:val="49DA307D"/>
    <w:multiLevelType w:val="hybridMultilevel"/>
    <w:lvl w:ilvl="0">
      <w:lvlJc w:val="left"/>
      <w:lvlText w:val="(%1)"/>
      <w:numFmt w:val="lowerLetter"/>
      <w:start w:val="1"/>
    </w:lvl>
  </w:abstractNum>
  <w:abstractNum w:abstractNumId="76">
    <w:nsid w:val="7055A5F5"/>
    <w:multiLevelType w:val="hybridMultilevel"/>
    <w:lvl w:ilvl="0">
      <w:lvlJc w:val="left"/>
      <w:lvlText w:val="(%1)"/>
      <w:numFmt w:val="lowerLetter"/>
      <w:start w:val="3"/>
    </w:lvl>
    <w:lvl w:ilvl="1">
      <w:lvlJc w:val="left"/>
      <w:lvlText w:val="(%2)"/>
      <w:numFmt w:val="decimal"/>
      <w:start w:val="1"/>
    </w:lvl>
  </w:abstractNum>
  <w:abstractNum w:abstractNumId="77">
    <w:nsid w:val="5FB8370B"/>
    <w:multiLevelType w:val="hybridMultilevel"/>
    <w:lvl w:ilvl="0">
      <w:lvlJc w:val="left"/>
      <w:lvlText w:val="(%1)"/>
      <w:numFmt w:val="lowerLetter"/>
      <w:start w:val="4"/>
    </w:lvl>
  </w:abstractNum>
  <w:abstractNum w:abstractNumId="78">
    <w:nsid w:val="50801EE1"/>
    <w:multiLevelType w:val="hybridMultilevel"/>
    <w:lvl w:ilvl="0">
      <w:lvlJc w:val="left"/>
      <w:lvlText w:val="(%1)"/>
      <w:numFmt w:val="lowerLetter"/>
      <w:start w:val="6"/>
    </w:lvl>
  </w:abstractNum>
  <w:abstractNum w:abstractNumId="79">
    <w:nsid w:val="488AC1A"/>
    <w:multiLevelType w:val="hybridMultilevel"/>
    <w:lvl w:ilvl="0">
      <w:lvlJc w:val="left"/>
      <w:lvlText w:val="(%1)"/>
      <w:numFmt w:val="lowerLetter"/>
      <w:start w:val="1"/>
    </w:lvl>
  </w:abstractNum>
  <w:abstractNum w:abstractNumId="80">
    <w:nsid w:val="5FB8011C"/>
    <w:multiLevelType w:val="hybridMultilevel"/>
    <w:lvl w:ilvl="0">
      <w:lvlJc w:val="left"/>
      <w:lvlText w:val="*"/>
      <w:numFmt w:val="bullet"/>
      <w:start w:val="1"/>
    </w:lvl>
  </w:abstractNum>
  <w:abstractNum w:abstractNumId="81">
    <w:nsid w:val="6AA78F7F"/>
    <w:multiLevelType w:val="hybridMultilevel"/>
    <w:lvl w:ilvl="0">
      <w:lvlJc w:val="left"/>
      <w:lvlText w:val="(%1)"/>
      <w:numFmt w:val="lowerLetter"/>
      <w:start w:val="1"/>
    </w:lvl>
  </w:abstractNum>
  <w:abstractNum w:abstractNumId="82">
    <w:nsid w:val="7672BD23"/>
    <w:multiLevelType w:val="hybridMultilevel"/>
    <w:lvl w:ilvl="0">
      <w:lvlJc w:val="left"/>
      <w:lvlText w:val="(%1)"/>
      <w:numFmt w:val="lowerLetter"/>
      <w:start w:val="5"/>
    </w:lvl>
  </w:abstractNum>
  <w:abstractNum w:abstractNumId="83">
    <w:nsid w:val="6FC75AF8"/>
    <w:multiLevelType w:val="hybridMultilevel"/>
    <w:lvl w:ilvl="0">
      <w:lvlJc w:val="left"/>
      <w:lvlText w:val="(%1)"/>
      <w:numFmt w:val="lowerLetter"/>
      <w:start w:val="1"/>
    </w:lvl>
  </w:abstractNum>
  <w:abstractNum w:abstractNumId="84">
    <w:nsid w:val="6A5F7029"/>
    <w:multiLevelType w:val="hybridMultilevel"/>
    <w:lvl w:ilvl="0">
      <w:lvlJc w:val="left"/>
      <w:lvlText w:val="(%1)"/>
      <w:numFmt w:val="lowerLetter"/>
      <w:start w:val="3"/>
    </w:lvl>
  </w:abstractNum>
  <w:abstractNum w:abstractNumId="85">
    <w:nsid w:val="7D5E18F8"/>
    <w:multiLevelType w:val="hybridMultilevel"/>
    <w:lvl w:ilvl="0">
      <w:lvlJc w:val="left"/>
      <w:lvlText w:val="(%1)"/>
      <w:numFmt w:val="lowerLetter"/>
      <w:start w:val="1"/>
    </w:lvl>
  </w:abstractNum>
  <w:abstractNum w:abstractNumId="86">
    <w:nsid w:val="5F3534A4"/>
    <w:multiLevelType w:val="hybridMultilevel"/>
    <w:lvl w:ilvl="0">
      <w:lvlJc w:val="left"/>
      <w:lvlText w:val="-"/>
      <w:numFmt w:val="bullet"/>
      <w:start w:val="1"/>
    </w:lvl>
  </w:abstractNum>
  <w:abstractNum w:abstractNumId="87">
    <w:nsid w:val="73A1821B"/>
    <w:multiLevelType w:val="hybridMultilevel"/>
    <w:lvl w:ilvl="0">
      <w:lvlJc w:val="left"/>
      <w:lvlText w:val="(%1)"/>
      <w:numFmt w:val="lowerLetter"/>
      <w:start w:val="1"/>
    </w:lvl>
  </w:abstractNum>
  <w:abstractNum w:abstractNumId="88">
    <w:nsid w:val="7DE67713"/>
    <w:multiLevelType w:val="hybridMultilevel"/>
    <w:lvl w:ilvl="0">
      <w:lvlJc w:val="left"/>
      <w:lvlText w:val="(%1)"/>
      <w:numFmt w:val="lowerLetter"/>
      <w:start w:val="2"/>
    </w:lvl>
  </w:abstractNum>
  <w:abstractNum w:abstractNumId="89">
    <w:nsid w:val="555C55B5"/>
    <w:multiLevelType w:val="hybridMultilevel"/>
    <w:lvl w:ilvl="0">
      <w:lvlJc w:val="left"/>
      <w:lvlText w:val="(%1)"/>
      <w:numFmt w:val="lowerLetter"/>
      <w:start w:val="1"/>
    </w:lvl>
  </w:abstractNum>
  <w:abstractNum w:abstractNumId="90">
    <w:nsid w:val="3FA62ACA"/>
    <w:multiLevelType w:val="hybridMultilevel"/>
    <w:lvl w:ilvl="0">
      <w:lvlJc w:val="left"/>
      <w:lvlText w:val="(%1)"/>
      <w:numFmt w:val="lowerLetter"/>
      <w:start w:val="1"/>
    </w:lvl>
  </w:abstractNum>
  <w:abstractNum w:abstractNumId="91">
    <w:nsid w:val="14FCE74E"/>
    <w:multiLevelType w:val="hybridMultilevel"/>
    <w:lvl w:ilvl="0">
      <w:lvlJc w:val="left"/>
      <w:lvlText w:val="(%1)"/>
      <w:numFmt w:val="lowerLetter"/>
      <w:start w:val="2"/>
    </w:lvl>
  </w:abstractNum>
  <w:abstractNum w:abstractNumId="92">
    <w:nsid w:val="6A3DD3E8"/>
    <w:multiLevelType w:val="hybridMultilevel"/>
    <w:lvl w:ilvl="0">
      <w:lvlJc w:val="left"/>
      <w:lvlText w:val="(%1)"/>
      <w:numFmt w:val="lowerLetter"/>
      <w:start w:val="1"/>
    </w:lvl>
  </w:abstractNum>
  <w:abstractNum w:abstractNumId="93">
    <w:nsid w:val="71C91298"/>
    <w:multiLevelType w:val="hybridMultilevel"/>
    <w:lvl w:ilvl="0">
      <w:lvlJc w:val="left"/>
      <w:lvlText w:val="(%1)"/>
      <w:numFmt w:val="lowerLetter"/>
      <w:start w:val="5"/>
    </w:lvl>
  </w:abstractNum>
  <w:abstractNum w:abstractNumId="94">
    <w:nsid w:val="9DAF632"/>
    <w:multiLevelType w:val="hybridMultilevel"/>
    <w:lvl w:ilvl="0">
      <w:lvlJc w:val="left"/>
      <w:lvlText w:val="(%1)"/>
      <w:numFmt w:val="lowerLetter"/>
      <w:start w:val="1"/>
    </w:lvl>
    <w:lvl w:ilvl="1">
      <w:lvlJc w:val="left"/>
      <w:lvlText w:val="(%2)"/>
      <w:numFmt w:val="decimal"/>
      <w:start w:val="1"/>
    </w:lvl>
  </w:abstractNum>
  <w:abstractNum w:abstractNumId="95">
    <w:nsid w:val="53299938"/>
    <w:multiLevelType w:val="hybridMultilevel"/>
    <w:lvl w:ilvl="0">
      <w:lvlJc w:val="left"/>
      <w:lvlText w:val="(%1)"/>
      <w:numFmt w:val="decimal"/>
      <w:start w:val="3"/>
    </w:lvl>
  </w:abstractNum>
  <w:abstractNum w:abstractNumId="96">
    <w:nsid w:val="1FBFE8E0"/>
    <w:multiLevelType w:val="hybridMultilevel"/>
    <w:lvl w:ilvl="0">
      <w:lvlJc w:val="left"/>
      <w:lvlText w:val="(%1)"/>
      <w:numFmt w:val="lowerLetter"/>
      <w:start w:val="4"/>
    </w:lvl>
  </w:abstractNum>
  <w:abstractNum w:abstractNumId="97">
    <w:nsid w:val="5092CA79"/>
    <w:multiLevelType w:val="hybridMultilevel"/>
    <w:lvl w:ilvl="0">
      <w:lvlJc w:val="left"/>
      <w:lvlText w:val="(%1)"/>
      <w:numFmt w:val="lowerLetter"/>
      <w:start w:val="6"/>
    </w:lvl>
  </w:abstractNum>
  <w:abstractNum w:abstractNumId="98">
    <w:nsid w:val="1D545C4D"/>
    <w:multiLevelType w:val="hybridMultilevel"/>
    <w:lvl w:ilvl="0">
      <w:lvlJc w:val="left"/>
      <w:lvlText w:val="(%1)"/>
      <w:numFmt w:val="lowerLetter"/>
      <w:start w:val="1"/>
    </w:lvl>
  </w:abstractNum>
  <w:abstractNum w:abstractNumId="99">
    <w:nsid w:val="59ADEA3D"/>
    <w:multiLevelType w:val="hybridMultilevel"/>
    <w:lvl w:ilvl="0">
      <w:lvlJc w:val="left"/>
      <w:lvlText w:val="(%1)"/>
      <w:numFmt w:val="decimal"/>
      <w:start w:val="1"/>
    </w:lvl>
  </w:abstractNum>
  <w:abstractNum w:abstractNumId="100">
    <w:nsid w:val="288F1A34"/>
    <w:multiLevelType w:val="hybridMultilevel"/>
    <w:lvl w:ilvl="0">
      <w:lvlJc w:val="left"/>
      <w:lvlText w:val="(%1)"/>
      <w:numFmt w:val="lowerLetter"/>
      <w:start w:val="1"/>
    </w:lvl>
  </w:abstractNum>
  <w:abstractNum w:abstractNumId="101">
    <w:nsid w:val="2A155DBC"/>
    <w:multiLevelType w:val="hybridMultilevel"/>
    <w:lvl w:ilvl="0">
      <w:lvlJc w:val="left"/>
      <w:lvlText w:val="%1"/>
      <w:numFmt w:val="lowerRoman"/>
      <w:start w:val="1"/>
    </w:lvl>
    <w:lvl w:ilvl="1">
      <w:lvlJc w:val="left"/>
      <w:lvlText w:val="%2."/>
      <w:numFmt w:val="decimal"/>
      <w:start w:val="1"/>
    </w:lvl>
  </w:abstractNum>
  <w:abstractNum w:abstractNumId="102">
    <w:nsid w:val="1D9F6E5F"/>
    <w:multiLevelType w:val="hybridMultilevel"/>
    <w:lvl w:ilvl="0">
      <w:lvlJc w:val="left"/>
      <w:lvlText w:val="(%1)"/>
      <w:numFmt w:val="lowerRoman"/>
      <w:start w:val="2"/>
    </w:lvl>
    <w:lvl w:ilvl="1">
      <w:lvlJc w:val="left"/>
      <w:lvlText w:val="%2"/>
      <w:numFmt w:val="decimal"/>
      <w:start w:val="1"/>
    </w:lvl>
  </w:abstractNum>
  <w:abstractNum w:abstractNumId="103">
    <w:nsid w:val="97E1B4E"/>
    <w:multiLevelType w:val="hybridMultilevel"/>
    <w:lvl w:ilvl="0">
      <w:lvlJc w:val="left"/>
      <w:lvlText w:val="%1."/>
      <w:numFmt w:val="decimal"/>
      <w:start w:val="3"/>
    </w:lvl>
  </w:abstractNum>
  <w:abstractNum w:abstractNumId="104">
    <w:nsid w:val="51088277"/>
    <w:multiLevelType w:val="hybridMultilevel"/>
    <w:lvl w:ilvl="0">
      <w:lvlJc w:val="left"/>
      <w:lvlText w:val="%1"/>
      <w:numFmt w:val="lowerRoman"/>
      <w:start w:val="1"/>
    </w:lvl>
    <w:lvl w:ilvl="1">
      <w:lvlJc w:val="left"/>
      <w:lvlText w:val="%2."/>
      <w:numFmt w:val="decimal"/>
      <w:start w:val="5"/>
    </w:lvl>
  </w:abstractNum>
  <w:abstractNum w:abstractNumId="105">
    <w:nsid w:val="1CA0C5FA"/>
    <w:multiLevelType w:val="hybridMultilevel"/>
    <w:lvl w:ilvl="0">
      <w:lvlJc w:val="left"/>
      <w:lvlText w:val="(%1)"/>
      <w:numFmt w:val="lowerRoman"/>
      <w:start w:val="3"/>
    </w:lvl>
    <w:lvl w:ilvl="1">
      <w:lvlJc w:val="left"/>
      <w:lvlText w:val="%2"/>
      <w:numFmt w:val="decimal"/>
      <w:start w:val="1"/>
    </w:lvl>
  </w:abstractNum>
  <w:abstractNum w:abstractNumId="106">
    <w:nsid w:val="53584BCB"/>
    <w:multiLevelType w:val="hybridMultilevel"/>
    <w:lvl w:ilvl="0">
      <w:lvlJc w:val="left"/>
      <w:lvlText w:val="%1."/>
      <w:numFmt w:val="decimal"/>
      <w:start w:val="1"/>
    </w:lvl>
  </w:abstractNum>
  <w:abstractNum w:abstractNumId="107">
    <w:nsid w:val="415E286C"/>
    <w:multiLevelType w:val="hybridMultilevel"/>
    <w:lvl w:ilvl="0">
      <w:lvlJc w:val="left"/>
      <w:lvlText w:val="-"/>
      <w:numFmt w:val="bullet"/>
      <w:start w:val="1"/>
    </w:lvl>
    <w:lvl w:ilvl="1">
      <w:lvlJc w:val="left"/>
      <w:lvlText w:val="(%2)"/>
      <w:numFmt w:val="lowerLetter"/>
      <w:start w:val="1"/>
    </w:lvl>
  </w:abstractNum>
  <w:abstractNum w:abstractNumId="108">
    <w:nsid w:val="7C58FD05"/>
    <w:multiLevelType w:val="hybridMultilevel"/>
    <w:lvl w:ilvl="0">
      <w:lvlJc w:val="left"/>
      <w:lvlText w:val="%1"/>
      <w:numFmt w:val="decimal"/>
      <w:start w:val="1"/>
    </w:lvl>
    <w:lvl w:ilvl="1">
      <w:lvlJc w:val="left"/>
      <w:lvlText w:val="(%2)"/>
      <w:numFmt w:val="lowerLetter"/>
      <w:start w:val="2"/>
    </w:lvl>
  </w:abstractNum>
  <w:abstractNum w:abstractNumId="109">
    <w:nsid w:val="23D86AAC"/>
    <w:multiLevelType w:val="hybridMultilevel"/>
    <w:lvl w:ilvl="0">
      <w:lvlJc w:val="left"/>
      <w:lvlText w:val="%1."/>
      <w:numFmt w:val="decimal"/>
      <w:start w:val="2"/>
    </w:lvl>
    <w:lvl w:ilvl="1">
      <w:lvlJc w:val="left"/>
      <w:lvlText w:val="%2"/>
      <w:numFmt w:val="lowerLetter"/>
      <w:start w:val="1"/>
    </w:lvl>
  </w:abstractNum>
  <w:abstractNum w:abstractNumId="110">
    <w:nsid w:val="45E6D486"/>
    <w:multiLevelType w:val="hybridMultilevel"/>
    <w:lvl w:ilvl="0">
      <w:lvlJc w:val="left"/>
      <w:lvlText w:val="%1."/>
      <w:numFmt w:val="decimal"/>
      <w:start w:val="16"/>
    </w:lvl>
    <w:lvl w:ilvl="1">
      <w:lvlJc w:val="left"/>
      <w:lvlText w:val="%2."/>
      <w:numFmt w:val="decimal"/>
      <w:start w:val="1"/>
    </w:lvl>
  </w:abstractNum>
  <w:abstractNum w:abstractNumId="111">
    <w:nsid w:val="5C10FE21"/>
    <w:multiLevelType w:val="hybridMultilevel"/>
    <w:lvl w:ilvl="0">
      <w:lvlJc w:val="left"/>
      <w:lvlText w:val="%1."/>
      <w:numFmt w:val="decimal"/>
      <w:start w:val="4"/>
    </w:lvl>
  </w:abstractNum>
  <w:abstractNum w:abstractNumId="112">
    <w:nsid w:val="E7FFA2B"/>
    <w:multiLevelType w:val="hybridMultilevel"/>
    <w:lvl w:ilvl="0">
      <w:lvlJc w:val="left"/>
      <w:lvlText w:val="%1."/>
      <w:numFmt w:val="decimal"/>
      <w:start w:val="6"/>
    </w:lvl>
  </w:abstractNum>
  <w:abstractNum w:abstractNumId="113">
    <w:nsid w:val="3C5991AA"/>
    <w:multiLevelType w:val="hybridMultilevel"/>
    <w:lvl w:ilvl="0">
      <w:lvlJc w:val="left"/>
      <w:lvlText w:val="%1."/>
      <w:numFmt w:val="decimal"/>
      <w:start w:val="7"/>
    </w:lvl>
  </w:abstractNum>
  <w:abstractNum w:abstractNumId="114">
    <w:nsid w:val="4BD8591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2019-12-13T17:40:29Z</dcterms:created>
  <dcterms:modified xsi:type="dcterms:W3CDTF">2019-12-13T17:40:29Z</dcterms:modified>
</cp:coreProperties>
</file>