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CURRENT REPORT FOR ISSUERS SUBJECT TO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1934 ACT REPORTING REQUIREMENTS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Pursuant to Section 13 or 15(d) of the Securities Exchange Act</w:t>
      </w:r>
      <w:r>
        <w:rPr>
          <w:sz w:val="20"/>
          <w:szCs w:val="20"/>
          <w:color w:val="auto"/>
        </w:rPr>
        <w:tab/>
      </w:r>
      <w:r>
        <w:rPr>
          <w:rFonts w:ascii="Courier New" w:cs="Courier New" w:eastAsia="Courier New" w:hAnsi="Courier New"/>
          <w:sz w:val="16"/>
          <w:szCs w:val="16"/>
          <w:color w:val="auto"/>
        </w:rPr>
        <w:t>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October 3,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ind w:left="420"/>
        <w:spacing w:after="0" w:line="238" w:lineRule="auto"/>
        <w:rPr>
          <w:sz w:val="20"/>
          <w:szCs w:val="20"/>
          <w:color w:val="auto"/>
        </w:rPr>
      </w:pPr>
      <w:r>
        <w:rPr>
          <w:rFonts w:ascii="Courier New" w:cs="Courier New" w:eastAsia="Courier New" w:hAnsi="Courier New"/>
          <w:sz w:val="18"/>
          <w:szCs w:val="18"/>
          <w:color w:val="auto"/>
        </w:rPr>
        <w:t>----------------------------------- -----------------------------------</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720" w:type="dxa"/>
            <w:vAlign w:val="bottom"/>
          </w:tcPr>
          <w:p>
            <w:pPr>
              <w:spacing w:after="0"/>
              <w:rPr>
                <w:sz w:val="20"/>
                <w:szCs w:val="20"/>
                <w:color w:val="auto"/>
              </w:rPr>
            </w:pPr>
            <w:r>
              <w:rPr>
                <w:rFonts w:ascii="Courier New" w:cs="Courier New" w:eastAsia="Courier New" w:hAnsi="Courier New"/>
                <w:sz w:val="18"/>
                <w:szCs w:val="18"/>
                <w:color w:val="auto"/>
              </w:rPr>
              <w:t>UTAH</w:t>
            </w:r>
          </w:p>
        </w:tc>
        <w:tc>
          <w:tcPr>
            <w:tcW w:w="29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17219</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87-0398877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356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68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2540"/>
        <w:spacing w:after="0" w:line="238" w:lineRule="auto"/>
        <w:rPr>
          <w:sz w:val="20"/>
          <w:szCs w:val="20"/>
          <w:color w:val="auto"/>
        </w:rPr>
      </w:pPr>
      <w:r>
        <w:rPr>
          <w:rFonts w:ascii="Courier New" w:cs="Courier New" w:eastAsia="Courier New" w:hAnsi="Courier New"/>
          <w:sz w:val="18"/>
          <w:szCs w:val="18"/>
          <w:color w:val="auto"/>
        </w:rPr>
        <w:t>--------------- ---------------</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2220"/>
        <w:spacing w:after="0" w:line="238" w:lineRule="auto"/>
        <w:rPr>
          <w:sz w:val="20"/>
          <w:szCs w:val="20"/>
          <w:color w:val="auto"/>
        </w:rPr>
      </w:pPr>
      <w:r>
        <w:rPr>
          <w:rFonts w:ascii="Courier New" w:cs="Courier New" w:eastAsia="Courier New" w:hAnsi="Courier New"/>
          <w:sz w:val="18"/>
          <w:szCs w:val="18"/>
          <w:color w:val="auto"/>
        </w:rPr>
        <w:t>---------------------- ---------------</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Acquisition or Disposition of Assets.</w:t>
      </w:r>
    </w:p>
    <w:p>
      <w:pPr>
        <w:spacing w:after="0" w:line="207" w:lineRule="exact"/>
        <w:rPr>
          <w:sz w:val="24"/>
          <w:szCs w:val="24"/>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On October 3, 2001, pursuant to a "Share Purchase Agreement" dated October 3, 2001, Gentner Communications Corporation ("Gentner") caused its wholly owned subsidiary, Gentner Ventures, Inc., to purchase all of the issued and outstanding shares (the "Transaction") of Ivron Systems, Ltd., of Dublin, Ireland ("Ivron"). As of the Closing, 5,366,637 Ivron common shares were issued and outstanding. Ivron is a privately-held developer of video conferencing technology and equipment (the "Business"). Following the closing, Michael Peirce, the former chairman of Ivron, was appointed to Gentner's board of directors.</w:t>
      </w:r>
    </w:p>
    <w:p>
      <w:pPr>
        <w:spacing w:after="0" w:line="214" w:lineRule="exact"/>
        <w:rPr>
          <w:sz w:val="24"/>
          <w:szCs w:val="24"/>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In the Transaction, each shareholder of Ivron (each, a "Shareholder") received at the closing approximately US$1.12 per Ivron common share. Following June 30, 2002 each former Shareholder will receive approximately .08 shares of Gentner's common shares for each Ivron share previously held by each such shareholder, provided that certain video product development contingencies are achieved, as set forth in the Share Repurchase Agreement. Thereafter, for Gentner's completed fiscal years 2003 and 2004, the former Ivron Shareholders may share in up to US$17,000,000 of additional consideration provided that certain agreed upon EPS targets for Gentner are achieved.</w:t>
      </w:r>
    </w:p>
    <w:p>
      <w:pPr>
        <w:spacing w:after="0" w:line="38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As part of the Transaction, all outstanding options to purchase Ivron</w:t>
      </w:r>
    </w:p>
    <w:p>
      <w:pPr>
        <w:spacing w:after="0" w:line="238" w:lineRule="auto"/>
        <w:rPr>
          <w:sz w:val="20"/>
          <w:szCs w:val="20"/>
          <w:color w:val="auto"/>
        </w:rPr>
      </w:pPr>
      <w:r>
        <w:rPr>
          <w:rFonts w:ascii="Courier New" w:cs="Courier New" w:eastAsia="Courier New" w:hAnsi="Courier New"/>
          <w:sz w:val="18"/>
          <w:szCs w:val="18"/>
          <w:color w:val="auto"/>
        </w:rPr>
        <w:t>shares were cancelled in consideration for an aggregate cash payment of</w:t>
      </w:r>
    </w:p>
    <w:p>
      <w:pPr>
        <w:spacing w:after="0"/>
        <w:rPr>
          <w:sz w:val="20"/>
          <w:szCs w:val="20"/>
          <w:color w:val="auto"/>
        </w:rPr>
      </w:pPr>
      <w:r>
        <w:rPr>
          <w:rFonts w:ascii="Courier New" w:cs="Courier New" w:eastAsia="Courier New" w:hAnsi="Courier New"/>
          <w:sz w:val="18"/>
          <w:szCs w:val="18"/>
          <w:color w:val="auto"/>
        </w:rPr>
        <w:t>US$650,000, allocated among the optionees by the number of options originally</w:t>
      </w:r>
    </w:p>
    <w:p>
      <w:pPr>
        <w:spacing w:after="0" w:line="237" w:lineRule="auto"/>
        <w:rPr>
          <w:sz w:val="20"/>
          <w:szCs w:val="20"/>
          <w:color w:val="auto"/>
        </w:rPr>
      </w:pPr>
      <w:r>
        <w:rPr>
          <w:rFonts w:ascii="Courier New" w:cs="Courier New" w:eastAsia="Courier New" w:hAnsi="Courier New"/>
          <w:sz w:val="18"/>
          <w:szCs w:val="18"/>
          <w:color w:val="auto"/>
        </w:rPr>
        <w:t>held by each such optionee. In addition, former optionees of Ivron who remain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with Ivron are eligible to participate in a cash bonus program paid by Ivron and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based on the combined performance of Gentner and Ivron in fiscal years 2003 and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2004. The maximum amount payable under this bonus program is an aggregate of</w:t>
      </w:r>
    </w:p>
    <w:p>
      <w:pPr>
        <w:spacing w:after="0" w:line="238" w:lineRule="auto"/>
        <w:rPr>
          <w:sz w:val="20"/>
          <w:szCs w:val="20"/>
          <w:color w:val="auto"/>
        </w:rPr>
      </w:pPr>
      <w:r>
        <w:rPr>
          <w:rFonts w:ascii="Courier New" w:cs="Courier New" w:eastAsia="Courier New" w:hAnsi="Courier New"/>
          <w:sz w:val="18"/>
          <w:szCs w:val="18"/>
          <w:color w:val="auto"/>
        </w:rPr>
        <w:t>US$1,000,000. As of the closing of the Transaction, Ivron's thirty employees</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were remaining in Ivron's employ.</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total value of the consideration paid in the Transaction was determined based on arm's length negotiations between Gentner and the Shareholders, that took into account a number of factors of the business including historic revenues, operating history, products, intellectual property and other factors.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7" w:lineRule="exact"/>
        <w:rPr>
          <w:sz w:val="20"/>
          <w:szCs w:val="20"/>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 Audited financial statements of Ivron Systems, Ltd.</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7380" w:type="dxa"/>
            <w:vAlign w:val="bottom"/>
          </w:tcPr>
          <w:p>
            <w:pPr>
              <w:spacing w:after="0"/>
              <w:rPr>
                <w:sz w:val="20"/>
                <w:szCs w:val="20"/>
                <w:color w:val="auto"/>
              </w:rPr>
            </w:pPr>
            <w:r>
              <w:rPr>
                <w:rFonts w:ascii="Courier New" w:cs="Courier New" w:eastAsia="Courier New" w:hAnsi="Courier New"/>
                <w:sz w:val="18"/>
                <w:szCs w:val="18"/>
                <w:color w:val="auto"/>
              </w:rPr>
              <w:t>Fiscal 2000</w:t>
            </w:r>
          </w:p>
        </w:tc>
        <w:tc>
          <w:tcPr>
            <w:tcW w:w="320" w:type="dxa"/>
            <w:vAlign w:val="bottom"/>
          </w:tcPr>
          <w:p>
            <w:pPr>
              <w:spacing w:after="0"/>
              <w:rPr>
                <w:sz w:val="17"/>
                <w:szCs w:val="17"/>
                <w:color w:val="auto"/>
              </w:rPr>
            </w:pP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Page No.</w:t>
            </w:r>
          </w:p>
        </w:tc>
        <w:tc>
          <w:tcPr>
            <w:tcW w:w="320" w:type="dxa"/>
            <w:vAlign w:val="bottom"/>
          </w:tcPr>
          <w:p>
            <w:pPr>
              <w:spacing w:after="0"/>
              <w:rPr>
                <w:sz w:val="17"/>
                <w:szCs w:val="17"/>
                <w:color w:val="auto"/>
              </w:rPr>
            </w:pP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Report of Independent Auditors......................................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F-1</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Statement of Accounting Policies....................................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F-3</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Profit and Loss Account for</w:t>
            </w:r>
          </w:p>
        </w:tc>
        <w:tc>
          <w:tcPr>
            <w:tcW w:w="320" w:type="dxa"/>
            <w:vAlign w:val="bottom"/>
          </w:tcPr>
          <w:p>
            <w:pPr>
              <w:spacing w:after="0"/>
              <w:rPr>
                <w:sz w:val="17"/>
                <w:szCs w:val="17"/>
                <w:color w:val="auto"/>
              </w:rPr>
            </w:pPr>
          </w:p>
        </w:tc>
      </w:tr>
      <w:tr>
        <w:trPr>
          <w:trHeight w:val="203"/>
        </w:trPr>
        <w:tc>
          <w:tcPr>
            <w:tcW w:w="73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7"/>
              </w:rPr>
              <w:t>the year ended December 31, 2000..................................</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F-5</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Consolidated Balance Sheet as of December 31, 2000..................</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F-6</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Company Balance Sheet as of December 31, 2000.......................</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F-7</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w w:val="97"/>
              </w:rPr>
              <w:t>Notes to Financial Statements.......................................</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F-8</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Reconciliation between Irish and U.S. accounting principles.........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F-18</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Operating statement and appendices..................................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F-21</w:t>
            </w:r>
          </w:p>
        </w:tc>
      </w:tr>
      <w:tr>
        <w:trPr>
          <w:trHeight w:val="405"/>
        </w:trPr>
        <w:tc>
          <w:tcPr>
            <w:tcW w:w="7380" w:type="dxa"/>
            <w:vAlign w:val="bottom"/>
          </w:tcPr>
          <w:p>
            <w:pPr>
              <w:spacing w:after="0"/>
              <w:rPr>
                <w:sz w:val="20"/>
                <w:szCs w:val="20"/>
                <w:color w:val="auto"/>
              </w:rPr>
            </w:pPr>
            <w:r>
              <w:rPr>
                <w:rFonts w:ascii="Courier New" w:cs="Courier New" w:eastAsia="Courier New" w:hAnsi="Courier New"/>
                <w:sz w:val="18"/>
                <w:szCs w:val="18"/>
                <w:color w:val="auto"/>
              </w:rPr>
              <w:t>Fiscal 1999</w:t>
            </w:r>
          </w:p>
        </w:tc>
        <w:tc>
          <w:tcPr>
            <w:tcW w:w="420" w:type="dxa"/>
            <w:vAlign w:val="bottom"/>
          </w:tcPr>
          <w:p>
            <w:pPr>
              <w:spacing w:after="0"/>
              <w:rPr>
                <w:sz w:val="24"/>
                <w:szCs w:val="24"/>
                <w:color w:val="auto"/>
              </w:rPr>
            </w:pP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Page No.</w:t>
            </w:r>
          </w:p>
        </w:tc>
        <w:tc>
          <w:tcPr>
            <w:tcW w:w="420" w:type="dxa"/>
            <w:vAlign w:val="bottom"/>
          </w:tcPr>
          <w:p>
            <w:pPr>
              <w:spacing w:after="0"/>
              <w:rPr>
                <w:sz w:val="17"/>
                <w:szCs w:val="17"/>
                <w:color w:val="auto"/>
              </w:rPr>
            </w:pP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Report of Independent Auditors......................................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F-22</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Statement of Accounting Policies....................................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F-24</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Profit and Loss Account for the year ended December 31, 1999........</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F-26</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Balance Sheet as of December 31, 1999...............................</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F-27</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Notes to Financial Statements.......................................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F-28</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Reconciliation between Irish and U.S. accounting principles.........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F-38</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Operating statement and appendices..................................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F-41</w:t>
            </w:r>
          </w:p>
        </w:tc>
      </w:tr>
      <w:tr>
        <w:trPr>
          <w:trHeight w:val="405"/>
        </w:trPr>
        <w:tc>
          <w:tcPr>
            <w:tcW w:w="7380" w:type="dxa"/>
            <w:vAlign w:val="bottom"/>
          </w:tcPr>
          <w:p>
            <w:pPr>
              <w:spacing w:after="0"/>
              <w:rPr>
                <w:sz w:val="20"/>
                <w:szCs w:val="20"/>
                <w:color w:val="auto"/>
              </w:rPr>
            </w:pPr>
            <w:r>
              <w:rPr>
                <w:rFonts w:ascii="Courier New" w:cs="Courier New" w:eastAsia="Courier New" w:hAnsi="Courier New"/>
                <w:sz w:val="18"/>
                <w:szCs w:val="18"/>
                <w:color w:val="auto"/>
              </w:rPr>
              <w:t>Fiscal 1998</w:t>
            </w:r>
          </w:p>
        </w:tc>
        <w:tc>
          <w:tcPr>
            <w:tcW w:w="420" w:type="dxa"/>
            <w:vAlign w:val="bottom"/>
          </w:tcPr>
          <w:p>
            <w:pPr>
              <w:spacing w:after="0"/>
              <w:rPr>
                <w:sz w:val="24"/>
                <w:szCs w:val="24"/>
                <w:color w:val="auto"/>
              </w:rPr>
            </w:pP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Page No.</w:t>
            </w:r>
          </w:p>
        </w:tc>
        <w:tc>
          <w:tcPr>
            <w:tcW w:w="420" w:type="dxa"/>
            <w:vAlign w:val="bottom"/>
          </w:tcPr>
          <w:p>
            <w:pPr>
              <w:spacing w:after="0"/>
              <w:rPr>
                <w:sz w:val="17"/>
                <w:szCs w:val="17"/>
                <w:color w:val="auto"/>
              </w:rPr>
            </w:pP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Report of Independent Auditors......................................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F-42</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Statement of Accounting Policies....................................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F-44</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Profit and Loss Account for the year ended December 31, 1998........</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F-46</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Balance Sheet as of December 31, 1998...............................</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F-47</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Notes to Financial Statements.......................................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F-48</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Reconciliation between Irish and U.S. accounting principles.........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F-57</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Operating statement and appendices..................................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F-60</w:t>
            </w:r>
          </w:p>
        </w:tc>
      </w:tr>
    </w:tbl>
    <w:p>
      <w:pPr>
        <w:spacing w:after="0" w:line="200" w:lineRule="exact"/>
        <w:rPr>
          <w:sz w:val="20"/>
          <w:szCs w:val="20"/>
          <w:color w:val="auto"/>
        </w:rPr>
      </w:pPr>
    </w:p>
    <w:p>
      <w:pPr>
        <w:spacing w:after="0" w:line="209" w:lineRule="exact"/>
        <w:rPr>
          <w:sz w:val="20"/>
          <w:szCs w:val="20"/>
          <w:color w:val="auto"/>
        </w:rPr>
      </w:pPr>
    </w:p>
    <w:p>
      <w:pPr>
        <w:jc w:val="both"/>
        <w:ind w:left="540" w:right="177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Pro Forma Financial Information. Unaudited Pro Forma Condensed Combined Financial Statements of Gentner Communications Corporation and Ivron Systems, Ltd.</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Page No.</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Condensed</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Combined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Financial Information (unaudited)......</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P-1</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Condensed</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Combined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Balance Sheet as of June 30, 2001</w:t>
            </w:r>
          </w:p>
        </w:tc>
        <w:tc>
          <w:tcPr>
            <w:tcW w:w="840" w:type="dxa"/>
            <w:vAlign w:val="bottom"/>
          </w:tcPr>
          <w:p>
            <w:pPr>
              <w:spacing w:after="0"/>
              <w:rPr>
                <w:sz w:val="17"/>
                <w:szCs w:val="17"/>
                <w:color w:val="auto"/>
              </w:rPr>
            </w:pPr>
          </w:p>
        </w:tc>
      </w:tr>
      <w:tr>
        <w:trPr>
          <w:trHeight w:val="203"/>
        </w:trPr>
        <w:tc>
          <w:tcPr>
            <w:tcW w:w="3000" w:type="dxa"/>
            <w:vAlign w:val="bottom"/>
            <w:gridSpan w:val="2"/>
          </w:tcPr>
          <w:p>
            <w:pPr>
              <w:ind w:left="220"/>
              <w:spacing w:after="0"/>
              <w:rPr>
                <w:sz w:val="20"/>
                <w:szCs w:val="20"/>
                <w:color w:val="auto"/>
              </w:rPr>
            </w:pPr>
            <w:r>
              <w:rPr>
                <w:rFonts w:ascii="Courier New" w:cs="Courier New" w:eastAsia="Courier New" w:hAnsi="Courier New"/>
                <w:sz w:val="9"/>
                <w:szCs w:val="9"/>
                <w:color w:val="auto"/>
                <w:w w:val="77"/>
              </w:rPr>
              <w:t>(unaudited).......................................................</w:t>
            </w:r>
          </w:p>
        </w:tc>
        <w:tc>
          <w:tcPr>
            <w:tcW w:w="396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P-1</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Condensed</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Combined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Statement of Operations for the year</w:t>
            </w:r>
          </w:p>
        </w:tc>
        <w:tc>
          <w:tcPr>
            <w:tcW w:w="840" w:type="dxa"/>
            <w:vAlign w:val="bottom"/>
          </w:tcPr>
          <w:p>
            <w:pPr>
              <w:spacing w:after="0"/>
              <w:rPr>
                <w:sz w:val="17"/>
                <w:szCs w:val="17"/>
                <w:color w:val="auto"/>
              </w:rPr>
            </w:pPr>
          </w:p>
        </w:tc>
      </w:tr>
      <w:tr>
        <w:trPr>
          <w:trHeight w:val="203"/>
        </w:trPr>
        <w:tc>
          <w:tcPr>
            <w:tcW w:w="2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ended June 30,</w:t>
            </w:r>
          </w:p>
        </w:tc>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3"/>
              </w:rPr>
              <w:t>2001 (unaudited)................................</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P-3</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Notes to Pro Forma Condensed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Financial Information (unaudited)......</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P-4</w:t>
            </w:r>
          </w:p>
        </w:tc>
      </w:tr>
    </w:tbl>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Exhibit Index appearing on page 4 is incorporated herein by reference.</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Gentner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Gentner Communications Corporation</w:t>
      </w:r>
    </w:p>
    <w:p>
      <w:pPr>
        <w:ind w:left="402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4" w:lineRule="exact"/>
        <w:rPr>
          <w:sz w:val="20"/>
          <w:szCs w:val="20"/>
          <w:color w:val="auto"/>
        </w:rPr>
      </w:pPr>
    </w:p>
    <w:p>
      <w:pPr>
        <w:jc w:val="center"/>
        <w:ind w:right="-1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/s/Randall J. Wichinski</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Randall J. Wichinski</w:t>
      </w:r>
    </w:p>
    <w:p>
      <w:pPr>
        <w:ind w:left="4220"/>
        <w:spacing w:after="0" w:line="237" w:lineRule="auto"/>
        <w:rPr>
          <w:sz w:val="20"/>
          <w:szCs w:val="20"/>
          <w:color w:val="auto"/>
        </w:rPr>
      </w:pPr>
      <w:r>
        <w:rPr>
          <w:rFonts w:ascii="Courier New" w:cs="Courier New" w:eastAsia="Courier New" w:hAnsi="Courier New"/>
          <w:sz w:val="18"/>
          <w:szCs w:val="18"/>
          <w:color w:val="auto"/>
        </w:rPr>
        <w:t>Vice President Chief Financial Officer</w:t>
      </w:r>
    </w:p>
    <w:p>
      <w:pPr>
        <w:ind w:left="4220"/>
        <w:spacing w:after="0" w:line="238" w:lineRule="auto"/>
        <w:rPr>
          <w:sz w:val="20"/>
          <w:szCs w:val="20"/>
          <w:color w:val="auto"/>
        </w:rPr>
      </w:pPr>
      <w:r>
        <w:rPr>
          <w:rFonts w:ascii="Courier New" w:cs="Courier New" w:eastAsia="Courier New" w:hAnsi="Courier New"/>
          <w:sz w:val="18"/>
          <w:szCs w:val="18"/>
          <w:color w:val="auto"/>
        </w:rPr>
        <w:t>(Duly authorized Officer and Principal</w:t>
      </w:r>
    </w:p>
    <w:p>
      <w:pPr>
        <w:ind w:left="4320"/>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18, 2001</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2420" w:type="dxa"/>
            <w:vAlign w:val="bottom"/>
          </w:tcPr>
          <w:p>
            <w:pPr>
              <w:ind w:left="1620"/>
              <w:spacing w:after="0"/>
              <w:rPr>
                <w:sz w:val="20"/>
                <w:szCs w:val="20"/>
                <w:color w:val="auto"/>
              </w:rPr>
            </w:pPr>
            <w:r>
              <w:rPr>
                <w:rFonts w:ascii="Courier New" w:cs="Courier New" w:eastAsia="Courier New" w:hAnsi="Courier New"/>
                <w:sz w:val="18"/>
                <w:szCs w:val="18"/>
                <w:color w:val="auto"/>
              </w:rPr>
              <w:t>EXHIBIT</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INDEX</w:t>
            </w:r>
          </w:p>
        </w:tc>
        <w:tc>
          <w:tcPr>
            <w:tcW w:w="1700" w:type="dxa"/>
            <w:vAlign w:val="bottom"/>
          </w:tcPr>
          <w:p>
            <w:pPr>
              <w:spacing w:after="0"/>
              <w:rPr>
                <w:sz w:val="17"/>
                <w:szCs w:val="17"/>
                <w:color w:val="auto"/>
              </w:rPr>
            </w:pPr>
          </w:p>
        </w:tc>
      </w:tr>
      <w:tr>
        <w:trPr>
          <w:trHeight w:val="608"/>
        </w:trPr>
        <w:tc>
          <w:tcPr>
            <w:tcW w:w="1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0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7"/>
              </w:rPr>
              <w:t>Sequentially</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Exhibit</w:t>
            </w:r>
          </w:p>
        </w:tc>
        <w:tc>
          <w:tcPr>
            <w:tcW w:w="2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Numbered</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w:t>
            </w:r>
          </w:p>
        </w:tc>
        <w:tc>
          <w:tcPr>
            <w:tcW w:w="2420" w:type="dxa"/>
            <w:vAlign w:val="bottom"/>
          </w:tcPr>
          <w:p>
            <w:pPr>
              <w:spacing w:after="0"/>
              <w:rPr>
                <w:sz w:val="17"/>
                <w:szCs w:val="17"/>
                <w:color w:val="auto"/>
              </w:rPr>
            </w:pP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Description</w:t>
            </w:r>
          </w:p>
        </w:tc>
        <w:tc>
          <w:tcPr>
            <w:tcW w:w="170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Page</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spacing w:after="0"/>
              <w:rPr>
                <w:sz w:val="17"/>
                <w:szCs w:val="17"/>
                <w:color w:val="auto"/>
              </w:rPr>
            </w:pP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2.1</w:t>
            </w:r>
          </w:p>
        </w:tc>
        <w:tc>
          <w:tcPr>
            <w:tcW w:w="4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Share Purchase Agreement among Gentner</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rPr>
                <w:sz w:val="17"/>
                <w:szCs w:val="17"/>
                <w:color w:val="auto"/>
              </w:rPr>
            </w:pPr>
          </w:p>
        </w:tc>
        <w:tc>
          <w:tcPr>
            <w:tcW w:w="4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Communications Corporation, Gentner</w:t>
            </w:r>
          </w:p>
        </w:tc>
        <w:tc>
          <w:tcPr>
            <w:tcW w:w="17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4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Ventures, Inc., and the Shareholders of</w:t>
            </w:r>
          </w:p>
        </w:tc>
        <w:tc>
          <w:tcPr>
            <w:tcW w:w="17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Ivron Systems, Ltd.</w:t>
            </w:r>
          </w:p>
        </w:tc>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99.1</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w w:val="99"/>
              </w:rPr>
              <w:t>Press Release issued</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October 4, 2001</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259"/>
          </w:cols>
          <w:pgMar w:left="1200" w:top="919" w:right="1440" w:bottom="1440" w:gutter="0" w:footer="0" w:header="0"/>
        </w:sectPr>
      </w:pPr>
    </w:p>
    <w:bookmarkStart w:id="4" w:name="page5"/>
    <w:bookmarkEnd w:id="4"/>
    <w:p>
      <w:pPr>
        <w:jc w:val="both"/>
        <w:ind w:right="1779"/>
        <w:spacing w:after="0" w:line="235" w:lineRule="auto"/>
        <w:rPr>
          <w:sz w:val="20"/>
          <w:szCs w:val="20"/>
          <w:color w:val="auto"/>
        </w:rPr>
      </w:pPr>
      <w:r>
        <w:rPr>
          <w:rFonts w:ascii="Courier New" w:cs="Courier New" w:eastAsia="Courier New" w:hAnsi="Courier New"/>
          <w:sz w:val="18"/>
          <w:szCs w:val="18"/>
          <w:color w:val="auto"/>
        </w:rPr>
        <w:t>Auditors' report to the members of Ivron Systems Group Limited (formerly known as Vedia Technology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audited the financial statements on pages 7 to 21.</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Respective responsibilities of directors and auditors in relation to the financial statements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directors are responsible for preparing the directors' report and, as described on page 4, the financial statements in accordance with applicable Irish law and accounting standards. Our responsibilities, as independent auditors, are established in Ireland by statute, the Auditing Practices Board and by our professions ethical guidance.</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report to you our opinion as to whether the financial statements give a true and fair view and are properly prepared in accordance with the Companies Acts. As also required by the Acts, we state whether we have obtained all the information and explanations we require for our audit, whether the financial statements agree with the books of account and report to you our opinion as to whether:</w:t>
      </w: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the company has kept proper books of account;</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the directors report is consistent with the financial statements:</w:t>
      </w:r>
    </w:p>
    <w:p>
      <w:pPr>
        <w:spacing w:after="0" w:line="207" w:lineRule="exact"/>
        <w:rPr>
          <w:sz w:val="20"/>
          <w:szCs w:val="20"/>
          <w:color w:val="auto"/>
        </w:rPr>
      </w:pPr>
    </w:p>
    <w:p>
      <w:pPr>
        <w:jc w:val="both"/>
        <w:ind w:left="540" w:right="1779" w:hanging="539"/>
        <w:spacing w:after="0" w:line="237" w:lineRule="auto"/>
        <w:tabs>
          <w:tab w:leader="none" w:pos="520" w:val="left"/>
        </w:tabs>
        <w:rPr>
          <w:sz w:val="20"/>
          <w:szCs w:val="20"/>
          <w:color w:val="auto"/>
        </w:rPr>
      </w:pPr>
      <w:r>
        <w:rPr>
          <w:rFonts w:ascii="Courier New" w:cs="Courier New" w:eastAsia="Courier New" w:hAnsi="Courier New"/>
          <w:sz w:val="18"/>
          <w:szCs w:val="18"/>
          <w:color w:val="auto"/>
        </w:rPr>
        <w:t>|X|</w:t>
        <w:tab/>
        <w:t>at the balance sheet date a financial situation existed that would require the company to hold an extraordinary general meeting, on the grounds that the net assets of the company, as shown in the financial statements, are less than half of its share capital.</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We also report to you if, in our opinion, information specified by law regarding directors' remuneration and transactions with the company is not disclosed.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opinion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issued by the Auditing Practices Board. An audit includes examination, on a test basis, of evidence relevant to the amounts and disclosures in the financial statements. It also includes an assessment of the significant estimates and judgements made by the directors in the preparation of the financial statements, and of whether the accounting policies are appropriate to the company's circumstances, consistently applied and adequately disclosed.</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planned and performed our audit so as to obtain all the information and explanations which we considered necessary in order to provide us with sufficient evidence to give reasonable assurance that the financial statements are free from material misstatement, whether caused by fraud or other irregularity or error. In forming our opinion we also evaluated the overall adequacy of the presentation of information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23" w:right="1440" w:bottom="1440" w:gutter="0" w:footer="0" w:header="0"/>
        </w:sectPr>
      </w:pPr>
    </w:p>
    <w:bookmarkStart w:id="5" w:name="page6"/>
    <w:bookmarkEnd w:id="5"/>
    <w:p>
      <w:pPr>
        <w:jc w:val="both"/>
        <w:ind w:right="1779"/>
        <w:spacing w:after="0" w:line="235" w:lineRule="auto"/>
        <w:rPr>
          <w:sz w:val="20"/>
          <w:szCs w:val="20"/>
          <w:color w:val="auto"/>
        </w:rPr>
      </w:pPr>
      <w:r>
        <w:rPr>
          <w:rFonts w:ascii="Courier New" w:cs="Courier New" w:eastAsia="Courier New" w:hAnsi="Courier New"/>
          <w:sz w:val="18"/>
          <w:szCs w:val="18"/>
          <w:color w:val="auto"/>
        </w:rPr>
        <w:t>Auditors' report to the members of Ivron Systems Group Limited (formerly known as Vedia Technology Limited) (continued)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Going concern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forming our opinion, we have considered the adequacy of the disclosures made in note 1 to the financial statements concerning continued financial support. In view of the significance of the reliance on support from the directors and shareholders, we consider that it should be drawn to your attention. Our opinion is not qualified in this respect.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our opinion the financial statements give a true and fair view of the state of the company's affairs at 31 December 2000 and of its loss for the year then ended and have been properly prepared in accordance with the Companies Acts, 1963 to 1999 and all Regulations to be construed as one with those Acts.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obtained all the information and explanations we considered necessary for the purposes of our audit. In our opinion, proper books of account have been kept by the company. The financial statements are in agreement with the books of account.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 our opinion the information given in the directors' report on pages 2 and 3 is consistent with the financial statements.</w:t>
      </w:r>
    </w:p>
    <w:p>
      <w:pPr>
        <w:spacing w:after="0" w:line="208"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The net assets of the company, as stated in the company balance sheet on page 11, are more than half of the amount of its called up share capital and, in our opinion, on that basis there did not exist at 31 December 2000 a financial situation which, under Section 40(1) of the Companies (Amendment) Act 1983, would require the convening of an extraordinary general meeting of the company.</w:t>
      </w:r>
    </w:p>
    <w:p>
      <w:pPr>
        <w:sectPr>
          <w:pgSz w:w="11900" w:h="16838" w:orient="portrait"/>
          <w:cols w:equalWidth="0" w:num="1">
            <w:col w:w="10219"/>
          </w:cols>
          <w:pgMar w:left="240" w:top="925"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Chartered Accountants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Auditors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July 2001</w:t>
      </w:r>
    </w:p>
    <w:p>
      <w:pPr>
        <w:spacing w:after="0" w:line="419" w:lineRule="exact"/>
        <w:rPr>
          <w:sz w:val="20"/>
          <w:szCs w:val="20"/>
          <w:color w:val="auto"/>
        </w:rPr>
      </w:pPr>
    </w:p>
    <w:p>
      <w:pPr>
        <w:sectPr>
          <w:pgSz w:w="11900" w:h="16838" w:orient="portrait"/>
          <w:cols w:equalWidth="0" w:num="2">
            <w:col w:w="6460" w:space="720"/>
            <w:col w:w="303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925"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accounting policies have been applied consistently in dealing with items which are considered material in relation to the company's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preparation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financial statements are presented in United States dollars (US$) and prepared in accordance with generally accepted accounting principles under the historical cost convention and comply with financial reporting standards of the Accounting Standards Board, as promulgated by the Institute of Chartered Accountants in Ireland.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consolidation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consolidated financial statements include the audited financial statements of the company and it's subsidiary which are made up to December 31 2000. A separate profit and loss account for the company is not presented, as provided for by Section 3 (2) of the Companies (Amendment) Act 1986.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Turnover</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Turnover represents the invoiced value of goods and services exclusive of Value Added Tax.</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and depreciation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Tangible fixed assets are stated at cost less accumulated depreciation. The charge for depreciation is calculated to write down the cost of tangible fixed assets over their expected useful lives on a straight-line basis at the following annual rates:</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Plant and machinery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33 1/3%</w:t>
      </w:r>
    </w:p>
    <w:p>
      <w:pPr>
        <w:spacing w:after="0" w:line="200" w:lineRule="exact"/>
        <w:rPr>
          <w:sz w:val="20"/>
          <w:szCs w:val="20"/>
          <w:color w:val="auto"/>
        </w:rPr>
      </w:pPr>
    </w:p>
    <w:p>
      <w:pPr>
        <w:sectPr>
          <w:pgSz w:w="11900" w:h="16838" w:orient="portrait"/>
          <w:cols w:equalWidth="0" w:num="2">
            <w:col w:w="5400" w:space="720"/>
            <w:col w:w="4099"/>
          </w:cols>
          <w:pgMar w:left="240" w:top="919"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Stocks</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Stocks</w:t>
        <w:tab/>
        <w:t>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valued at the lower of cost and net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realisable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on an actual</w:t>
      </w:r>
    </w:p>
    <w:p>
      <w:pPr>
        <w:spacing w:after="0" w:line="16" w:lineRule="exact"/>
        <w:rPr>
          <w:sz w:val="20"/>
          <w:szCs w:val="20"/>
          <w:color w:val="auto"/>
        </w:rPr>
      </w:pPr>
    </w:p>
    <w:p>
      <w:pPr>
        <w:sectPr>
          <w:pgSz w:w="11900" w:h="16838" w:orient="portrait"/>
          <w:cols w:equalWidth="0" w:num="4">
            <w:col w:w="1160" w:space="220"/>
            <w:col w:w="3680" w:space="220"/>
            <w:col w:w="1040" w:space="220"/>
            <w:col w:w="367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cost basis.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tax is provided on profits should they arise.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currencies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Transactions arising in foreign currencies are recorded at the monthly average exchange rates. Monetary items denominated in foreign currencies are translated at the balance sheet rate and the exchange differences are dealt with in the profit and loss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919"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Leased assets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Tangible fixed assets acquired under finance leases are included in the balance sheet at their equivalent capital value and depreciated over the shorter of the lease term and their useful lives. The corresponding liabilities are recorded as a creditor and the interest element of the finance lease rentals is charged to the profit and loss account on an annuity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Expenditure on research and development of new products is written off fully in the year in which it is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 fixed assets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Intangible fixed assets relates to software licences and are being written off to the profit and loss account over three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Purchased goodwill arising on the acquisition of Mentec Picturecom is capitalised in the balance sheet and amortised over the estimated economic life of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profit and loss account</w:t>
      </w:r>
    </w:p>
    <w:p>
      <w:pPr>
        <w:spacing w:after="0" w:line="238" w:lineRule="auto"/>
        <w:rPr>
          <w:sz w:val="20"/>
          <w:szCs w:val="20"/>
          <w:color w:val="auto"/>
        </w:rPr>
      </w:pPr>
      <w:r>
        <w:rPr>
          <w:rFonts w:ascii="Courier New" w:cs="Courier New" w:eastAsia="Courier New" w:hAnsi="Courier New"/>
          <w:sz w:val="18"/>
          <w:szCs w:val="18"/>
          <w:color w:val="auto"/>
        </w:rPr>
        <w:t>For the year ended 31 December 2000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Notes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Year ended</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5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 December</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5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116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1,443,025</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1,625,870</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16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(1,363,177)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(1,139,159)</w:t>
            </w:r>
          </w:p>
        </w:tc>
      </w:tr>
      <w:tr>
        <w:trPr>
          <w:trHeight w:val="203"/>
        </w:trPr>
        <w:tc>
          <w:tcPr>
            <w:tcW w:w="5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Gross profit - continuing operations</w:t>
            </w:r>
          </w:p>
        </w:tc>
        <w:tc>
          <w:tcPr>
            <w:tcW w:w="116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79,848</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486,711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(2,384,630)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(2,281,669)</w:t>
            </w:r>
          </w:p>
        </w:tc>
      </w:tr>
      <w:tr>
        <w:trPr>
          <w:trHeight w:val="203"/>
        </w:trPr>
        <w:tc>
          <w:tcPr>
            <w:tcW w:w="5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loss - continuing operations</w:t>
            </w:r>
          </w:p>
        </w:tc>
        <w:tc>
          <w:tcPr>
            <w:tcW w:w="116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(2,304,782)</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(1,794,958)</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Interest receivable and similar income</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2,792</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829</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(5,917)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(7,744)</w:t>
            </w:r>
          </w:p>
        </w:tc>
      </w:tr>
      <w:tr>
        <w:trPr>
          <w:trHeight w:val="203"/>
        </w:trPr>
        <w:tc>
          <w:tcPr>
            <w:tcW w:w="5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 taxation</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(2,307,907)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(1,801,873)</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Tax on loss on ordinary activities</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Loss for the financial year</w:t>
            </w:r>
          </w:p>
        </w:tc>
        <w:tc>
          <w:tcPr>
            <w:tcW w:w="116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(2,307,907)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(1,801,873)</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 at beginning of year</w:t>
            </w:r>
          </w:p>
        </w:tc>
        <w:tc>
          <w:tcPr>
            <w:tcW w:w="116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(3,415,812)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(1,613,938)</w:t>
            </w:r>
          </w:p>
        </w:tc>
      </w:tr>
      <w:tr>
        <w:trPr>
          <w:trHeight w:val="203"/>
        </w:trPr>
        <w:tc>
          <w:tcPr>
            <w:tcW w:w="5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Profit and loss account at end of year</w:t>
            </w:r>
          </w:p>
        </w:tc>
        <w:tc>
          <w:tcPr>
            <w:tcW w:w="1160" w:type="dxa"/>
            <w:vAlign w:val="bottom"/>
          </w:tcPr>
          <w:p>
            <w:pPr>
              <w:spacing w:after="0"/>
              <w:rPr>
                <w:sz w:val="24"/>
                <w:szCs w:val="24"/>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(5,723,719)</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(3,415,811)</w:t>
            </w:r>
          </w:p>
        </w:tc>
      </w:tr>
      <w:tr>
        <w:trPr>
          <w:trHeight w:val="203"/>
        </w:trPr>
        <w:tc>
          <w:tcPr>
            <w:tcW w:w="5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group had no recognised gains or losses in the financial year or preceding financial year other than those dealt with in the profit and loss account and, accordingly, no statement of total recognised gains and losses is included.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behalf of the board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 Peirce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Smyth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4660" w:space="720"/>
            <w:col w:w="483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919"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w:t>
      </w:r>
    </w:p>
    <w:p>
      <w:pPr>
        <w:spacing w:after="0" w:line="238" w:lineRule="auto"/>
        <w:rPr>
          <w:sz w:val="20"/>
          <w:szCs w:val="20"/>
          <w:color w:val="auto"/>
        </w:rPr>
      </w:pPr>
      <w:r>
        <w:rPr>
          <w:rFonts w:ascii="Courier New" w:cs="Courier New" w:eastAsia="Courier New" w:hAnsi="Courier New"/>
          <w:sz w:val="18"/>
          <w:szCs w:val="18"/>
          <w:color w:val="auto"/>
        </w:rPr>
        <w:t>at 31 December 2000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Note</w:t>
            </w:r>
          </w:p>
        </w:tc>
        <w:tc>
          <w:tcPr>
            <w:tcW w:w="1160" w:type="dxa"/>
            <w:vAlign w:val="bottom"/>
          </w:tcPr>
          <w:p>
            <w:pPr>
              <w:spacing w:after="0"/>
              <w:rPr>
                <w:sz w:val="17"/>
                <w:szCs w:val="17"/>
                <w:color w:val="auto"/>
              </w:rPr>
            </w:pP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2000</w:t>
            </w:r>
          </w:p>
        </w:tc>
        <w:tc>
          <w:tcPr>
            <w:tcW w:w="1160" w:type="dxa"/>
            <w:vAlign w:val="bottom"/>
          </w:tcPr>
          <w:p>
            <w:pPr>
              <w:spacing w:after="0"/>
              <w:rPr>
                <w:sz w:val="17"/>
                <w:szCs w:val="17"/>
                <w:color w:val="auto"/>
              </w:rPr>
            </w:pPr>
          </w:p>
        </w:tc>
        <w:tc>
          <w:tcPr>
            <w:tcW w:w="1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94,830</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190,658</w:t>
            </w:r>
          </w:p>
        </w:tc>
        <w:tc>
          <w:tcPr>
            <w:tcW w:w="122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52,354</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62,135</w:t>
            </w:r>
          </w:p>
        </w:tc>
        <w:tc>
          <w:tcPr>
            <w:tcW w:w="122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purchased goodwill</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1,050,000</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1,200,000</w:t>
            </w:r>
          </w:p>
        </w:tc>
        <w:tc>
          <w:tcPr>
            <w:tcW w:w="122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r>
      <w:tr>
        <w:trPr>
          <w:trHeight w:val="405"/>
        </w:trPr>
        <w:tc>
          <w:tcPr>
            <w:tcW w:w="4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1,197,184</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1,452,793</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439,732</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171,660</w:t>
            </w:r>
          </w:p>
        </w:tc>
        <w:tc>
          <w:tcPr>
            <w:tcW w:w="122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477,488</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503,221</w:t>
            </w:r>
          </w:p>
        </w:tc>
        <w:tc>
          <w:tcPr>
            <w:tcW w:w="122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987,355</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83,023</w:t>
            </w:r>
          </w:p>
        </w:tc>
        <w:tc>
          <w:tcPr>
            <w:tcW w:w="122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r>
      <w:tr>
        <w:trPr>
          <w:trHeight w:val="608"/>
        </w:trPr>
        <w:tc>
          <w:tcPr>
            <w:tcW w:w="4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1,904,575</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757,904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1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(684,958)</w:t>
            </w:r>
          </w:p>
        </w:tc>
        <w:tc>
          <w:tcPr>
            <w:tcW w:w="1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(840,905)</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current assets /(liabilities)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1,219,680</w:t>
            </w:r>
          </w:p>
        </w:tc>
        <w:tc>
          <w:tcPr>
            <w:tcW w:w="1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(83,001)</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2,416,801</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1,369,792</w:t>
            </w:r>
          </w:p>
        </w:tc>
      </w:tr>
      <w:tr>
        <w:trPr>
          <w:trHeight w:val="405"/>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w w:val="99"/>
              </w:rPr>
              <w:t>Creditors: amounts falling due after one year16</w:t>
            </w:r>
          </w:p>
        </w:tc>
        <w:tc>
          <w:tcPr>
            <w:tcW w:w="116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(725,000)</w:t>
            </w:r>
          </w:p>
        </w:tc>
        <w:tc>
          <w:tcPr>
            <w:tcW w:w="1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(766,813)</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1,691,801</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602,979</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3,752,373</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2,054,008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3,663,147</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1,964,782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(5,723,719)</w:t>
            </w:r>
          </w:p>
        </w:tc>
        <w:tc>
          <w:tcPr>
            <w:tcW w:w="1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(3,415,811)</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1,691,801</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602,979</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On behalf of the board</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M. Peirce</w:t>
            </w:r>
          </w:p>
        </w:tc>
        <w:tc>
          <w:tcPr>
            <w:tcW w:w="8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 Smyth</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8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Director</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91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balance sheet</w:t>
      </w:r>
    </w:p>
    <w:p>
      <w:pPr>
        <w:spacing w:after="0" w:line="238" w:lineRule="auto"/>
        <w:rPr>
          <w:sz w:val="20"/>
          <w:szCs w:val="20"/>
          <w:color w:val="auto"/>
        </w:rPr>
      </w:pPr>
      <w:r>
        <w:rPr>
          <w:rFonts w:ascii="Courier New" w:cs="Courier New" w:eastAsia="Courier New" w:hAnsi="Courier New"/>
          <w:sz w:val="18"/>
          <w:szCs w:val="18"/>
          <w:color w:val="auto"/>
        </w:rPr>
        <w:t>at 31 December 2000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Note</w:t>
            </w:r>
          </w:p>
        </w:tc>
        <w:tc>
          <w:tcPr>
            <w:tcW w:w="1160" w:type="dxa"/>
            <w:vAlign w:val="bottom"/>
          </w:tcPr>
          <w:p>
            <w:pPr>
              <w:spacing w:after="0"/>
              <w:rPr>
                <w:sz w:val="17"/>
                <w:szCs w:val="17"/>
                <w:color w:val="auto"/>
              </w:rPr>
            </w:pP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2000</w:t>
            </w:r>
          </w:p>
        </w:tc>
        <w:tc>
          <w:tcPr>
            <w:tcW w:w="1160" w:type="dxa"/>
            <w:vAlign w:val="bottom"/>
          </w:tcPr>
          <w:p>
            <w:pPr>
              <w:spacing w:after="0"/>
              <w:rPr>
                <w:sz w:val="17"/>
                <w:szCs w:val="17"/>
                <w:color w:val="auto"/>
              </w:rPr>
            </w:pPr>
          </w:p>
        </w:tc>
        <w:tc>
          <w:tcPr>
            <w:tcW w:w="1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Tangible assets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94,830</w:t>
            </w:r>
          </w:p>
        </w:tc>
        <w:tc>
          <w:tcPr>
            <w:tcW w:w="1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190,658</w:t>
            </w: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52,354</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62,135</w:t>
            </w:r>
          </w:p>
        </w:tc>
        <w:tc>
          <w:tcPr>
            <w:tcW w:w="122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purchased goodwill</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1,050,000</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1,200,000</w:t>
            </w:r>
          </w:p>
        </w:tc>
        <w:tc>
          <w:tcPr>
            <w:tcW w:w="122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assets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r>
      <w:tr>
        <w:trPr>
          <w:trHeight w:val="405"/>
        </w:trPr>
        <w:tc>
          <w:tcPr>
            <w:tcW w:w="4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1,197,185</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1,452,793</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442,394</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171,660</w:t>
            </w:r>
          </w:p>
        </w:tc>
        <w:tc>
          <w:tcPr>
            <w:tcW w:w="122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817,478</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503,221</w:t>
            </w:r>
          </w:p>
        </w:tc>
        <w:tc>
          <w:tcPr>
            <w:tcW w:w="122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968,763</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83,023</w:t>
            </w:r>
          </w:p>
        </w:tc>
        <w:tc>
          <w:tcPr>
            <w:tcW w:w="122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r>
      <w:tr>
        <w:trPr>
          <w:trHeight w:val="608"/>
        </w:trPr>
        <w:tc>
          <w:tcPr>
            <w:tcW w:w="4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2,228,635</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757,904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1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(653,848)</w:t>
            </w:r>
          </w:p>
        </w:tc>
        <w:tc>
          <w:tcPr>
            <w:tcW w:w="1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(840,905)</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current  assets /(liabilities)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1,574,787</w:t>
            </w:r>
          </w:p>
        </w:tc>
        <w:tc>
          <w:tcPr>
            <w:tcW w:w="1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(83,001)</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2,771,972</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1,369,792</w:t>
            </w:r>
          </w:p>
        </w:tc>
      </w:tr>
      <w:tr>
        <w:trPr>
          <w:trHeight w:val="405"/>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w w:val="99"/>
              </w:rPr>
              <w:t>Creditors: amounts falling due after one year16</w:t>
            </w:r>
          </w:p>
        </w:tc>
        <w:tc>
          <w:tcPr>
            <w:tcW w:w="116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(725,000)</w:t>
            </w:r>
          </w:p>
        </w:tc>
        <w:tc>
          <w:tcPr>
            <w:tcW w:w="1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(766,813)</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2,046,972</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602,979</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3,752,373</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2,054,008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3,663,147</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1,964,782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(5,368,883)</w:t>
            </w:r>
          </w:p>
        </w:tc>
        <w:tc>
          <w:tcPr>
            <w:tcW w:w="1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(3,415,811)</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2,046,972</w:t>
            </w:r>
          </w:p>
        </w:tc>
        <w:tc>
          <w:tcPr>
            <w:tcW w:w="11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602,979</w:t>
            </w:r>
          </w:p>
        </w:tc>
      </w:tr>
      <w:tr>
        <w:trPr>
          <w:trHeight w:val="203"/>
        </w:trPr>
        <w:tc>
          <w:tcPr>
            <w:tcW w:w="4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On behalf of the board</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M. Peirce</w:t>
            </w:r>
          </w:p>
        </w:tc>
        <w:tc>
          <w:tcPr>
            <w:tcW w:w="8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 Smyth</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8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Director</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rPr>
          <w:sz w:val="20"/>
          <w:szCs w:val="20"/>
          <w:color w:val="auto"/>
        </w:rPr>
      </w:pPr>
      <w:r>
        <w:rPr>
          <w:rFonts w:ascii="Courier New" w:cs="Courier New" w:eastAsia="Courier New" w:hAnsi="Courier New"/>
          <w:sz w:val="18"/>
          <w:szCs w:val="18"/>
          <w:color w:val="auto"/>
        </w:rPr>
        <w:t>Notes</w:t>
      </w:r>
    </w:p>
    <w:p>
      <w:pPr>
        <w:spacing w:after="0" w:line="237" w:lineRule="auto"/>
        <w:rPr>
          <w:sz w:val="20"/>
          <w:szCs w:val="20"/>
          <w:color w:val="auto"/>
        </w:rPr>
      </w:pPr>
      <w:r>
        <w:rPr>
          <w:rFonts w:ascii="Courier New" w:cs="Courier New" w:eastAsia="Courier New" w:hAnsi="Courier New"/>
          <w:sz w:val="18"/>
          <w:szCs w:val="18"/>
          <w:color w:val="auto"/>
        </w:rPr>
        <w:t>forming part of the financial statements</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Support</w:t>
      </w:r>
    </w:p>
    <w:p>
      <w:pPr>
        <w:spacing w:after="0" w:line="4"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generated losses of US$5.7 million since incorporation and the losses have been financed principally by shareholders equity. The directors have prepared a business plan incorporating cash flow projections for the period through to 30 June 2002. The company's business plan envisages that additional finance will be required to fund the company's activities and certain directors and shareholders have indicated that they are willing to provide the necessary financial support for the foreseeable future to enable the company to trade at it's projected level of operation. The financial statements have, accordingly, been prepared on the going concern basis.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Operating expenses</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Year ended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 December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Selling, general and administration expenses</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1,601,679</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1,164,923</w:t>
            </w:r>
          </w:p>
        </w:tc>
      </w:tr>
      <w:tr>
        <w:trPr>
          <w:trHeight w:val="203"/>
        </w:trPr>
        <w:tc>
          <w:tcPr>
            <w:tcW w:w="320" w:type="dxa"/>
            <w:vAlign w:val="bottom"/>
          </w:tcPr>
          <w:p>
            <w:pPr>
              <w:spacing w:after="0"/>
              <w:rPr>
                <w:sz w:val="17"/>
                <w:szCs w:val="17"/>
                <w:color w:val="auto"/>
              </w:rPr>
            </w:pPr>
          </w:p>
        </w:tc>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782,951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1,116,746</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2,384,630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2,281,669</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Interest receivable and similar income</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Year ended</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 December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Deposit interest received</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2,792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829</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4</w:t>
            </w:r>
          </w:p>
        </w:tc>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Interest payable</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Year ended</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 December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Bank interest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2,005</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2,887</w:t>
            </w:r>
          </w:p>
        </w:tc>
      </w:tr>
      <w:tr>
        <w:trPr>
          <w:trHeight w:val="203"/>
        </w:trPr>
        <w:tc>
          <w:tcPr>
            <w:tcW w:w="320" w:type="dxa"/>
            <w:vAlign w:val="bottom"/>
          </w:tcPr>
          <w:p>
            <w:pPr>
              <w:spacing w:after="0"/>
              <w:rPr>
                <w:sz w:val="17"/>
                <w:szCs w:val="17"/>
                <w:color w:val="auto"/>
              </w:rPr>
            </w:pPr>
          </w:p>
        </w:tc>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lease interest payable</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respect of finance leases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4,857</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5,917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7,744</w:t>
            </w:r>
          </w:p>
        </w:tc>
      </w:tr>
      <w:tr>
        <w:trPr>
          <w:trHeight w:val="203"/>
        </w:trPr>
        <w:tc>
          <w:tcPr>
            <w:tcW w:w="3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91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Statutory information</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Year ended</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 December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Depreciation and other amounts written off:</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tangible fixed assets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163,553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93,319</w:t>
            </w:r>
          </w:p>
        </w:tc>
      </w:tr>
      <w:tr>
        <w:trPr>
          <w:trHeight w:val="203"/>
        </w:trPr>
        <w:tc>
          <w:tcPr>
            <w:tcW w:w="320" w:type="dxa"/>
            <w:vAlign w:val="bottom"/>
          </w:tcPr>
          <w:p>
            <w:pPr>
              <w:spacing w:after="0"/>
              <w:rPr>
                <w:sz w:val="17"/>
                <w:szCs w:val="17"/>
                <w:color w:val="auto"/>
              </w:rPr>
            </w:pPr>
          </w:p>
        </w:tc>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Leased tangible fixed assets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26,556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36,626</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Auditors' remuneration</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13,000</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average weekly number of employees, analysed by category, were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780" w:type="dxa"/>
            <w:vAlign w:val="bottom"/>
          </w:tcPr>
          <w:p>
            <w:pPr>
              <w:spacing w:after="0"/>
              <w:rPr>
                <w:sz w:val="17"/>
                <w:szCs w:val="17"/>
                <w:color w:val="auto"/>
              </w:rPr>
            </w:pPr>
          </w:p>
        </w:tc>
        <w:tc>
          <w:tcPr>
            <w:tcW w:w="2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Year ended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3780" w:type="dxa"/>
            <w:vAlign w:val="bottom"/>
          </w:tcPr>
          <w:p>
            <w:pPr>
              <w:spacing w:after="0"/>
              <w:rPr>
                <w:sz w:val="17"/>
                <w:szCs w:val="17"/>
                <w:color w:val="auto"/>
              </w:rPr>
            </w:pPr>
          </w:p>
        </w:tc>
        <w:tc>
          <w:tcPr>
            <w:tcW w:w="2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 December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780" w:type="dxa"/>
            <w:vAlign w:val="bottom"/>
          </w:tcPr>
          <w:p>
            <w:pPr>
              <w:spacing w:after="0"/>
              <w:rPr>
                <w:sz w:val="17"/>
                <w:szCs w:val="17"/>
                <w:color w:val="auto"/>
              </w:rPr>
            </w:pPr>
          </w:p>
        </w:tc>
        <w:tc>
          <w:tcPr>
            <w:tcW w:w="2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780" w:type="dxa"/>
            <w:vAlign w:val="bottom"/>
          </w:tcPr>
          <w:p>
            <w:pPr>
              <w:spacing w:after="0"/>
              <w:rPr>
                <w:sz w:val="17"/>
                <w:szCs w:val="17"/>
                <w:color w:val="auto"/>
              </w:rPr>
            </w:pPr>
          </w:p>
        </w:tc>
        <w:tc>
          <w:tcPr>
            <w:tcW w:w="2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Number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r>
      <w:tr>
        <w:trPr>
          <w:trHeight w:val="405"/>
        </w:trPr>
        <w:tc>
          <w:tcPr>
            <w:tcW w:w="3780" w:type="dxa"/>
            <w:vAlign w:val="bottom"/>
          </w:tcPr>
          <w:p>
            <w:pPr>
              <w:spacing w:after="0"/>
              <w:rPr>
                <w:sz w:val="20"/>
                <w:szCs w:val="20"/>
                <w:color w:val="auto"/>
              </w:rPr>
            </w:pPr>
            <w:r>
              <w:rPr>
                <w:rFonts w:ascii="Courier New" w:cs="Courier New" w:eastAsia="Courier New" w:hAnsi="Courier New"/>
                <w:sz w:val="18"/>
                <w:szCs w:val="18"/>
                <w:color w:val="auto"/>
              </w:rPr>
              <w:t>Sales and administration</w:t>
            </w:r>
          </w:p>
        </w:tc>
        <w:tc>
          <w:tcPr>
            <w:tcW w:w="2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2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780" w:type="dxa"/>
            <w:vAlign w:val="bottom"/>
          </w:tcPr>
          <w:p>
            <w:pPr>
              <w:spacing w:after="0"/>
              <w:rPr>
                <w:sz w:val="17"/>
                <w:szCs w:val="17"/>
                <w:color w:val="auto"/>
              </w:rPr>
            </w:pPr>
          </w:p>
        </w:tc>
        <w:tc>
          <w:tcPr>
            <w:tcW w:w="2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780" w:type="dxa"/>
            <w:vAlign w:val="bottom"/>
          </w:tcPr>
          <w:p>
            <w:pPr>
              <w:spacing w:after="0"/>
              <w:rPr>
                <w:sz w:val="24"/>
                <w:szCs w:val="24"/>
                <w:color w:val="auto"/>
              </w:rPr>
            </w:pPr>
          </w:p>
        </w:tc>
        <w:tc>
          <w:tcPr>
            <w:tcW w:w="2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203"/>
        </w:trPr>
        <w:tc>
          <w:tcPr>
            <w:tcW w:w="3780" w:type="dxa"/>
            <w:vAlign w:val="bottom"/>
          </w:tcPr>
          <w:p>
            <w:pPr>
              <w:spacing w:after="0"/>
              <w:rPr>
                <w:sz w:val="17"/>
                <w:szCs w:val="17"/>
                <w:color w:val="auto"/>
              </w:rPr>
            </w:pPr>
          </w:p>
        </w:tc>
        <w:tc>
          <w:tcPr>
            <w:tcW w:w="2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aggregate payroll costs of these employees were as follows: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Year ended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3580" w:type="dxa"/>
            <w:vAlign w:val="bottom"/>
          </w:tcPr>
          <w:p>
            <w:pPr>
              <w:spacing w:after="0"/>
              <w:rPr>
                <w:sz w:val="17"/>
                <w:szCs w:val="17"/>
                <w:color w:val="auto"/>
              </w:rPr>
            </w:pP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 December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580" w:type="dxa"/>
            <w:vAlign w:val="bottom"/>
          </w:tcPr>
          <w:p>
            <w:pPr>
              <w:spacing w:after="0"/>
              <w:rPr>
                <w:sz w:val="17"/>
                <w:szCs w:val="17"/>
                <w:color w:val="auto"/>
              </w:rPr>
            </w:pP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580" w:type="dxa"/>
            <w:vAlign w:val="bottom"/>
          </w:tcPr>
          <w:p>
            <w:pPr>
              <w:spacing w:after="0"/>
              <w:rPr>
                <w:sz w:val="17"/>
                <w:szCs w:val="17"/>
                <w:color w:val="auto"/>
              </w:rPr>
            </w:pP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Wages and salaries</w:t>
            </w:r>
          </w:p>
        </w:tc>
        <w:tc>
          <w:tcPr>
            <w:tcW w:w="2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1,087,751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1,134,978</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Social welfare costs</w:t>
            </w: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102,351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116,987</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cost</w:t>
            </w: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5,292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spacing w:after="0"/>
              <w:rPr>
                <w:sz w:val="24"/>
                <w:szCs w:val="24"/>
                <w:color w:val="auto"/>
              </w:rPr>
            </w:pPr>
          </w:p>
        </w:tc>
        <w:tc>
          <w:tcPr>
            <w:tcW w:w="2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1,195,394</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1,251,965</w:t>
            </w:r>
          </w:p>
        </w:tc>
      </w:tr>
      <w:tr>
        <w:trPr>
          <w:trHeight w:val="203"/>
        </w:trPr>
        <w:tc>
          <w:tcPr>
            <w:tcW w:w="3580" w:type="dxa"/>
            <w:vAlign w:val="bottom"/>
          </w:tcPr>
          <w:p>
            <w:pPr>
              <w:spacing w:after="0"/>
              <w:rPr>
                <w:sz w:val="17"/>
                <w:szCs w:val="17"/>
                <w:color w:val="auto"/>
              </w:rPr>
            </w:pPr>
          </w:p>
        </w:tc>
        <w:tc>
          <w:tcPr>
            <w:tcW w:w="2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91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58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 and transactions</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686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Year ended</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320" w:type="dxa"/>
            <w:vAlign w:val="bottom"/>
          </w:tcPr>
          <w:p>
            <w:pPr>
              <w:spacing w:after="0"/>
              <w:rPr>
                <w:sz w:val="17"/>
                <w:szCs w:val="17"/>
                <w:color w:val="auto"/>
              </w:rPr>
            </w:pPr>
          </w:p>
        </w:tc>
        <w:tc>
          <w:tcPr>
            <w:tcW w:w="686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31 December</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31 December</w:t>
            </w:r>
          </w:p>
        </w:tc>
      </w:tr>
      <w:tr>
        <w:trPr>
          <w:trHeight w:val="203"/>
        </w:trPr>
        <w:tc>
          <w:tcPr>
            <w:tcW w:w="3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US$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58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Fees</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Other remuneration including pension contributions</w:t>
            </w: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199,942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199,942</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spacing w:after="0"/>
              <w:rPr>
                <w:sz w:val="24"/>
                <w:szCs w:val="24"/>
                <w:color w:val="auto"/>
              </w:rPr>
            </w:pPr>
          </w:p>
        </w:tc>
        <w:tc>
          <w:tcPr>
            <w:tcW w:w="68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Details of  directors'  interests in shares are provided in the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directors'</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8"/>
        </w:trPr>
        <w:tc>
          <w:tcPr>
            <w:tcW w:w="3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5580" w:type="dxa"/>
            <w:vAlign w:val="bottom"/>
          </w:tcPr>
          <w:p>
            <w:pPr>
              <w:ind w:left="220"/>
              <w:spacing w:after="0"/>
              <w:rPr>
                <w:sz w:val="20"/>
                <w:szCs w:val="20"/>
                <w:color w:val="auto"/>
              </w:rPr>
            </w:pPr>
            <w:r>
              <w:rPr>
                <w:rFonts w:ascii="Courier New" w:cs="Courier New" w:eastAsia="Courier New" w:hAnsi="Courier New"/>
                <w:sz w:val="18"/>
                <w:szCs w:val="18"/>
                <w:color w:val="auto"/>
              </w:rPr>
              <w:t>Tax on loss on ordinary activities</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320" w:type="dxa"/>
            <w:vAlign w:val="bottom"/>
          </w:tcPr>
          <w:p>
            <w:pPr>
              <w:spacing w:after="0"/>
              <w:rPr>
                <w:sz w:val="24"/>
                <w:szCs w:val="24"/>
                <w:color w:val="auto"/>
              </w:rPr>
            </w:pPr>
          </w:p>
        </w:tc>
        <w:tc>
          <w:tcPr>
            <w:tcW w:w="812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No corporation tax was payable on the loss on ordinary activities for the</w:t>
            </w:r>
          </w:p>
        </w:tc>
      </w:tr>
    </w:tbl>
    <w:p>
      <w:pPr>
        <w:spacing w:after="0" w:line="238" w:lineRule="auto"/>
        <w:rPr>
          <w:sz w:val="20"/>
          <w:szCs w:val="20"/>
          <w:color w:val="auto"/>
        </w:rPr>
      </w:pPr>
      <w:r>
        <w:rPr>
          <w:rFonts w:ascii="Courier New" w:cs="Courier New" w:eastAsia="Courier New" w:hAnsi="Courier New"/>
          <w:sz w:val="18"/>
          <w:szCs w:val="18"/>
          <w:color w:val="auto"/>
        </w:rPr>
        <w:t>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91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9</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Tangible fixed assets (Group and company)</w:t>
            </w:r>
          </w:p>
        </w:tc>
        <w:tc>
          <w:tcPr>
            <w:tcW w:w="14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Plant &amp;</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Machinery</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w:t>
            </w:r>
          </w:p>
        </w:tc>
        <w:tc>
          <w:tcPr>
            <w:tcW w:w="14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1 January 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377,897</w:t>
            </w:r>
          </w:p>
        </w:tc>
      </w:tr>
      <w:tr>
        <w:trPr>
          <w:trHeight w:val="203"/>
        </w:trPr>
        <w:tc>
          <w:tcPr>
            <w:tcW w:w="320" w:type="dxa"/>
            <w:vAlign w:val="bottom"/>
          </w:tcPr>
          <w:p>
            <w:pPr>
              <w:spacing w:after="0"/>
              <w:rPr>
                <w:sz w:val="17"/>
                <w:szCs w:val="17"/>
                <w:color w:val="auto"/>
              </w:rPr>
            </w:pPr>
          </w:p>
        </w:tc>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36,009</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413,906</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Depreciation</w:t>
            </w:r>
          </w:p>
        </w:tc>
        <w:tc>
          <w:tcPr>
            <w:tcW w:w="14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January 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187,239</w:t>
            </w:r>
          </w:p>
        </w:tc>
      </w:tr>
      <w:tr>
        <w:trPr>
          <w:trHeight w:val="203"/>
        </w:trPr>
        <w:tc>
          <w:tcPr>
            <w:tcW w:w="320" w:type="dxa"/>
            <w:vAlign w:val="bottom"/>
          </w:tcPr>
          <w:p>
            <w:pPr>
              <w:spacing w:after="0"/>
              <w:rPr>
                <w:sz w:val="17"/>
                <w:szCs w:val="17"/>
                <w:color w:val="auto"/>
              </w:rPr>
            </w:pPr>
          </w:p>
        </w:tc>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131,837</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319,076</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Net book value</w:t>
            </w:r>
          </w:p>
        </w:tc>
        <w:tc>
          <w:tcPr>
            <w:tcW w:w="14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94,830</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1999</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190,658</w:t>
            </w:r>
          </w:p>
        </w:tc>
      </w:tr>
      <w:tr>
        <w:trPr>
          <w:trHeight w:val="203"/>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132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5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Intangible fixed assets (Group and company)</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Licences</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95,574</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21,935</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1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117,509</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33,439</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31,716</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1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65,155</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52,354</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1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62,135</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rPr>
              <w:t>Goodwill (Group and company)</w:t>
            </w:r>
          </w:p>
        </w:tc>
        <w:tc>
          <w:tcPr>
            <w:tcW w:w="1580" w:type="dxa"/>
            <w:vAlign w:val="bottom"/>
          </w:tcPr>
          <w:p>
            <w:pPr>
              <w:ind w:left="360"/>
              <w:spacing w:after="0"/>
              <w:rPr>
                <w:sz w:val="20"/>
                <w:szCs w:val="20"/>
                <w:color w:val="auto"/>
              </w:rPr>
            </w:pPr>
            <w:r>
              <w:rPr>
                <w:rFonts w:ascii="Courier New" w:cs="Courier New" w:eastAsia="Courier New" w:hAnsi="Courier New"/>
                <w:sz w:val="18"/>
                <w:szCs w:val="18"/>
                <w:color w:val="auto"/>
              </w:rPr>
              <w:t>Purchased</w:t>
            </w:r>
          </w:p>
        </w:tc>
        <w:tc>
          <w:tcPr>
            <w:tcW w:w="120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goodwill</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15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1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1,500,000</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1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450,000</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1,050,000</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1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1,200,000</w:t>
            </w: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goodwill relates to the acquisition of the Mentec Picturecom business on 6 March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919" w:right="1440" w:bottom="97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7" w:lineRule="exact"/>
        <w:rPr>
          <w:sz w:val="20"/>
          <w:szCs w:val="20"/>
          <w:color w:val="auto"/>
        </w:rPr>
      </w:pPr>
    </w:p>
    <w:p>
      <w:pPr>
        <w:ind w:left="540" w:right="7999" w:hanging="532"/>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assets Company</w:t>
      </w:r>
    </w:p>
    <w:p>
      <w:pPr>
        <w:spacing w:after="0" w:line="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 in subsidiary at cost</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29 August 2000, Ivron Systems Limited established a wholly owned subsidiary (1 ordinary share at US$1 each) of Ivron Systems Inc, a company incorporated in the United States. The activity of this company is similar in nature to that of Ivron Systems Limited. The registered office of Ivron Systems Inc is located at 110 Wild Basin Road, Suite 270, Austin TX 78746, USA.</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13   Stocks</w:t>
            </w:r>
          </w:p>
        </w:tc>
        <w:tc>
          <w:tcPr>
            <w:tcW w:w="27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31 December 2000</w:t>
            </w:r>
          </w:p>
        </w:tc>
        <w:tc>
          <w:tcPr>
            <w:tcW w:w="26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31 December 1999</w:t>
            </w:r>
          </w:p>
        </w:tc>
      </w:tr>
      <w:tr>
        <w:trPr>
          <w:trHeight w:val="203"/>
        </w:trPr>
        <w:tc>
          <w:tcPr>
            <w:tcW w:w="3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Group</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Company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Group</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3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Raw materials</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328,851</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335,331</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123,871</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123,871</w:t>
            </w:r>
          </w:p>
        </w:tc>
      </w:tr>
      <w:tr>
        <w:trPr>
          <w:trHeight w:val="203"/>
        </w:trPr>
        <w:tc>
          <w:tcPr>
            <w:tcW w:w="3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Finished goods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110,881</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107,064</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47,789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47,789</w:t>
            </w:r>
          </w:p>
        </w:tc>
      </w:tr>
      <w:tr>
        <w:trPr>
          <w:trHeight w:val="203"/>
        </w:trPr>
        <w:tc>
          <w:tcPr>
            <w:tcW w:w="3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6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439,732</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442,395</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171,660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171,660</w:t>
            </w:r>
          </w:p>
        </w:tc>
      </w:tr>
      <w:tr>
        <w:trPr>
          <w:trHeight w:val="203"/>
        </w:trPr>
        <w:tc>
          <w:tcPr>
            <w:tcW w:w="3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80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w w:val="97"/>
              </w:rPr>
              <w:t>14   Debtors: amounts falling due within one year</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2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31 December 2000</w:t>
            </w:r>
          </w:p>
        </w:tc>
        <w:tc>
          <w:tcPr>
            <w:tcW w:w="2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31 December 1999</w:t>
            </w:r>
          </w:p>
        </w:tc>
      </w:tr>
      <w:tr>
        <w:trPr>
          <w:trHeight w:val="203"/>
        </w:trPr>
        <w:tc>
          <w:tcPr>
            <w:tcW w:w="3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Group</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Company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Group</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3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Trade debtors</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325,709</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325,709</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368,617</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368,617</w:t>
            </w:r>
          </w:p>
        </w:tc>
      </w:tr>
      <w:tr>
        <w:trPr>
          <w:trHeight w:val="203"/>
        </w:trPr>
        <w:tc>
          <w:tcPr>
            <w:tcW w:w="3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Prepayments and accrued</w:t>
            </w: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income</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20,112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16,857</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16,291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16,291</w:t>
            </w:r>
          </w:p>
        </w:tc>
      </w:tr>
      <w:tr>
        <w:trPr>
          <w:trHeight w:val="203"/>
        </w:trPr>
        <w:tc>
          <w:tcPr>
            <w:tcW w:w="3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Intercompany debtors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347,949</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debtors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131,667</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126,963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118,313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118,313</w:t>
            </w:r>
          </w:p>
        </w:tc>
      </w:tr>
      <w:tr>
        <w:trPr>
          <w:trHeight w:val="203"/>
        </w:trPr>
        <w:tc>
          <w:tcPr>
            <w:tcW w:w="3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6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477,488</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817,478</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503,221</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503,221</w:t>
            </w:r>
          </w:p>
        </w:tc>
      </w:tr>
      <w:tr>
        <w:trPr>
          <w:trHeight w:val="203"/>
        </w:trPr>
        <w:tc>
          <w:tcPr>
            <w:tcW w:w="3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17" w:right="1440" w:bottom="1440" w:gutter="0" w:footer="0" w:header="0"/>
        </w:sectPr>
      </w:pPr>
    </w:p>
    <w:bookmarkStart w:id="17" w:name="page18"/>
    <w:bookmarkEnd w:id="17"/>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Creditors: amounts falling due within one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316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31 December 2000</w:t>
            </w:r>
          </w:p>
        </w:tc>
        <w:tc>
          <w:tcPr>
            <w:tcW w:w="26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31 December 1999</w:t>
            </w:r>
          </w:p>
        </w:tc>
      </w:tr>
      <w:tr>
        <w:trPr>
          <w:trHeight w:val="203"/>
        </w:trPr>
        <w:tc>
          <w:tcPr>
            <w:tcW w:w="40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Group</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Company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Group</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40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Trade creditors</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60,693</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60,963</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469,596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469,596</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w:t>
            </w: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leases (note 17)</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52,291</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52,291</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37,034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37,034</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Accruals and deferred income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500,006</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468,959</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278,421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278,421</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PAYE/PRSI</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71,968</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71,905</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55,854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55,854</w:t>
            </w:r>
          </w:p>
        </w:tc>
      </w:tr>
      <w:tr>
        <w:trPr>
          <w:trHeight w:val="203"/>
        </w:trPr>
        <w:tc>
          <w:tcPr>
            <w:tcW w:w="40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684,958</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654,183</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840,905</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840,905</w:t>
            </w:r>
          </w:p>
        </w:tc>
      </w:tr>
      <w:tr>
        <w:trPr>
          <w:trHeight w:val="203"/>
        </w:trPr>
        <w:tc>
          <w:tcPr>
            <w:tcW w:w="40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1013"/>
        </w:trPr>
        <w:tc>
          <w:tcPr>
            <w:tcW w:w="56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7"/>
              </w:rPr>
              <w:t>16   Creditors: amounts falling due after one year</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10"/>
        </w:trPr>
        <w:tc>
          <w:tcPr>
            <w:tcW w:w="4020" w:type="dxa"/>
            <w:vAlign w:val="bottom"/>
          </w:tcPr>
          <w:p>
            <w:pPr>
              <w:spacing w:after="0"/>
              <w:rPr>
                <w:sz w:val="24"/>
                <w:szCs w:val="24"/>
                <w:color w:val="auto"/>
              </w:rPr>
            </w:pPr>
          </w:p>
        </w:tc>
        <w:tc>
          <w:tcPr>
            <w:tcW w:w="316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31 December 2000</w:t>
            </w:r>
          </w:p>
        </w:tc>
        <w:tc>
          <w:tcPr>
            <w:tcW w:w="26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31 December 1999</w:t>
            </w:r>
          </w:p>
        </w:tc>
      </w:tr>
      <w:tr>
        <w:trPr>
          <w:trHeight w:val="203"/>
        </w:trPr>
        <w:tc>
          <w:tcPr>
            <w:tcW w:w="40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Group</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Company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Group</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40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Loan (note 17)</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725,000</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725,000</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725,000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725,000</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w:t>
            </w: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lease (note 17)</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41,813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41,813</w:t>
            </w:r>
          </w:p>
        </w:tc>
      </w:tr>
      <w:tr>
        <w:trPr>
          <w:trHeight w:val="203"/>
        </w:trPr>
        <w:tc>
          <w:tcPr>
            <w:tcW w:w="40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spacing w:after="0"/>
              <w:rPr>
                <w:sz w:val="24"/>
                <w:szCs w:val="24"/>
                <w:color w:val="auto"/>
              </w:rPr>
            </w:pP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725,000</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725,000</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766,813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766,813</w:t>
            </w:r>
          </w:p>
        </w:tc>
      </w:tr>
      <w:tr>
        <w:trPr>
          <w:trHeight w:val="203"/>
        </w:trPr>
        <w:tc>
          <w:tcPr>
            <w:tcW w:w="40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details of the loan are set out on note 22 of the financial statements.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17   Details of borrowings</w:t>
            </w: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Between</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Between</w:t>
            </w:r>
          </w:p>
        </w:tc>
        <w:tc>
          <w:tcPr>
            <w:tcW w:w="100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Within</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one and two</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two and five</w:t>
            </w:r>
          </w:p>
        </w:tc>
        <w:tc>
          <w:tcPr>
            <w:tcW w:w="10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one year</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years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years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608"/>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Repayable by instalments</w:t>
            </w: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52,291</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52,291</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Loan from Mentec Limited</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725,000</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725,000</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At end of year</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52,291</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725,000</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777,291</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40" w:right="1440" w:bottom="564" w:gutter="0" w:footer="0" w:header="0"/>
        </w:sectPr>
      </w:pPr>
    </w:p>
    <w:bookmarkStart w:id="18" w:name="page19"/>
    <w:bookmarkEnd w:id="18"/>
    <w:p>
      <w:pPr>
        <w:ind w:left="28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9019"/>
          </w:cols>
          <w:pgMar w:left="1440" w:top="750"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Notes (continued)</w:t>
            </w: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18   Called up share capital</w:t>
            </w: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280" w:type="dxa"/>
            <w:vAlign w:val="bottom"/>
          </w:tcPr>
          <w:p>
            <w:pPr>
              <w:spacing w:after="0"/>
              <w:rPr>
                <w:sz w:val="17"/>
                <w:szCs w:val="17"/>
                <w:color w:val="auto"/>
              </w:rPr>
            </w:pP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280" w:type="dxa"/>
            <w:vAlign w:val="bottom"/>
          </w:tcPr>
          <w:p>
            <w:pPr>
              <w:spacing w:after="0"/>
              <w:rPr>
                <w:sz w:val="17"/>
                <w:szCs w:val="17"/>
                <w:color w:val="auto"/>
              </w:rPr>
            </w:pP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w:t>
            </w: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Authorised:</w:t>
            </w: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150,000 "A" Ordinary Shares of US$1 each</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4,850,000 Ordinary Shares of US$1 each</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4,850,000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4,850,000</w:t>
            </w:r>
          </w:p>
        </w:tc>
      </w:tr>
      <w:tr>
        <w:trPr>
          <w:trHeight w:val="203"/>
        </w:trPr>
        <w:tc>
          <w:tcPr>
            <w:tcW w:w="5280" w:type="dxa"/>
            <w:vAlign w:val="bottom"/>
          </w:tcPr>
          <w:p>
            <w:pPr>
              <w:spacing w:after="0"/>
              <w:rPr>
                <w:sz w:val="17"/>
                <w:szCs w:val="17"/>
                <w:color w:val="auto"/>
              </w:rPr>
            </w:pP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80" w:type="dxa"/>
            <w:vAlign w:val="bottom"/>
          </w:tcPr>
          <w:p>
            <w:pPr>
              <w:spacing w:after="0"/>
              <w:rPr>
                <w:sz w:val="24"/>
                <w:szCs w:val="24"/>
                <w:color w:val="auto"/>
              </w:rPr>
            </w:pP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5,000,000</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5,000,000</w:t>
            </w:r>
          </w:p>
        </w:tc>
      </w:tr>
      <w:tr>
        <w:trPr>
          <w:trHeight w:val="203"/>
        </w:trPr>
        <w:tc>
          <w:tcPr>
            <w:tcW w:w="5280" w:type="dxa"/>
            <w:vAlign w:val="bottom"/>
          </w:tcPr>
          <w:p>
            <w:pPr>
              <w:spacing w:after="0"/>
              <w:rPr>
                <w:sz w:val="17"/>
                <w:szCs w:val="17"/>
                <w:color w:val="auto"/>
              </w:rPr>
            </w:pP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ind w:left="540"/>
              <w:spacing w:after="0"/>
              <w:rPr>
                <w:sz w:val="20"/>
                <w:szCs w:val="20"/>
                <w:color w:val="auto"/>
              </w:rPr>
            </w:pPr>
            <w:r>
              <w:rPr>
                <w:rFonts w:ascii="Courier New" w:cs="Courier New" w:eastAsia="Courier New" w:hAnsi="Courier New"/>
                <w:sz w:val="18"/>
                <w:szCs w:val="18"/>
                <w:color w:val="auto"/>
              </w:rPr>
              <w:t>Allotted, called up and fully paid:</w:t>
            </w: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Opening share capital</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2,054,008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1,416,000</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during the period:</w:t>
            </w: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Ordinary Shares of US$1 each</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1,698,365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638,008</w:t>
            </w:r>
          </w:p>
        </w:tc>
      </w:tr>
      <w:tr>
        <w:trPr>
          <w:trHeight w:val="203"/>
        </w:trPr>
        <w:tc>
          <w:tcPr>
            <w:tcW w:w="5280" w:type="dxa"/>
            <w:vAlign w:val="bottom"/>
          </w:tcPr>
          <w:p>
            <w:pPr>
              <w:spacing w:after="0"/>
              <w:rPr>
                <w:sz w:val="17"/>
                <w:szCs w:val="17"/>
                <w:color w:val="auto"/>
              </w:rPr>
            </w:pP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80" w:type="dxa"/>
            <w:vAlign w:val="bottom"/>
          </w:tcPr>
          <w:p>
            <w:pPr>
              <w:ind w:left="540"/>
              <w:spacing w:after="0"/>
              <w:rPr>
                <w:sz w:val="20"/>
                <w:szCs w:val="20"/>
                <w:color w:val="auto"/>
              </w:rPr>
            </w:pPr>
            <w:r>
              <w:rPr>
                <w:rFonts w:ascii="Courier New" w:cs="Courier New" w:eastAsia="Courier New" w:hAnsi="Courier New"/>
                <w:sz w:val="18"/>
                <w:szCs w:val="18"/>
                <w:color w:val="auto"/>
              </w:rPr>
              <w:t>Closing share capital</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3,752,373</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2,054,008</w:t>
            </w:r>
          </w:p>
        </w:tc>
      </w:tr>
      <w:tr>
        <w:trPr>
          <w:trHeight w:val="203"/>
        </w:trPr>
        <w:tc>
          <w:tcPr>
            <w:tcW w:w="5280" w:type="dxa"/>
            <w:vAlign w:val="bottom"/>
          </w:tcPr>
          <w:p>
            <w:pPr>
              <w:spacing w:after="0"/>
              <w:rPr>
                <w:sz w:val="17"/>
                <w:szCs w:val="17"/>
                <w:color w:val="auto"/>
              </w:rPr>
            </w:pP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During the year ordinary shares of US$1 each were issued at a premium of $1 each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ind w:left="960"/>
              <w:spacing w:after="0"/>
              <w:rPr>
                <w:sz w:val="20"/>
                <w:szCs w:val="20"/>
                <w:color w:val="auto"/>
              </w:rPr>
            </w:pPr>
            <w:r>
              <w:rPr>
                <w:rFonts w:ascii="Courier New" w:cs="Courier New" w:eastAsia="Courier New" w:hAnsi="Courier New"/>
                <w:sz w:val="18"/>
                <w:szCs w:val="18"/>
                <w:color w:val="auto"/>
              </w:rPr>
              <w:t>Shareholder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Number</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of shares</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700" w:type="dxa"/>
            <w:vAlign w:val="bottom"/>
          </w:tcPr>
          <w:p>
            <w:pPr>
              <w:ind w:left="960"/>
              <w:spacing w:after="0"/>
              <w:rPr>
                <w:sz w:val="20"/>
                <w:szCs w:val="20"/>
                <w:color w:val="auto"/>
              </w:rPr>
            </w:pPr>
            <w:r>
              <w:rPr>
                <w:rFonts w:ascii="Courier New" w:cs="Courier New" w:eastAsia="Courier New" w:hAnsi="Courier New"/>
                <w:sz w:val="18"/>
                <w:szCs w:val="18"/>
                <w:color w:val="auto"/>
              </w:rPr>
              <w:t>M. Peirce</w:t>
            </w:r>
          </w:p>
        </w:tc>
        <w:tc>
          <w:tcPr>
            <w:tcW w:w="132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1,193,712</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Trinity Venture Capital</w:t>
            </w:r>
          </w:p>
        </w:tc>
        <w:tc>
          <w:tcPr>
            <w:tcW w:w="1320" w:type="dxa"/>
            <w:vAlign w:val="bottom"/>
          </w:tcPr>
          <w:p>
            <w:pPr>
              <w:spacing w:after="0"/>
              <w:rPr>
                <w:sz w:val="17"/>
                <w:szCs w:val="17"/>
                <w:color w:val="auto"/>
              </w:rPr>
            </w:pPr>
          </w:p>
        </w:tc>
        <w:tc>
          <w:tcPr>
            <w:tcW w:w="17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481,584</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Gilbert Little</w:t>
            </w:r>
          </w:p>
        </w:tc>
        <w:tc>
          <w:tcPr>
            <w:tcW w:w="1320" w:type="dxa"/>
            <w:vAlign w:val="bottom"/>
          </w:tcPr>
          <w:p>
            <w:pPr>
              <w:spacing w:after="0"/>
              <w:rPr>
                <w:sz w:val="17"/>
                <w:szCs w:val="17"/>
                <w:color w:val="auto"/>
              </w:rPr>
            </w:pPr>
          </w:p>
        </w:tc>
        <w:tc>
          <w:tcPr>
            <w:tcW w:w="17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23,069</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3700" w:type="dxa"/>
            <w:vAlign w:val="bottom"/>
          </w:tcPr>
          <w:p>
            <w:pPr>
              <w:spacing w:after="0"/>
              <w:rPr>
                <w:sz w:val="20"/>
                <w:szCs w:val="20"/>
                <w:color w:val="auto"/>
              </w:rPr>
            </w:pPr>
            <w:r>
              <w:rPr>
                <w:rFonts w:ascii="Courier New" w:cs="Courier New" w:eastAsia="Courier New" w:hAnsi="Courier New"/>
                <w:sz w:val="18"/>
                <w:szCs w:val="18"/>
                <w:color w:val="auto"/>
              </w:rPr>
              <w:t>19   Reserves</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8"/>
        </w:trPr>
        <w:tc>
          <w:tcPr>
            <w:tcW w:w="37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Share</w:t>
            </w:r>
          </w:p>
        </w:tc>
        <w:tc>
          <w:tcPr>
            <w:tcW w:w="1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Share</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Profit and</w:t>
            </w:r>
          </w:p>
        </w:tc>
        <w:tc>
          <w:tcPr>
            <w:tcW w:w="1060" w:type="dxa"/>
            <w:vAlign w:val="bottom"/>
          </w:tcPr>
          <w:p>
            <w:pPr>
              <w:spacing w:after="0"/>
              <w:rPr>
                <w:sz w:val="24"/>
                <w:szCs w:val="24"/>
                <w:color w:val="auto"/>
              </w:rPr>
            </w:pPr>
          </w:p>
        </w:tc>
      </w:tr>
      <w:tr>
        <w:trPr>
          <w:trHeight w:val="203"/>
        </w:trPr>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premium</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loss</w:t>
            </w:r>
          </w:p>
        </w:tc>
        <w:tc>
          <w:tcPr>
            <w:tcW w:w="106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At beginning of year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2,054,008</w:t>
            </w:r>
          </w:p>
        </w:tc>
        <w:tc>
          <w:tcPr>
            <w:tcW w:w="1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1,964,782</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(3,415,811)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602,979</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Movement during the year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1,698,365</w:t>
            </w:r>
          </w:p>
        </w:tc>
        <w:tc>
          <w:tcPr>
            <w:tcW w:w="1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1,698,364</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(2,307,907)</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1,088,822</w:t>
            </w:r>
          </w:p>
        </w:tc>
      </w:tr>
      <w:tr>
        <w:trPr>
          <w:trHeight w:val="203"/>
        </w:trPr>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At end of year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3,752,373</w:t>
            </w:r>
          </w:p>
        </w:tc>
        <w:tc>
          <w:tcPr>
            <w:tcW w:w="1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3,664,146</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(5,723,718)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1,691,801</w:t>
            </w:r>
          </w:p>
        </w:tc>
      </w:tr>
      <w:tr>
        <w:trPr>
          <w:trHeight w:val="203"/>
        </w:trPr>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91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20"/>
                <w:szCs w:val="20"/>
                <w:color w:val="auto"/>
              </w:rPr>
            </w:pPr>
            <w:r>
              <w:rPr>
                <w:rFonts w:ascii="Courier New" w:cs="Courier New" w:eastAsia="Courier New" w:hAnsi="Courier New"/>
                <w:sz w:val="18"/>
                <w:szCs w:val="18"/>
                <w:color w:val="auto"/>
                <w:w w:val="97"/>
              </w:rPr>
              <w:t>20   Reconciliation of movement in shareholders' funds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5700" w:type="dxa"/>
            <w:vAlign w:val="bottom"/>
          </w:tcPr>
          <w:p>
            <w:pPr>
              <w:ind w:left="540"/>
              <w:spacing w:after="0"/>
              <w:rPr>
                <w:sz w:val="20"/>
                <w:szCs w:val="20"/>
                <w:color w:val="auto"/>
              </w:rPr>
            </w:pPr>
            <w:r>
              <w:rPr>
                <w:rFonts w:ascii="Courier New" w:cs="Courier New" w:eastAsia="Courier New" w:hAnsi="Courier New"/>
                <w:sz w:val="18"/>
                <w:szCs w:val="18"/>
                <w:color w:val="auto"/>
              </w:rPr>
              <w:t>Shareholders' funds at beginning of year</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602,979</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1,128,831</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during year</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3,396,729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1,276,021</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for financial year</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(2,307,907)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(1,801,873)</w:t>
            </w:r>
          </w:p>
        </w:tc>
      </w:tr>
      <w:tr>
        <w:trPr>
          <w:trHeight w:val="203"/>
        </w:trPr>
        <w:tc>
          <w:tcPr>
            <w:tcW w:w="57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00" w:type="dxa"/>
            <w:vAlign w:val="bottom"/>
          </w:tcPr>
          <w:p>
            <w:pPr>
              <w:ind w:left="540"/>
              <w:spacing w:after="0"/>
              <w:rPr>
                <w:sz w:val="20"/>
                <w:szCs w:val="20"/>
                <w:color w:val="auto"/>
              </w:rPr>
            </w:pPr>
            <w:r>
              <w:rPr>
                <w:rFonts w:ascii="Courier New" w:cs="Courier New" w:eastAsia="Courier New" w:hAnsi="Courier New"/>
                <w:sz w:val="18"/>
                <w:szCs w:val="18"/>
                <w:color w:val="auto"/>
              </w:rPr>
              <w:t>Shareholders' funds at end of year</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1,691,801</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602,979</w:t>
            </w:r>
          </w:p>
        </w:tc>
      </w:tr>
      <w:tr>
        <w:trPr>
          <w:trHeight w:val="203"/>
        </w:trPr>
        <w:tc>
          <w:tcPr>
            <w:tcW w:w="57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00" w:type="dxa"/>
            <w:vAlign w:val="bottom"/>
          </w:tcPr>
          <w:p>
            <w:pPr>
              <w:spacing w:after="0"/>
              <w:rPr>
                <w:sz w:val="20"/>
                <w:szCs w:val="20"/>
                <w:color w:val="auto"/>
              </w:rPr>
            </w:pPr>
            <w:r>
              <w:rPr>
                <w:rFonts w:ascii="Courier New" w:cs="Courier New" w:eastAsia="Courier New" w:hAnsi="Courier New"/>
                <w:sz w:val="18"/>
                <w:szCs w:val="18"/>
                <w:color w:val="auto"/>
              </w:rPr>
              <w:t>21   Commitments</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7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commitments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Authorised and contracted for</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Authorised and not contracted for</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00" w:type="dxa"/>
            <w:vAlign w:val="bottom"/>
          </w:tcPr>
          <w:p>
            <w:pPr>
              <w:spacing w:after="0"/>
              <w:rPr>
                <w:sz w:val="24"/>
                <w:szCs w:val="24"/>
                <w:color w:val="auto"/>
              </w:rPr>
            </w:pP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Operating lease commitments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Annual commitments cost under non cancellable operating leases as follows:</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19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Land and</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2000</w:t>
            </w:r>
          </w:p>
        </w:tc>
        <w:tc>
          <w:tcPr>
            <w:tcW w:w="14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294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Buildings</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Total</w:t>
            </w: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94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IR(pound)</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IR(pound)</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IR(pound)</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Expiring</w:t>
            </w: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Within one year</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51,532</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51,532</w:t>
            </w: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60,604</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Between two and five years</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More than five years</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4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4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51,532</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51,532</w:t>
            </w: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60,604</w:t>
            </w:r>
          </w:p>
        </w:tc>
      </w:tr>
      <w:tr>
        <w:trPr>
          <w:trHeight w:val="203"/>
        </w:trPr>
        <w:tc>
          <w:tcPr>
            <w:tcW w:w="294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132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6" w:lineRule="exact"/>
        <w:rPr>
          <w:rFonts w:ascii="Courier New" w:cs="Courier New" w:eastAsia="Courier New" w:hAnsi="Courier New"/>
          <w:sz w:val="18"/>
          <w:szCs w:val="18"/>
          <w:color w:val="auto"/>
        </w:rPr>
      </w:pPr>
    </w:p>
    <w:p>
      <w:pPr>
        <w:jc w:val="both"/>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Mentec Limited is a shareholder of Ivron Systems Limited. The company's material related parties as defined by FRS 8 - Related Party Disclosures and the extent of transactions are summarised below:</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360" w:type="dxa"/>
            <w:vAlign w:val="bottom"/>
          </w:tcPr>
          <w:p>
            <w:pPr>
              <w:spacing w:after="0"/>
              <w:rPr>
                <w:sz w:val="17"/>
                <w:szCs w:val="17"/>
                <w:color w:val="auto"/>
              </w:rPr>
            </w:pPr>
          </w:p>
        </w:tc>
        <w:tc>
          <w:tcPr>
            <w:tcW w:w="2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Mentec</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Mentec</w:t>
            </w:r>
          </w:p>
        </w:tc>
      </w:tr>
      <w:tr>
        <w:trPr>
          <w:trHeight w:val="203"/>
        </w:trPr>
        <w:tc>
          <w:tcPr>
            <w:tcW w:w="4360" w:type="dxa"/>
            <w:vAlign w:val="bottom"/>
          </w:tcPr>
          <w:p>
            <w:pPr>
              <w:spacing w:after="0"/>
              <w:rPr>
                <w:sz w:val="17"/>
                <w:szCs w:val="17"/>
                <w:color w:val="auto"/>
              </w:rPr>
            </w:pPr>
          </w:p>
        </w:tc>
        <w:tc>
          <w:tcPr>
            <w:tcW w:w="2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Limited</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4360" w:type="dxa"/>
            <w:vAlign w:val="bottom"/>
          </w:tcPr>
          <w:p>
            <w:pPr>
              <w:spacing w:after="0"/>
              <w:rPr>
                <w:sz w:val="17"/>
                <w:szCs w:val="17"/>
                <w:color w:val="auto"/>
              </w:rPr>
            </w:pPr>
          </w:p>
        </w:tc>
        <w:tc>
          <w:tcPr>
            <w:tcW w:w="2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US$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goods/services supplied</w:t>
            </w: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Ivron Systems Limited on</w:t>
            </w: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normal trading terms</w:t>
            </w:r>
          </w:p>
        </w:tc>
        <w:tc>
          <w:tcPr>
            <w:tcW w:w="2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56,899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7,288</w:t>
            </w:r>
          </w:p>
        </w:tc>
      </w:tr>
      <w:tr>
        <w:trPr>
          <w:trHeight w:val="203"/>
        </w:trPr>
        <w:tc>
          <w:tcPr>
            <w:tcW w:w="4360" w:type="dxa"/>
            <w:vAlign w:val="bottom"/>
          </w:tcPr>
          <w:p>
            <w:pPr>
              <w:spacing w:after="0"/>
              <w:rPr>
                <w:sz w:val="17"/>
                <w:szCs w:val="17"/>
                <w:color w:val="auto"/>
              </w:rPr>
            </w:pPr>
          </w:p>
        </w:tc>
        <w:tc>
          <w:tcPr>
            <w:tcW w:w="2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80" w:type="dxa"/>
            <w:vAlign w:val="bottom"/>
            <w:gridSpan w:val="2"/>
          </w:tcPr>
          <w:p>
            <w:pPr>
              <w:spacing w:after="0"/>
              <w:rPr>
                <w:sz w:val="20"/>
                <w:szCs w:val="20"/>
                <w:color w:val="auto"/>
              </w:rPr>
            </w:pPr>
            <w:r>
              <w:rPr>
                <w:rFonts w:ascii="Courier New" w:cs="Courier New" w:eastAsia="Courier New" w:hAnsi="Courier New"/>
                <w:sz w:val="18"/>
                <w:szCs w:val="18"/>
                <w:color w:val="auto"/>
              </w:rPr>
              <w:t>Amounts due from/(to) related parties at arising from:</w:t>
            </w:r>
          </w:p>
        </w:tc>
        <w:tc>
          <w:tcPr>
            <w:tcW w:w="12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Trading activities</w:t>
            </w:r>
          </w:p>
        </w:tc>
        <w:tc>
          <w:tcPr>
            <w:tcW w:w="2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(39,942)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(7,288)</w:t>
            </w:r>
          </w:p>
        </w:tc>
      </w:tr>
      <w:tr>
        <w:trPr>
          <w:trHeight w:val="203"/>
        </w:trPr>
        <w:tc>
          <w:tcPr>
            <w:tcW w:w="4360" w:type="dxa"/>
            <w:vAlign w:val="bottom"/>
          </w:tcPr>
          <w:p>
            <w:pPr>
              <w:spacing w:after="0"/>
              <w:rPr>
                <w:sz w:val="17"/>
                <w:szCs w:val="17"/>
                <w:color w:val="auto"/>
              </w:rPr>
            </w:pPr>
          </w:p>
        </w:tc>
        <w:tc>
          <w:tcPr>
            <w:tcW w:w="2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Maximum amount outstanding</w:t>
            </w: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during the year</w:t>
            </w:r>
          </w:p>
        </w:tc>
        <w:tc>
          <w:tcPr>
            <w:tcW w:w="2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39,942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7,288</w:t>
            </w:r>
          </w:p>
        </w:tc>
      </w:tr>
      <w:tr>
        <w:trPr>
          <w:trHeight w:val="203"/>
        </w:trPr>
        <w:tc>
          <w:tcPr>
            <w:tcW w:w="4360" w:type="dxa"/>
            <w:vAlign w:val="bottom"/>
          </w:tcPr>
          <w:p>
            <w:pPr>
              <w:spacing w:after="0"/>
              <w:rPr>
                <w:sz w:val="17"/>
                <w:szCs w:val="17"/>
                <w:color w:val="auto"/>
              </w:rPr>
            </w:pPr>
          </w:p>
        </w:tc>
        <w:tc>
          <w:tcPr>
            <w:tcW w:w="2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Mentec Limited provided an interest bearing loan to Ivron Systems Limited for US$750,000. The terms of the loan required repayment of US$375,000 on 31 March 2000 and 30 September 2000. The interest on the loan is DIBOR plus 3.5% for 3 months funds from the repayment dates. This loan will be repaid to Mentec Limited at a date which is yet to be determined.</w:t>
      </w:r>
    </w:p>
    <w:p>
      <w:pPr>
        <w:spacing w:after="0" w:line="209"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Dr. M. Pierce is a shareholder and director of Mentec Limited and Mr. M. Horgan is also a director of Mentec Limited. Mr. J. Tracey is a director of Trinity Venture Capital, a company having a shareholding in Ivron Systems Limited.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 statement</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availed of exemptions in FRS 1 - Cashflow Statements (Revised) not to prepare a cash flow as it meets the requirements of Section 8 of the Companies (Amendment) Act 1986 to be treated as a small company.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financial statements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were approved by the board of directors on 20 July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Reconciliation between Irish and U.S. Accounting Principles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financial statements of the company set out on pages 7 to 21 have been prepared in accordance with generally accepted accounting principles applicable in Ireland ("Irish GAAP") which differ in certain significant respects from those applicable in the U.S. (" U.S. GAAP"). The material differences as they apply to the financial statements are as follows :</w:t>
      </w:r>
    </w:p>
    <w:p>
      <w:pPr>
        <w:spacing w:after="0" w:line="203"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format</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 of the financial statements and certain note disclosures under U.S. GAAP differ from those under Irish GAAP.</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Forward - looking statements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statement made in these financial statements with information that is not historical, these statements are necessarily forward - looking. As such, they are subject to the occurrence of many events outside of Ivron's control and are subject to various risk factors that would cause our results to differ materially from those expressed in any forward - looking statement.</w:t>
      </w:r>
    </w:p>
    <w:p>
      <w:pPr>
        <w:spacing w:after="0" w:line="209" w:lineRule="exact"/>
        <w:rPr>
          <w:rFonts w:ascii="Courier New" w:cs="Courier New" w:eastAsia="Courier New" w:hAnsi="Courier New"/>
          <w:sz w:val="18"/>
          <w:szCs w:val="18"/>
          <w:color w:val="auto"/>
        </w:rPr>
      </w:pPr>
    </w:p>
    <w:p>
      <w:pPr>
        <w:jc w:val="both"/>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is a summary of the material adjustments to loss and shareholders' equity which would be required had the financial statements being prepared in accordance with U.S. GAAP.</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on loss for the financial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520" w:type="dxa"/>
            <w:vAlign w:val="bottom"/>
          </w:tcPr>
          <w:p>
            <w:pPr>
              <w:spacing w:after="0"/>
              <w:rPr>
                <w:sz w:val="17"/>
                <w:szCs w:val="17"/>
                <w:color w:val="auto"/>
              </w:rPr>
            </w:pP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Year ended</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10 months ended</w:t>
            </w:r>
          </w:p>
        </w:tc>
      </w:tr>
      <w:tr>
        <w:trPr>
          <w:trHeight w:val="203"/>
        </w:trPr>
        <w:tc>
          <w:tcPr>
            <w:tcW w:w="7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31 December 2000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December1999</w:t>
            </w:r>
          </w:p>
        </w:tc>
      </w:tr>
      <w:tr>
        <w:trPr>
          <w:trHeight w:val="203"/>
        </w:trPr>
        <w:tc>
          <w:tcPr>
            <w:tcW w:w="55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5520" w:type="dxa"/>
            <w:vAlign w:val="bottom"/>
          </w:tcPr>
          <w:p>
            <w:pPr>
              <w:ind w:left="520"/>
              <w:spacing w:after="0"/>
              <w:rPr>
                <w:sz w:val="20"/>
                <w:szCs w:val="20"/>
                <w:color w:val="auto"/>
              </w:rPr>
            </w:pPr>
            <w:r>
              <w:rPr>
                <w:rFonts w:ascii="Courier New" w:cs="Courier New" w:eastAsia="Courier New" w:hAnsi="Courier New"/>
                <w:sz w:val="18"/>
                <w:szCs w:val="18"/>
                <w:color w:val="auto"/>
              </w:rPr>
              <w:t>Loss for the financial year under Irish GAAP</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2,307,907</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1,801,861</w:t>
            </w:r>
          </w:p>
        </w:tc>
      </w:tr>
      <w:tr>
        <w:trPr>
          <w:trHeight w:val="203"/>
        </w:trPr>
        <w:tc>
          <w:tcPr>
            <w:tcW w:w="55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20" w:type="dxa"/>
            <w:vAlign w:val="bottom"/>
          </w:tcPr>
          <w:p>
            <w:pPr>
              <w:ind w:left="520"/>
              <w:spacing w:after="0"/>
              <w:rPr>
                <w:sz w:val="20"/>
                <w:szCs w:val="20"/>
                <w:color w:val="auto"/>
              </w:rPr>
            </w:pPr>
            <w:r>
              <w:rPr>
                <w:rFonts w:ascii="Courier New" w:cs="Courier New" w:eastAsia="Courier New" w:hAnsi="Courier New"/>
                <w:sz w:val="18"/>
                <w:szCs w:val="18"/>
                <w:color w:val="auto"/>
              </w:rPr>
              <w:t>Net loss as stated under U.S. GAAP</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2,307,907</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1,801,861</w:t>
            </w:r>
          </w:p>
        </w:tc>
      </w:tr>
      <w:tr>
        <w:trPr>
          <w:trHeight w:val="203"/>
        </w:trPr>
        <w:tc>
          <w:tcPr>
            <w:tcW w:w="55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520" w:type="dxa"/>
            <w:vAlign w:val="bottom"/>
          </w:tcPr>
          <w:p>
            <w:pPr>
              <w:spacing w:after="0"/>
              <w:rPr>
                <w:sz w:val="20"/>
                <w:szCs w:val="20"/>
                <w:color w:val="auto"/>
              </w:rPr>
            </w:pPr>
            <w:r>
              <w:rPr>
                <w:rFonts w:ascii="Courier New" w:cs="Courier New" w:eastAsia="Courier New" w:hAnsi="Courier New"/>
                <w:sz w:val="18"/>
                <w:szCs w:val="18"/>
                <w:color w:val="auto"/>
              </w:rPr>
              <w:t>(ii) Effect on shareholders equity</w:t>
            </w: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10"/>
        </w:trPr>
        <w:tc>
          <w:tcPr>
            <w:tcW w:w="5520" w:type="dxa"/>
            <w:vAlign w:val="bottom"/>
          </w:tcPr>
          <w:p>
            <w:pPr>
              <w:spacing w:after="0"/>
              <w:rPr>
                <w:sz w:val="24"/>
                <w:szCs w:val="24"/>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 December</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r>
      <w:tr>
        <w:trPr>
          <w:trHeight w:val="203"/>
        </w:trPr>
        <w:tc>
          <w:tcPr>
            <w:tcW w:w="55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5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5520" w:type="dxa"/>
            <w:vAlign w:val="bottom"/>
          </w:tcPr>
          <w:p>
            <w:pPr>
              <w:ind w:left="520"/>
              <w:spacing w:after="0"/>
              <w:rPr>
                <w:sz w:val="20"/>
                <w:szCs w:val="20"/>
                <w:color w:val="auto"/>
              </w:rPr>
            </w:pPr>
            <w:r>
              <w:rPr>
                <w:rFonts w:ascii="Courier New" w:cs="Courier New" w:eastAsia="Courier New" w:hAnsi="Courier New"/>
                <w:sz w:val="18"/>
                <w:szCs w:val="18"/>
                <w:color w:val="auto"/>
                <w:w w:val="98"/>
              </w:rPr>
              <w:t>Shareholders' equity as stated under Irish GAAP</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1,691,801</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602,979</w:t>
            </w:r>
          </w:p>
        </w:tc>
      </w:tr>
      <w:tr>
        <w:trPr>
          <w:trHeight w:val="203"/>
        </w:trPr>
        <w:tc>
          <w:tcPr>
            <w:tcW w:w="55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20" w:type="dxa"/>
            <w:vAlign w:val="bottom"/>
          </w:tcPr>
          <w:p>
            <w:pPr>
              <w:ind w:left="520"/>
              <w:spacing w:after="0"/>
              <w:rPr>
                <w:sz w:val="20"/>
                <w:szCs w:val="20"/>
                <w:color w:val="auto"/>
              </w:rPr>
            </w:pPr>
            <w:r>
              <w:rPr>
                <w:rFonts w:ascii="Courier New" w:cs="Courier New" w:eastAsia="Courier New" w:hAnsi="Courier New"/>
                <w:sz w:val="18"/>
                <w:szCs w:val="18"/>
                <w:color w:val="auto"/>
              </w:rPr>
              <w:t>Shareholders' equity as stated under U.S. GAAP</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1,691,801</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602,979</w:t>
            </w:r>
          </w:p>
        </w:tc>
      </w:tr>
      <w:tr>
        <w:trPr>
          <w:trHeight w:val="203"/>
        </w:trPr>
        <w:tc>
          <w:tcPr>
            <w:tcW w:w="55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112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statement</w:t>
      </w:r>
    </w:p>
    <w:p>
      <w:pPr>
        <w:spacing w:after="0" w:line="238" w:lineRule="auto"/>
        <w:rPr>
          <w:sz w:val="20"/>
          <w:szCs w:val="20"/>
          <w:color w:val="auto"/>
        </w:rPr>
      </w:pPr>
      <w:r>
        <w:rPr>
          <w:rFonts w:ascii="Courier New" w:cs="Courier New" w:eastAsia="Courier New" w:hAnsi="Courier New"/>
          <w:sz w:val="18"/>
          <w:szCs w:val="18"/>
          <w:color w:val="auto"/>
        </w:rPr>
        <w:t>for the year ended 31 December 2000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Year ended</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4320" w:type="dxa"/>
            <w:vAlign w:val="bottom"/>
          </w:tcPr>
          <w:p>
            <w:pPr>
              <w:spacing w:after="0"/>
              <w:rPr>
                <w:sz w:val="17"/>
                <w:szCs w:val="17"/>
                <w:color w:val="auto"/>
              </w:rPr>
            </w:pPr>
          </w:p>
        </w:tc>
        <w:tc>
          <w:tcPr>
            <w:tcW w:w="2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 December</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4320" w:type="dxa"/>
            <w:vAlign w:val="bottom"/>
          </w:tcPr>
          <w:p>
            <w:pPr>
              <w:spacing w:after="0"/>
              <w:rPr>
                <w:sz w:val="17"/>
                <w:szCs w:val="17"/>
                <w:color w:val="auto"/>
              </w:rPr>
            </w:pPr>
          </w:p>
        </w:tc>
        <w:tc>
          <w:tcPr>
            <w:tcW w:w="2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320" w:type="dxa"/>
            <w:vAlign w:val="bottom"/>
          </w:tcPr>
          <w:p>
            <w:pPr>
              <w:spacing w:after="0"/>
              <w:rPr>
                <w:sz w:val="17"/>
                <w:szCs w:val="17"/>
                <w:color w:val="auto"/>
              </w:rPr>
            </w:pPr>
          </w:p>
        </w:tc>
        <w:tc>
          <w:tcPr>
            <w:tcW w:w="2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Turnover</w:t>
            </w:r>
          </w:p>
        </w:tc>
        <w:tc>
          <w:tcPr>
            <w:tcW w:w="2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1,443,025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1,625,870</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Cost of sales (Appendix 1)</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(1,363,177)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(1,139,159)</w:t>
            </w:r>
          </w:p>
        </w:tc>
      </w:tr>
      <w:tr>
        <w:trPr>
          <w:trHeight w:val="203"/>
        </w:trPr>
        <w:tc>
          <w:tcPr>
            <w:tcW w:w="4320" w:type="dxa"/>
            <w:vAlign w:val="bottom"/>
          </w:tcPr>
          <w:p>
            <w:pPr>
              <w:spacing w:after="0"/>
              <w:rPr>
                <w:sz w:val="17"/>
                <w:szCs w:val="17"/>
                <w:color w:val="auto"/>
              </w:rPr>
            </w:pPr>
          </w:p>
        </w:tc>
        <w:tc>
          <w:tcPr>
            <w:tcW w:w="2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2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2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79,846</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486,711</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Operating expenses (Appendix 2)</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(2,384,630)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(2,281,669)</w:t>
            </w:r>
          </w:p>
        </w:tc>
      </w:tr>
      <w:tr>
        <w:trPr>
          <w:trHeight w:val="203"/>
        </w:trPr>
        <w:tc>
          <w:tcPr>
            <w:tcW w:w="4320" w:type="dxa"/>
            <w:vAlign w:val="bottom"/>
          </w:tcPr>
          <w:p>
            <w:pPr>
              <w:spacing w:after="0"/>
              <w:rPr>
                <w:sz w:val="17"/>
                <w:szCs w:val="17"/>
                <w:color w:val="auto"/>
              </w:rPr>
            </w:pPr>
          </w:p>
        </w:tc>
        <w:tc>
          <w:tcPr>
            <w:tcW w:w="2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20" w:type="dxa"/>
            <w:vAlign w:val="bottom"/>
          </w:tcPr>
          <w:p>
            <w:pPr>
              <w:spacing w:after="0"/>
              <w:rPr>
                <w:sz w:val="20"/>
                <w:szCs w:val="20"/>
                <w:color w:val="auto"/>
              </w:rPr>
            </w:pPr>
            <w:r>
              <w:rPr>
                <w:rFonts w:ascii="Courier New" w:cs="Courier New" w:eastAsia="Courier New" w:hAnsi="Courier New"/>
                <w:sz w:val="18"/>
                <w:szCs w:val="18"/>
                <w:color w:val="auto"/>
              </w:rPr>
              <w:t>Operating loss</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(2,304,782)</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(1,794,958)</w:t>
            </w:r>
          </w:p>
        </w:tc>
      </w:tr>
      <w:tr>
        <w:trPr>
          <w:trHeight w:val="203"/>
        </w:trPr>
        <w:tc>
          <w:tcPr>
            <w:tcW w:w="4320" w:type="dxa"/>
            <w:vAlign w:val="bottom"/>
          </w:tcPr>
          <w:p>
            <w:pPr>
              <w:spacing w:after="0"/>
              <w:rPr>
                <w:sz w:val="17"/>
                <w:szCs w:val="17"/>
                <w:color w:val="auto"/>
              </w:rPr>
            </w:pPr>
          </w:p>
        </w:tc>
        <w:tc>
          <w:tcPr>
            <w:tcW w:w="2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7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Appendix 1:</w:t>
      </w:r>
      <w:r>
        <w:rPr>
          <w:sz w:val="20"/>
          <w:szCs w:val="20"/>
          <w:color w:val="auto"/>
        </w:rPr>
        <w:tab/>
      </w:r>
      <w:r>
        <w:rPr>
          <w:rFonts w:ascii="Courier New" w:cs="Courier New" w:eastAsia="Courier New" w:hAnsi="Courier New"/>
          <w:sz w:val="16"/>
          <w:szCs w:val="16"/>
          <w:color w:val="auto"/>
        </w:rPr>
        <w:t>Cost of sales</w:t>
      </w:r>
    </w:p>
    <w:p>
      <w:pPr>
        <w:spacing w:after="0" w:line="238" w:lineRule="auto"/>
        <w:rPr>
          <w:sz w:val="20"/>
          <w:szCs w:val="20"/>
          <w:color w:val="auto"/>
        </w:rPr>
      </w:pPr>
      <w:r>
        <w:rPr>
          <w:rFonts w:ascii="Courier New" w:cs="Courier New" w:eastAsia="Courier New" w:hAnsi="Courier New"/>
          <w:sz w:val="18"/>
          <w:szCs w:val="18"/>
          <w:color w:val="auto"/>
        </w:rPr>
        <w:t>for the year ended 31 December 2000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2960" w:type="dxa"/>
            <w:vAlign w:val="bottom"/>
          </w:tcPr>
          <w:p>
            <w:pPr>
              <w:spacing w:after="0"/>
              <w:rPr>
                <w:sz w:val="17"/>
                <w:szCs w:val="17"/>
                <w:color w:val="auto"/>
              </w:rPr>
            </w:pP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Year ended</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2960" w:type="dxa"/>
            <w:vAlign w:val="bottom"/>
          </w:tcPr>
          <w:p>
            <w:pPr>
              <w:spacing w:after="0"/>
              <w:rPr>
                <w:sz w:val="17"/>
                <w:szCs w:val="17"/>
                <w:color w:val="auto"/>
              </w:rPr>
            </w:pP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2000</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960" w:type="dxa"/>
            <w:vAlign w:val="bottom"/>
          </w:tcPr>
          <w:p>
            <w:pPr>
              <w:spacing w:after="0"/>
              <w:rPr>
                <w:sz w:val="17"/>
                <w:szCs w:val="17"/>
                <w:color w:val="auto"/>
              </w:rPr>
            </w:pP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US$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Direct costs</w:t>
            </w:r>
          </w:p>
        </w:tc>
        <w:tc>
          <w:tcPr>
            <w:tcW w:w="29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Opening stock</w:t>
            </w:r>
          </w:p>
        </w:tc>
        <w:tc>
          <w:tcPr>
            <w:tcW w:w="29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171,660</w:t>
            </w:r>
          </w:p>
        </w:tc>
        <w:tc>
          <w:tcPr>
            <w:tcW w:w="2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85,611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 purchases</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1,275,630</w:t>
            </w:r>
          </w:p>
        </w:tc>
        <w:tc>
          <w:tcPr>
            <w:tcW w:w="2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1,029,764</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Closing stock</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(442,401)</w:t>
            </w:r>
          </w:p>
        </w:tc>
        <w:tc>
          <w:tcPr>
            <w:tcW w:w="23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(171,660)</w:t>
            </w:r>
          </w:p>
        </w:tc>
      </w:tr>
      <w:tr>
        <w:trPr>
          <w:trHeight w:val="203"/>
        </w:trPr>
        <w:tc>
          <w:tcPr>
            <w:tcW w:w="2960" w:type="dxa"/>
            <w:vAlign w:val="bottom"/>
          </w:tcPr>
          <w:p>
            <w:pPr>
              <w:spacing w:after="0"/>
              <w:rPr>
                <w:sz w:val="17"/>
                <w:szCs w:val="17"/>
                <w:color w:val="auto"/>
              </w:rPr>
            </w:pP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Raw materials consumed</w:t>
            </w:r>
          </w:p>
        </w:tc>
        <w:tc>
          <w:tcPr>
            <w:tcW w:w="2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1,004,889</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943,715</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Manufacturing overheads</w:t>
            </w:r>
          </w:p>
        </w:tc>
        <w:tc>
          <w:tcPr>
            <w:tcW w:w="29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Direct labour</w:t>
            </w:r>
          </w:p>
        </w:tc>
        <w:tc>
          <w:tcPr>
            <w:tcW w:w="29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192,610</w:t>
            </w:r>
          </w:p>
        </w:tc>
        <w:tc>
          <w:tcPr>
            <w:tcW w:w="2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93,907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Freight</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55,843</w:t>
            </w:r>
          </w:p>
        </w:tc>
        <w:tc>
          <w:tcPr>
            <w:tcW w:w="2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32,686</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overheads</w:t>
            </w: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109,835</w:t>
            </w:r>
          </w:p>
        </w:tc>
        <w:tc>
          <w:tcPr>
            <w:tcW w:w="2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68,851</w:t>
            </w:r>
          </w:p>
        </w:tc>
      </w:tr>
      <w:tr>
        <w:trPr>
          <w:trHeight w:val="203"/>
        </w:trPr>
        <w:tc>
          <w:tcPr>
            <w:tcW w:w="2960" w:type="dxa"/>
            <w:vAlign w:val="bottom"/>
          </w:tcPr>
          <w:p>
            <w:pPr>
              <w:spacing w:after="0"/>
              <w:rPr>
                <w:sz w:val="17"/>
                <w:szCs w:val="17"/>
                <w:color w:val="auto"/>
              </w:rPr>
            </w:pP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4"/>
                <w:szCs w:val="24"/>
                <w:color w:val="auto"/>
              </w:rPr>
            </w:pPr>
          </w:p>
        </w:tc>
        <w:tc>
          <w:tcPr>
            <w:tcW w:w="2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358,288</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195,444</w:t>
            </w:r>
          </w:p>
        </w:tc>
      </w:tr>
      <w:tr>
        <w:trPr>
          <w:trHeight w:val="203"/>
        </w:trPr>
        <w:tc>
          <w:tcPr>
            <w:tcW w:w="2960" w:type="dxa"/>
            <w:vAlign w:val="bottom"/>
          </w:tcPr>
          <w:p>
            <w:pPr>
              <w:spacing w:after="0"/>
              <w:rPr>
                <w:sz w:val="17"/>
                <w:szCs w:val="17"/>
                <w:color w:val="auto"/>
              </w:rPr>
            </w:pPr>
          </w:p>
        </w:tc>
        <w:tc>
          <w:tcPr>
            <w:tcW w:w="2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2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1,363,177</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1,139,159</w:t>
            </w:r>
          </w:p>
        </w:tc>
      </w:tr>
      <w:tr>
        <w:trPr>
          <w:trHeight w:val="203"/>
        </w:trPr>
        <w:tc>
          <w:tcPr>
            <w:tcW w:w="2960" w:type="dxa"/>
            <w:vAlign w:val="bottom"/>
          </w:tcPr>
          <w:p>
            <w:pPr>
              <w:spacing w:after="0"/>
              <w:rPr>
                <w:sz w:val="17"/>
                <w:szCs w:val="17"/>
                <w:color w:val="auto"/>
              </w:rPr>
            </w:pPr>
          </w:p>
        </w:tc>
        <w:tc>
          <w:tcPr>
            <w:tcW w:w="2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112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Ivron Systems Group Limited</w:t>
      </w:r>
    </w:p>
    <w:p>
      <w:pPr>
        <w:spacing w:after="0" w:line="238" w:lineRule="auto"/>
        <w:rPr>
          <w:sz w:val="20"/>
          <w:szCs w:val="20"/>
          <w:color w:val="auto"/>
        </w:rPr>
      </w:pPr>
      <w:r>
        <w:rPr>
          <w:rFonts w:ascii="Courier New" w:cs="Courier New" w:eastAsia="Courier New" w:hAnsi="Courier New"/>
          <w:sz w:val="18"/>
          <w:szCs w:val="18"/>
          <w:color w:val="auto"/>
        </w:rPr>
        <w:t>(formerly known as Vedia Technology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Appendix 2: Operating expenses</w:t>
      </w:r>
    </w:p>
    <w:p>
      <w:pPr>
        <w:spacing w:after="0" w:line="238" w:lineRule="auto"/>
        <w:rPr>
          <w:sz w:val="20"/>
          <w:szCs w:val="20"/>
          <w:color w:val="auto"/>
        </w:rPr>
      </w:pPr>
      <w:r>
        <w:rPr>
          <w:rFonts w:ascii="Courier New" w:cs="Courier New" w:eastAsia="Courier New" w:hAnsi="Courier New"/>
          <w:sz w:val="18"/>
          <w:szCs w:val="18"/>
          <w:color w:val="auto"/>
        </w:rPr>
        <w:t>for the year ended 31 December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2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Year ended</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3960" w:type="dxa"/>
            <w:vAlign w:val="bottom"/>
          </w:tcPr>
          <w:p>
            <w:pPr>
              <w:spacing w:after="0"/>
              <w:rPr>
                <w:sz w:val="17"/>
                <w:szCs w:val="17"/>
                <w:color w:val="auto"/>
              </w:rPr>
            </w:pP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 December</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960" w:type="dxa"/>
            <w:vAlign w:val="bottom"/>
          </w:tcPr>
          <w:p>
            <w:pPr>
              <w:spacing w:after="0"/>
              <w:rPr>
                <w:sz w:val="17"/>
                <w:szCs w:val="17"/>
                <w:color w:val="auto"/>
              </w:rPr>
            </w:pP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960" w:type="dxa"/>
            <w:vAlign w:val="bottom"/>
          </w:tcPr>
          <w:p>
            <w:pPr>
              <w:spacing w:after="0"/>
              <w:rPr>
                <w:sz w:val="17"/>
                <w:szCs w:val="17"/>
                <w:color w:val="auto"/>
              </w:rPr>
            </w:pP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Administration expenses</w:t>
            </w:r>
          </w:p>
        </w:tc>
        <w:tc>
          <w:tcPr>
            <w:tcW w:w="2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salaries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587,375</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566,098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37,633</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17,422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Contractors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719</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34,443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and advertising</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59,855</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36,407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Light, heat and power</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1,342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 and subsistence</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172,178</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162,875</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Non stock materials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Rent and rates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74,943</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57,763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and telex</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36,119</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25,138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Computer costs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39,291</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9,726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16,734</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22,736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Subscriptions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1,134</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Postage and stationery</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5,998</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11,512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Bad debts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88,913</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11,296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(gain)/loss</w:t>
            </w:r>
          </w:p>
        </w:tc>
        <w:tc>
          <w:tcPr>
            <w:tcW w:w="2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(6,166)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(8,697)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Cleaning</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1,592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charges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24,128</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5,623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22,885</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17,174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2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(8,556)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(26,256)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Professional fees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295,562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59,935</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write off</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3960" w:type="dxa"/>
            <w:vAlign w:val="bottom"/>
          </w:tcPr>
          <w:p>
            <w:pPr>
              <w:spacing w:after="0"/>
              <w:rPr>
                <w:sz w:val="17"/>
                <w:szCs w:val="17"/>
                <w:color w:val="auto"/>
              </w:rPr>
            </w:pP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4"/>
                <w:szCs w:val="24"/>
                <w:color w:val="auto"/>
              </w:rPr>
            </w:pPr>
          </w:p>
        </w:tc>
        <w:tc>
          <w:tcPr>
            <w:tcW w:w="2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1,601,679</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1,164,923</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Research and development expenses</w:t>
            </w:r>
          </w:p>
        </w:tc>
        <w:tc>
          <w:tcPr>
            <w:tcW w:w="2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salaries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495,512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610,238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12,560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46,168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Non stock materials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48,842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257,906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Computer costs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16,808</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23,432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 research</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 costs</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11,261</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11,291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Depreciation research and development</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192,199</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156,614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5,170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8,464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Consultancy fee</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599</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2,633</w:t>
            </w:r>
          </w:p>
        </w:tc>
      </w:tr>
      <w:tr>
        <w:trPr>
          <w:trHeight w:val="203"/>
        </w:trPr>
        <w:tc>
          <w:tcPr>
            <w:tcW w:w="3960" w:type="dxa"/>
            <w:vAlign w:val="bottom"/>
          </w:tcPr>
          <w:p>
            <w:pPr>
              <w:spacing w:after="0"/>
              <w:rPr>
                <w:sz w:val="17"/>
                <w:szCs w:val="17"/>
                <w:color w:val="auto"/>
              </w:rPr>
            </w:pP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782,951</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1,116,746</w:t>
            </w:r>
          </w:p>
        </w:tc>
      </w:tr>
      <w:tr>
        <w:trPr>
          <w:trHeight w:val="203"/>
        </w:trPr>
        <w:tc>
          <w:tcPr>
            <w:tcW w:w="3960" w:type="dxa"/>
            <w:vAlign w:val="bottom"/>
          </w:tcPr>
          <w:p>
            <w:pPr>
              <w:spacing w:after="0"/>
              <w:rPr>
                <w:sz w:val="17"/>
                <w:szCs w:val="17"/>
                <w:color w:val="auto"/>
              </w:rPr>
            </w:pP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2,384,630</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2,281,669</w:t>
            </w:r>
          </w:p>
        </w:tc>
      </w:tr>
      <w:tr>
        <w:trPr>
          <w:trHeight w:val="203"/>
        </w:trPr>
        <w:tc>
          <w:tcPr>
            <w:tcW w:w="3960" w:type="dxa"/>
            <w:vAlign w:val="bottom"/>
          </w:tcPr>
          <w:p>
            <w:pPr>
              <w:spacing w:after="0"/>
              <w:rPr>
                <w:sz w:val="17"/>
                <w:szCs w:val="17"/>
                <w:color w:val="auto"/>
              </w:rPr>
            </w:pP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1013"/>
        </w:trPr>
        <w:tc>
          <w:tcPr>
            <w:tcW w:w="3960" w:type="dxa"/>
            <w:vAlign w:val="bottom"/>
          </w:tcPr>
          <w:p>
            <w:pPr>
              <w:spacing w:after="0"/>
              <w:rPr>
                <w:sz w:val="24"/>
                <w:szCs w:val="24"/>
                <w:color w:val="auto"/>
              </w:rPr>
            </w:pPr>
          </w:p>
        </w:tc>
        <w:tc>
          <w:tcPr>
            <w:tcW w:w="274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F-21</w:t>
            </w:r>
          </w:p>
        </w:tc>
        <w:tc>
          <w:tcPr>
            <w:tcW w:w="17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6" w:name="page27"/>
    <w:bookmarkEnd w:id="26"/>
    <w:p>
      <w:pPr>
        <w:ind w:right="3999"/>
        <w:spacing w:after="0" w:line="235" w:lineRule="auto"/>
        <w:rPr>
          <w:sz w:val="20"/>
          <w:szCs w:val="20"/>
          <w:color w:val="auto"/>
        </w:rPr>
      </w:pPr>
      <w:r>
        <w:rPr>
          <w:rFonts w:ascii="Courier New" w:cs="Courier New" w:eastAsia="Courier New" w:hAnsi="Courier New"/>
          <w:sz w:val="18"/>
          <w:szCs w:val="18"/>
          <w:color w:val="auto"/>
        </w:rPr>
        <w:t>Auditors' report to the members of Vedia Technology Limited (formerly known as Ligurian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audited the financial statements on pages 7 to 20.</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Respective responsibilities of directors and auditors in relation to the financial statements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described on page 4 the company's directors are responsible for the preparation of financial statements. It is our responsibility to form an independent opinion, based on our audit, on those statements and to report our opinion to you.</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opinion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issued by the Auditing Practices Board. An audit includes examination, on a test basis, of evidence relevant to the amounts and disclosures in the financial statements. It also includes an assessment of the significant estimates and judgements made by the directors in the preparation of the financial statements, and of whether the accounting policies are appropriate to the company's circumstances, consistently applied and adequately disclosed.</w:t>
      </w:r>
    </w:p>
    <w:p>
      <w:pPr>
        <w:spacing w:after="0" w:line="21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We planned and performed our audit so as to obtain all the information and explanations which we considered necessary in order to provide us with sufficient evidence to give reasonable assurance that the financial statements are free from material misstatement, whether caused by fraud or other irregularity or error. In forming our opinion we also evaluated the overall adequacy of the presentation of information in the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Going concern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forming our opinion, we have considered the adequacy of the disclosures made in note 1 to the financial statements concerning continued financial support. In view of the significance of the reliance on support from the directors and shareholders, we consider that it should be drawn to your attention. Our opinion is not qualified in this respect.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our opinion, the financial statements give a true and fair view of the state of the company's affairs at 31 December 1998 and of its loss for the period then ended and have been properly prepared in accordance with the Companies Acts, 1963 to 1990 and all Regulations to be construed as one with those Acts.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We have</w:t>
            </w:r>
          </w:p>
        </w:tc>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w w:val="97"/>
              </w:rPr>
              <w:t>obtained all the information and explanations we considered necessary</w:t>
            </w:r>
          </w:p>
        </w:tc>
        <w:tc>
          <w:tcPr>
            <w:tcW w:w="26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w:t>
            </w:r>
          </w:p>
        </w:tc>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purposes of our audit. In our opinion, proper books of</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account have been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kept by</w:t>
            </w:r>
          </w:p>
        </w:tc>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company. The financial statements are in agreement</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the books</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account.</w:t>
            </w:r>
          </w:p>
        </w:tc>
        <w:tc>
          <w:tcPr>
            <w:tcW w:w="5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6600" w:type="dxa"/>
            <w:vAlign w:val="bottom"/>
            <w:gridSpan w:val="2"/>
          </w:tcPr>
          <w:p>
            <w:pPr>
              <w:spacing w:after="0"/>
              <w:rPr>
                <w:sz w:val="20"/>
                <w:szCs w:val="20"/>
                <w:color w:val="auto"/>
              </w:rPr>
            </w:pPr>
            <w:r>
              <w:rPr>
                <w:rFonts w:ascii="Courier New" w:cs="Courier New" w:eastAsia="Courier New" w:hAnsi="Courier New"/>
                <w:sz w:val="18"/>
                <w:szCs w:val="18"/>
                <w:color w:val="auto"/>
                <w:w w:val="98"/>
              </w:rPr>
              <w:t>In our opinion, the information given in the directors' report</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on pages 2 and</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3</w:t>
            </w:r>
          </w:p>
        </w:tc>
      </w:tr>
      <w:tr>
        <w:trPr>
          <w:trHeight w:val="203"/>
        </w:trPr>
        <w:tc>
          <w:tcPr>
            <w:tcW w:w="6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 consistent with the financial statements.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925" w:right="1440" w:bottom="1440" w:gutter="0" w:footer="0" w:header="0"/>
        </w:sectPr>
      </w:pPr>
    </w:p>
    <w:bookmarkStart w:id="27" w:name="page28"/>
    <w:bookmarkEnd w:id="27"/>
    <w:p>
      <w:pPr>
        <w:ind w:right="3999"/>
        <w:spacing w:after="0" w:line="235" w:lineRule="auto"/>
        <w:rPr>
          <w:sz w:val="20"/>
          <w:szCs w:val="20"/>
          <w:color w:val="auto"/>
        </w:rPr>
      </w:pPr>
      <w:r>
        <w:rPr>
          <w:rFonts w:ascii="Courier New" w:cs="Courier New" w:eastAsia="Courier New" w:hAnsi="Courier New"/>
          <w:sz w:val="18"/>
          <w:szCs w:val="18"/>
          <w:color w:val="auto"/>
        </w:rPr>
        <w:t>Auditors' report to the members of Vedia Technology Limited (formerly known as Ligurian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net assets of the company, as stated in the balance sheet on page 10, are more than half of the amount of its called up share capital and, in our opinion, on that basis there did not exist at 31 December 1998 a financial situation which, under Section 40(1) of the Companies (Amendment) Act 1983, would require the convening of an extraordinary general meeting of the company.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Chartered Accountants</w:t>
      </w:r>
    </w:p>
    <w:p>
      <w:pPr>
        <w:spacing w:after="0" w:line="238" w:lineRule="auto"/>
        <w:rPr>
          <w:sz w:val="20"/>
          <w:szCs w:val="20"/>
          <w:color w:val="auto"/>
        </w:rPr>
      </w:pPr>
      <w:r>
        <w:rPr>
          <w:rFonts w:ascii="Courier New" w:cs="Courier New" w:eastAsia="Courier New" w:hAnsi="Courier New"/>
          <w:sz w:val="18"/>
          <w:szCs w:val="18"/>
          <w:color w:val="auto"/>
        </w:rPr>
        <w:t>Registered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92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following accounting policies have been applied consistently in dealing with items which are considered material in relation to the company's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preparation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financial statements are presented in United States dollars (US$) and prepared in accordance with generally accepted accounting principles under the historical cost convention and comply with financial reporting standards of the Accounting Standards Board, as promulgated by the Institute of Chartered Accountants in Ireland.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Turnover</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Turnover represents the invoiced value of goods and services exclusive of Value Added Tax.</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and depreciation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Tangible fixed assets are stated at cost less accumulated depreciation. The charge for depreciation is calculated to write down the cost of tangible fixed assets over their expected useful lives on a straight-line basis at the following annual rates:</w:t>
      </w:r>
    </w:p>
    <w:p>
      <w:pPr>
        <w:spacing w:after="0" w:line="200" w:lineRule="exact"/>
        <w:rPr>
          <w:sz w:val="20"/>
          <w:szCs w:val="20"/>
          <w:color w:val="auto"/>
        </w:rPr>
      </w:pP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Plant and machinery</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33 1/3%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Stocks are valued at the lower of cost and net realisable value on an actual cost basis.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tax is provided on profits should they arise.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Transactions arising in foreign currencies are recorded at the monthly average exchange rates. Monetary items denominated in foreign currencies are translated at the balance sheet rate and the exchange differences are dealt with in the profit and loss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919"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Leased assets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Tangible fixed assets acquired under finance leases are included in the balance sheet at their equivalent capital value and depreciated over the shorter of the lease term and their useful lives. The corresponding liabilities are recorded as a creditor and the interest element of the finance lease rentals is charged to the profit and loss account on an annuity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Expenditure on research and development of new products is written off fully in the period in which it is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 fixed assets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Intangible fixed assets relates to software licences and are being written off to the profit and loss account over three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Purchased goodwill arising on the acquisition of Mentec Picturecom is capitalised in the balance sheet and amortised over the estimated economic life of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91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Profit and loss account</w:t>
            </w: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period ended 31 December 1998</w:t>
            </w: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Notes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1360" w:type="dxa"/>
            <w:vAlign w:val="bottom"/>
          </w:tcPr>
          <w:p>
            <w:pPr>
              <w:spacing w:after="0"/>
              <w:rPr>
                <w:sz w:val="24"/>
                <w:szCs w:val="24"/>
                <w:color w:val="auto"/>
              </w:rPr>
            </w:pP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2,843,386</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(1,823,505)</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Gross profit - continuing operations</w:t>
            </w:r>
          </w:p>
        </w:tc>
        <w:tc>
          <w:tcPr>
            <w:tcW w:w="1360" w:type="dxa"/>
            <w:vAlign w:val="bottom"/>
          </w:tcPr>
          <w:p>
            <w:pPr>
              <w:spacing w:after="0"/>
              <w:rPr>
                <w:sz w:val="24"/>
                <w:szCs w:val="24"/>
                <w:color w:val="auto"/>
              </w:rPr>
            </w:pP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1,019,881</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(2,634,970)</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loss - continuing operations</w:t>
            </w:r>
          </w:p>
        </w:tc>
        <w:tc>
          <w:tcPr>
            <w:tcW w:w="1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(1,615,089)</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Interest receivable and similar income</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7,234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(6,083)</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 taxation</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(1,613,938)</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Tax on loss on ordinary activities</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Loss for the financial year</w:t>
            </w:r>
          </w:p>
        </w:tc>
        <w:tc>
          <w:tcPr>
            <w:tcW w:w="1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(1,613,938)</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 at beginning of year</w:t>
            </w: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Profit and loss account at end of year</w:t>
            </w:r>
          </w:p>
        </w:tc>
        <w:tc>
          <w:tcPr>
            <w:tcW w:w="1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(1,613,938)</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had no recognised gains or losses in the financial period other than those dealt with in the profit and loss account.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919"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w:t>
      </w:r>
    </w:p>
    <w:p>
      <w:pPr>
        <w:spacing w:after="0" w:line="238" w:lineRule="auto"/>
        <w:rPr>
          <w:sz w:val="20"/>
          <w:szCs w:val="20"/>
          <w:color w:val="auto"/>
        </w:rPr>
      </w:pPr>
      <w:r>
        <w:rPr>
          <w:rFonts w:ascii="Courier New" w:cs="Courier New" w:eastAsia="Courier New" w:hAnsi="Courier New"/>
          <w:sz w:val="18"/>
          <w:szCs w:val="18"/>
          <w:color w:val="auto"/>
        </w:rPr>
        <w:t>at 31 December 1998</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1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Note</w:t>
            </w:r>
          </w:p>
        </w:tc>
        <w:tc>
          <w:tcPr>
            <w:tcW w:w="1900" w:type="dxa"/>
            <w:vAlign w:val="bottom"/>
          </w:tcPr>
          <w:p>
            <w:pPr>
              <w:spacing w:after="0"/>
              <w:rPr>
                <w:sz w:val="17"/>
                <w:szCs w:val="17"/>
                <w:color w:val="auto"/>
              </w:rPr>
            </w:pP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1998</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301,538</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30,930</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purchased goodwill</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1,350,000</w:t>
            </w:r>
          </w:p>
        </w:tc>
        <w:tc>
          <w:tcPr>
            <w:tcW w:w="12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1,682,468</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85,611</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537,756</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268,787</w:t>
            </w:r>
          </w:p>
        </w:tc>
        <w:tc>
          <w:tcPr>
            <w:tcW w:w="1260" w:type="dxa"/>
            <w:vAlign w:val="bottom"/>
          </w:tcPr>
          <w:p>
            <w:pPr>
              <w:spacing w:after="0"/>
              <w:rPr>
                <w:sz w:val="17"/>
                <w:szCs w:val="17"/>
                <w:color w:val="auto"/>
              </w:rPr>
            </w:pPr>
          </w:p>
        </w:tc>
      </w:tr>
      <w:tr>
        <w:trPr>
          <w:trHeight w:val="405"/>
        </w:trPr>
        <w:tc>
          <w:tcPr>
            <w:tcW w:w="5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892,154</w:t>
            </w:r>
          </w:p>
        </w:tc>
        <w:tc>
          <w:tcPr>
            <w:tcW w:w="12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(643,885)</w:t>
            </w:r>
          </w:p>
        </w:tc>
        <w:tc>
          <w:tcPr>
            <w:tcW w:w="12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current assets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248,269</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1,930,737</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 after one year</w:t>
            </w:r>
          </w:p>
        </w:tc>
        <w:tc>
          <w:tcPr>
            <w:tcW w:w="1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w:t>
            </w: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(801,906)</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1,128,831</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1,416,000</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1,326,769</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16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(1,613,938)</w:t>
            </w:r>
          </w:p>
        </w:tc>
        <w:tc>
          <w:tcPr>
            <w:tcW w:w="12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1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w:t>
            </w:r>
          </w:p>
        </w:tc>
        <w:tc>
          <w:tcPr>
            <w:tcW w:w="19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1,128,831</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behalf of the board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4660" w:space="720"/>
            <w:col w:w="4839"/>
          </w:cols>
          <w:pgMar w:left="240" w:top="919"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919" w:right="1440" w:bottom="1440"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forming part of the financial statements</w:t>
      </w:r>
    </w:p>
    <w:p>
      <w:pPr>
        <w:spacing w:after="0" w:line="202"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Support</w:t>
      </w:r>
    </w:p>
    <w:p>
      <w:pPr>
        <w:spacing w:after="0" w:line="206"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directors and shareholders have indicated that they are willing to provide financial support for the foreseeable future. The financial statements have, accordingly, been prepared on the going concern basis.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Operating expenses</w:t>
            </w:r>
          </w:p>
        </w:tc>
        <w:tc>
          <w:tcPr>
            <w:tcW w:w="248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 1998</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Selling, general and administration expenses</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1,419,338</w:t>
            </w:r>
          </w:p>
        </w:tc>
      </w:tr>
      <w:tr>
        <w:trPr>
          <w:trHeight w:val="203"/>
        </w:trPr>
        <w:tc>
          <w:tcPr>
            <w:tcW w:w="320" w:type="dxa"/>
            <w:vAlign w:val="bottom"/>
          </w:tcPr>
          <w:p>
            <w:pPr>
              <w:spacing w:after="0"/>
              <w:rPr>
                <w:sz w:val="17"/>
                <w:szCs w:val="17"/>
                <w:color w:val="auto"/>
              </w:rPr>
            </w:pPr>
          </w:p>
        </w:tc>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1,215,632</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2,634,970</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Interest receivable and similar income</w:t>
            </w:r>
          </w:p>
        </w:tc>
        <w:tc>
          <w:tcPr>
            <w:tcW w:w="248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 1998</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Deposit interest received</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7,234</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4</w:t>
            </w: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Interest payable</w:t>
            </w:r>
          </w:p>
        </w:tc>
        <w:tc>
          <w:tcPr>
            <w:tcW w:w="248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 1998</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320" w:type="dxa"/>
            <w:vAlign w:val="bottom"/>
          </w:tcPr>
          <w:p>
            <w:pPr>
              <w:spacing w:after="0"/>
              <w:rPr>
                <w:sz w:val="24"/>
                <w:szCs w:val="24"/>
                <w:color w:val="auto"/>
              </w:rPr>
            </w:pP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Bank interest</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4,236</w:t>
            </w:r>
          </w:p>
        </w:tc>
      </w:tr>
      <w:tr>
        <w:trPr>
          <w:trHeight w:val="203"/>
        </w:trPr>
        <w:tc>
          <w:tcPr>
            <w:tcW w:w="320" w:type="dxa"/>
            <w:vAlign w:val="bottom"/>
          </w:tcPr>
          <w:p>
            <w:pPr>
              <w:spacing w:after="0"/>
              <w:rPr>
                <w:sz w:val="17"/>
                <w:szCs w:val="17"/>
                <w:color w:val="auto"/>
              </w:rPr>
            </w:pPr>
          </w:p>
        </w:tc>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lease interest payable</w:t>
            </w:r>
          </w:p>
        </w:tc>
        <w:tc>
          <w:tcPr>
            <w:tcW w:w="248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respect of finance leases</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1,847</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6,083</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91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Statutory information</w:t>
            </w:r>
          </w:p>
        </w:tc>
        <w:tc>
          <w:tcPr>
            <w:tcW w:w="23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Depreciation and other amounts written off:</w:t>
            </w:r>
          </w:p>
        </w:tc>
        <w:tc>
          <w:tcPr>
            <w:tcW w:w="23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tangible fixed assets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54,230</w:t>
            </w:r>
          </w:p>
        </w:tc>
      </w:tr>
      <w:tr>
        <w:trPr>
          <w:trHeight w:val="203"/>
        </w:trPr>
        <w:tc>
          <w:tcPr>
            <w:tcW w:w="320" w:type="dxa"/>
            <w:vAlign w:val="bottom"/>
          </w:tcPr>
          <w:p>
            <w:pPr>
              <w:spacing w:after="0"/>
              <w:rPr>
                <w:sz w:val="17"/>
                <w:szCs w:val="17"/>
                <w:color w:val="auto"/>
              </w:rPr>
            </w:pPr>
          </w:p>
        </w:tc>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Leased tangible fixed assets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3,059</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Auditors' remuneration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12,500</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weekly number of employees, analysed by category, were as follows: 1998 Number</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Sales and administration</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74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26</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aggregate payroll costs of these employees were as follows: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Period ended</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Wages and salaries</w:t>
            </w: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1,402,306</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Social welfare costs</w:t>
            </w: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163,349</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cost</w:t>
            </w:r>
          </w:p>
        </w:tc>
        <w:tc>
          <w:tcPr>
            <w:tcW w:w="3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6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1,565,655</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919"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Vedia Technology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(formerly known as Ligurian Limited)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remuneration and transactions</w:t>
      </w:r>
    </w:p>
    <w:p>
      <w:pPr>
        <w:spacing w:after="0" w:line="20" w:lineRule="exact"/>
        <w:rPr>
          <w:sz w:val="20"/>
          <w:szCs w:val="20"/>
          <w:color w:val="auto"/>
        </w:rPr>
      </w:pPr>
    </w:p>
    <w:p>
      <w:pPr>
        <w:sectPr>
          <w:pgSz w:w="11900" w:h="16838" w:orient="portrait"/>
          <w:cols w:equalWidth="0" w:num="2">
            <w:col w:w="120" w:space="420"/>
            <w:col w:w="9679"/>
          </w:cols>
          <w:pgMar w:left="240" w:top="919" w:right="1440" w:bottom="1440" w:gutter="0" w:footer="0" w:header="0"/>
          <w:type w:val="continuous"/>
        </w:sectPr>
      </w:pPr>
    </w:p>
    <w:p>
      <w:pPr>
        <w:jc w:val="right"/>
        <w:ind w:right="1779"/>
        <w:spacing w:after="0"/>
        <w:rPr>
          <w:sz w:val="20"/>
          <w:szCs w:val="20"/>
          <w:color w:val="auto"/>
        </w:rPr>
      </w:pPr>
      <w:r>
        <w:rPr>
          <w:rFonts w:ascii="Courier New" w:cs="Courier New" w:eastAsia="Courier New" w:hAnsi="Courier New"/>
          <w:sz w:val="16"/>
          <w:szCs w:val="16"/>
          <w:color w:val="auto"/>
        </w:rPr>
        <w:t>Period ended</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31 December</w:t>
      </w:r>
    </w:p>
    <w:p>
      <w:pPr>
        <w:jc w:val="right"/>
        <w:ind w:right="1779"/>
        <w:spacing w:after="0" w:line="238" w:lineRule="auto"/>
        <w:rPr>
          <w:sz w:val="20"/>
          <w:szCs w:val="20"/>
          <w:color w:val="auto"/>
        </w:rPr>
      </w:pPr>
      <w:r>
        <w:rPr>
          <w:rFonts w:ascii="Courier New" w:cs="Courier New" w:eastAsia="Courier New" w:hAnsi="Courier New"/>
          <w:sz w:val="18"/>
          <w:szCs w:val="18"/>
          <w:color w:val="auto"/>
        </w:rPr>
        <w:t>1998</w:t>
      </w:r>
    </w:p>
    <w:p>
      <w:pPr>
        <w:jc w:val="right"/>
        <w:ind w:right="1779"/>
        <w:spacing w:after="0"/>
        <w:rPr>
          <w:sz w:val="20"/>
          <w:szCs w:val="20"/>
          <w:color w:val="auto"/>
        </w:rPr>
      </w:pPr>
      <w:r>
        <w:rPr>
          <w:rFonts w:ascii="Courier New" w:cs="Courier New" w:eastAsia="Courier New" w:hAnsi="Courier New"/>
          <w:sz w:val="18"/>
          <w:szCs w:val="18"/>
          <w:color w:val="auto"/>
        </w:rPr>
        <w:t>US$</w:t>
      </w:r>
    </w:p>
    <w:p>
      <w:pPr>
        <w:sectPr>
          <w:pgSz w:w="11900" w:h="16838" w:orient="portrait"/>
          <w:cols w:equalWidth="0" w:num="1">
            <w:col w:w="10219"/>
          </w:cols>
          <w:pgMar w:left="240" w:top="919" w:right="1440" w:bottom="1440" w:gutter="0" w:footer="0" w:header="0"/>
          <w:type w:val="continuous"/>
        </w:sectPr>
      </w:pPr>
    </w:p>
    <w:p>
      <w:pPr>
        <w:ind w:left="540"/>
        <w:spacing w:after="0" w:line="237" w:lineRule="auto"/>
        <w:rPr>
          <w:sz w:val="20"/>
          <w:szCs w:val="20"/>
          <w:color w:val="auto"/>
        </w:rPr>
      </w:pPr>
      <w:r>
        <w:rPr>
          <w:rFonts w:ascii="Courier New" w:cs="Courier New" w:eastAsia="Courier New" w:hAnsi="Courier New"/>
          <w:sz w:val="18"/>
          <w:szCs w:val="18"/>
          <w:color w:val="auto"/>
        </w:rPr>
        <w:t>Directors remuneration</w:t>
      </w:r>
    </w:p>
    <w:p>
      <w:pPr>
        <w:ind w:left="540"/>
        <w:spacing w:after="0" w:line="238" w:lineRule="auto"/>
        <w:rPr>
          <w:sz w:val="20"/>
          <w:szCs w:val="20"/>
          <w:color w:val="auto"/>
        </w:rPr>
      </w:pPr>
      <w:r>
        <w:rPr>
          <w:rFonts w:ascii="Courier New" w:cs="Courier New" w:eastAsia="Courier New" w:hAnsi="Courier New"/>
          <w:sz w:val="18"/>
          <w:szCs w:val="18"/>
          <w:color w:val="auto"/>
        </w:rPr>
        <w:t>Fees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Other remuneration including pension contributions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26,665</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080" w:space="720"/>
            <w:col w:w="2419"/>
          </w:cols>
          <w:pgMar w:left="240" w:top="919" w:right="1440" w:bottom="1440" w:gutter="0" w:footer="0" w:header="0"/>
          <w:type w:val="continuous"/>
        </w:sectPr>
      </w:pPr>
    </w:p>
    <w:p>
      <w:pPr>
        <w:spacing w:after="0" w:line="1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26,665</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Details of directors' interests in shares are provided in the directors'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219"/>
          </w:cols>
          <w:pgMar w:left="240" w:top="919"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on loss on ordinary activities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corporation tax was payable on the loss on ordinary activities for the period.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9</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Tangible fixed assets</w:t>
            </w: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Plant &amp;</w:t>
            </w:r>
          </w:p>
        </w:tc>
        <w:tc>
          <w:tcPr>
            <w:tcW w:w="1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Machinery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US$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w:t>
            </w: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Acquired from Mentec Limited</w:t>
            </w: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121,063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121,063</w:t>
            </w: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w:t>
            </w: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237,764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237,764</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1998</w:t>
            </w:r>
          </w:p>
        </w:tc>
        <w:tc>
          <w:tcPr>
            <w:tcW w:w="25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358,827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358,827</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Depreciation</w:t>
            </w: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Charge for year</w:t>
            </w: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57,289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57,289</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1998</w:t>
            </w:r>
          </w:p>
        </w:tc>
        <w:tc>
          <w:tcPr>
            <w:tcW w:w="25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57,289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57,289</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Net book value</w:t>
            </w: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31 December 1998</w:t>
            </w: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301,538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301,538</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91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26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Intangible fixed assets</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Licences</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Cost</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37,701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37,701</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At end of period</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37,701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37,701</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Amortisation in year</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6,771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6,771</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At end of period</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6,771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6,771</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1998</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30,930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30,930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Goodwill</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Purchased</w:t>
            </w: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goodwill</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26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period</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Acquisitions</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At end of period</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1,500,000</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1,500,000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period</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Acquisitions</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At end of period</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150,000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1998</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1,350,000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The goodwill relates to the acquisition of the Mentec Picturecom business on 6 March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919"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rPr>
              <w:t>12   Stocks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Raw materials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63,057</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Finished goods</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22,554</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85,611</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0"/>
                <w:szCs w:val="20"/>
                <w:color w:val="auto"/>
              </w:rPr>
            </w:pPr>
            <w:r>
              <w:rPr>
                <w:rFonts w:ascii="Courier New" w:cs="Courier New" w:eastAsia="Courier New" w:hAnsi="Courier New"/>
                <w:sz w:val="18"/>
                <w:szCs w:val="18"/>
                <w:color w:val="auto"/>
              </w:rPr>
              <w:t>13   Debtors: amounts falling due within one year</w:t>
            </w:r>
          </w:p>
        </w:tc>
        <w:tc>
          <w:tcPr>
            <w:tcW w:w="1860" w:type="dxa"/>
            <w:vAlign w:val="bottom"/>
          </w:tcPr>
          <w:p>
            <w:pPr>
              <w:spacing w:after="0"/>
              <w:rPr>
                <w:sz w:val="24"/>
                <w:szCs w:val="24"/>
                <w:color w:val="auto"/>
              </w:rPr>
            </w:pP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Trade debtors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437,298</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Prepayments and accrued income</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37,301</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VAT repayable</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63,157</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537,756</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0"/>
                <w:szCs w:val="20"/>
                <w:color w:val="auto"/>
              </w:rPr>
            </w:pPr>
            <w:r>
              <w:rPr>
                <w:rFonts w:ascii="Courier New" w:cs="Courier New" w:eastAsia="Courier New" w:hAnsi="Courier New"/>
                <w:sz w:val="18"/>
                <w:szCs w:val="18"/>
                <w:color w:val="auto"/>
              </w:rPr>
              <w:t>14   Creditors: amounts falling due within one year</w:t>
            </w:r>
          </w:p>
        </w:tc>
        <w:tc>
          <w:tcPr>
            <w:tcW w:w="1860" w:type="dxa"/>
            <w:vAlign w:val="bottom"/>
          </w:tcPr>
          <w:p>
            <w:pPr>
              <w:spacing w:after="0"/>
              <w:rPr>
                <w:sz w:val="24"/>
                <w:szCs w:val="24"/>
                <w:color w:val="auto"/>
              </w:rPr>
            </w:pP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Trade creditors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218,109</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Bank overdraft (note 16)</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13,789</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Loan (note 16)</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 (note 16)</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40,536</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Accruals and deferred income</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305,642</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PAYE/PRSI</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40,809</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643,885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91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15</w:t>
            </w:r>
          </w:p>
        </w:tc>
        <w:tc>
          <w:tcPr>
            <w:tcW w:w="50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Creditors: amounts falling due after one year</w:t>
            </w: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c>
          <w:tcPr>
            <w:tcW w:w="8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Loan (note 16)</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725,000</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5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Obligations under finance lease (note 16)</w:t>
            </w: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76,906</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608"/>
        </w:trPr>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801,906</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1013"/>
        </w:trPr>
        <w:tc>
          <w:tcPr>
            <w:tcW w:w="380" w:type="dxa"/>
            <w:vAlign w:val="bottom"/>
          </w:tcPr>
          <w:p>
            <w:pPr>
              <w:spacing w:after="0"/>
              <w:rPr>
                <w:sz w:val="20"/>
                <w:szCs w:val="20"/>
                <w:color w:val="auto"/>
              </w:rPr>
            </w:pPr>
            <w:r>
              <w:rPr>
                <w:rFonts w:ascii="Courier New" w:cs="Courier New" w:eastAsia="Courier New" w:hAnsi="Courier New"/>
                <w:sz w:val="18"/>
                <w:szCs w:val="18"/>
                <w:color w:val="auto"/>
              </w:rPr>
              <w:t>16</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Details of borrowings</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Between</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Between</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Within</w:t>
            </w:r>
          </w:p>
        </w:tc>
        <w:tc>
          <w:tcPr>
            <w:tcW w:w="3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one and two two and five</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5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one year</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years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years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w w:val="98"/>
              </w:rPr>
              <w:t>Repayable other than by instalments</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Bank overdrafts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13,789</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13,789</w:t>
            </w:r>
          </w:p>
        </w:tc>
      </w:tr>
      <w:tr>
        <w:trPr>
          <w:trHeight w:val="405"/>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Repayable by instalments</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Obligations under finance leases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40,536</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37,034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39,872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117,442</w:t>
            </w: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Loan</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725,000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750,000</w:t>
            </w: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79,325</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762,034</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39,872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881,231</w:t>
            </w: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80" w:type="dxa"/>
            <w:vAlign w:val="bottom"/>
          </w:tcPr>
          <w:p>
            <w:pPr>
              <w:spacing w:after="0"/>
              <w:rPr>
                <w:sz w:val="20"/>
                <w:szCs w:val="20"/>
                <w:color w:val="auto"/>
              </w:rPr>
            </w:pPr>
            <w:r>
              <w:rPr>
                <w:rFonts w:ascii="Courier New" w:cs="Courier New" w:eastAsia="Courier New" w:hAnsi="Courier New"/>
                <w:sz w:val="18"/>
                <w:szCs w:val="18"/>
                <w:color w:val="auto"/>
              </w:rPr>
              <w:t>17</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Called up share capital</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Equity</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Authorised:</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5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150,000 "A" Ordinary Shares of US$1 each</w:t>
            </w: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5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4,850,000 Ordinary Shares of US$1 each</w:t>
            </w: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4,850,000</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608"/>
        </w:trPr>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5,000,000</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608"/>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w w:val="98"/>
              </w:rPr>
              <w:t>Allotted, called up and fully paid:</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Opening share capital</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Shares issued during the period: Ordinary Shares of US$1 each</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1,416,000</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Closing share capital</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1,416,000</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91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Called up share capital (continued)</w:t>
      </w:r>
    </w:p>
    <w:p>
      <w:pPr>
        <w:spacing w:after="0" w:line="206"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27 February 1998, a special resolution was passed to convert the authorised share capital from IR(pound)100 to US$5,000,000 by the creation of 150,000 "A" ordinary shares of US$1 each and 4,850,000 ordinary shares of US$1 each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During the year the following shares were allotted for cash at a premium of</w:t>
      </w:r>
    </w:p>
    <w:p>
      <w:pPr>
        <w:ind w:left="540"/>
        <w:spacing w:after="0" w:line="238" w:lineRule="auto"/>
        <w:rPr>
          <w:sz w:val="20"/>
          <w:szCs w:val="20"/>
          <w:color w:val="auto"/>
        </w:rPr>
      </w:pPr>
      <w:r>
        <w:rPr>
          <w:rFonts w:ascii="Courier New" w:cs="Courier New" w:eastAsia="Courier New" w:hAnsi="Courier New"/>
          <w:sz w:val="18"/>
          <w:szCs w:val="18"/>
          <w:color w:val="auto"/>
        </w:rPr>
        <w:t>US$1 each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Trinity Venture Capital</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500,000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Michael Peirce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Gilbert Little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Mentec Limited</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Paul Tierney</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18   Reserves</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08"/>
        </w:trPr>
        <w:tc>
          <w:tcPr>
            <w:tcW w:w="3700" w:type="dxa"/>
            <w:vAlign w:val="bottom"/>
          </w:tcPr>
          <w:p>
            <w:pPr>
              <w:spacing w:after="0"/>
              <w:rPr>
                <w:sz w:val="24"/>
                <w:szCs w:val="24"/>
                <w:color w:val="auto"/>
              </w:rPr>
            </w:pP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Share</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Share</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Profit and</w:t>
            </w:r>
          </w:p>
        </w:tc>
        <w:tc>
          <w:tcPr>
            <w:tcW w:w="940" w:type="dxa"/>
            <w:vAlign w:val="bottom"/>
          </w:tcPr>
          <w:p>
            <w:pPr>
              <w:spacing w:after="0"/>
              <w:rPr>
                <w:sz w:val="24"/>
                <w:szCs w:val="24"/>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capital</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premium</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loss</w:t>
            </w:r>
          </w:p>
        </w:tc>
        <w:tc>
          <w:tcPr>
            <w:tcW w:w="94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account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account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US$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At beginning of year</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Movement during the year</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1,416,000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1,326,769</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(1,613,938)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1,128,831</w:t>
            </w: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At end of year</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1,416,000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1,326,769</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(1,613,938)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1,128,831</w:t>
            </w: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810"/>
        </w:trPr>
        <w:tc>
          <w:tcPr>
            <w:tcW w:w="6800" w:type="dxa"/>
            <w:vAlign w:val="bottom"/>
            <w:gridSpan w:val="3"/>
          </w:tcPr>
          <w:p>
            <w:pPr>
              <w:spacing w:after="0"/>
              <w:rPr>
                <w:sz w:val="20"/>
                <w:szCs w:val="20"/>
                <w:color w:val="auto"/>
              </w:rPr>
            </w:pPr>
            <w:r>
              <w:rPr>
                <w:rFonts w:ascii="Courier New" w:cs="Courier New" w:eastAsia="Courier New" w:hAnsi="Courier New"/>
                <w:sz w:val="18"/>
                <w:szCs w:val="18"/>
                <w:color w:val="auto"/>
              </w:rPr>
              <w:t>19   Reconciliation of movement in shareholders' funds</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spacing w:after="0"/>
              <w:rPr>
                <w:sz w:val="17"/>
                <w:szCs w:val="17"/>
                <w:color w:val="auto"/>
              </w:rPr>
            </w:pPr>
          </w:p>
        </w:tc>
      </w:tr>
      <w:tr>
        <w:trPr>
          <w:trHeight w:val="405"/>
        </w:trPr>
        <w:tc>
          <w:tcPr>
            <w:tcW w:w="5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beginning of period</w:t>
            </w:r>
          </w:p>
        </w:tc>
        <w:tc>
          <w:tcPr>
            <w:tcW w:w="13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4"/>
                <w:szCs w:val="24"/>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during period</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2,742,769</w:t>
            </w: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for financial period</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(1,613,938)</w:t>
            </w:r>
          </w:p>
        </w:tc>
      </w:tr>
      <w:tr>
        <w:trPr>
          <w:trHeight w:val="203"/>
        </w:trPr>
        <w:tc>
          <w:tcPr>
            <w:tcW w:w="3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r>
      <w:tr>
        <w:trPr>
          <w:trHeight w:val="608"/>
        </w:trPr>
        <w:tc>
          <w:tcPr>
            <w:tcW w:w="5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end of period</w:t>
            </w:r>
          </w:p>
        </w:tc>
        <w:tc>
          <w:tcPr>
            <w:tcW w:w="13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1,128,831</w:t>
            </w:r>
          </w:p>
        </w:tc>
        <w:tc>
          <w:tcPr>
            <w:tcW w:w="940" w:type="dxa"/>
            <w:vAlign w:val="bottom"/>
          </w:tcPr>
          <w:p>
            <w:pPr>
              <w:spacing w:after="0"/>
              <w:rPr>
                <w:sz w:val="24"/>
                <w:szCs w:val="24"/>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r>
      <w:tr>
        <w:trPr>
          <w:trHeight w:val="1013"/>
        </w:trPr>
        <w:tc>
          <w:tcPr>
            <w:tcW w:w="3700" w:type="dxa"/>
            <w:vAlign w:val="bottom"/>
          </w:tcPr>
          <w:p>
            <w:pPr>
              <w:spacing w:after="0"/>
              <w:rPr>
                <w:sz w:val="24"/>
                <w:szCs w:val="24"/>
                <w:color w:val="auto"/>
              </w:rPr>
            </w:pPr>
          </w:p>
        </w:tc>
        <w:tc>
          <w:tcPr>
            <w:tcW w:w="17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F-35</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20   Commitments</w:t>
            </w:r>
          </w:p>
        </w:tc>
        <w:tc>
          <w:tcPr>
            <w:tcW w:w="260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74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commitments</w:t>
            </w:r>
          </w:p>
        </w:tc>
        <w:tc>
          <w:tcPr>
            <w:tcW w:w="2600" w:type="dxa"/>
            <w:vAlign w:val="bottom"/>
          </w:tcPr>
          <w:p>
            <w:pPr>
              <w:spacing w:after="0"/>
              <w:rPr>
                <w:sz w:val="17"/>
                <w:szCs w:val="17"/>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Authorised and contracted for</w:t>
            </w: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Authorised and not contracted for</w:t>
            </w: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Operating lease commitments</w:t>
            </w:r>
          </w:p>
        </w:tc>
        <w:tc>
          <w:tcPr>
            <w:tcW w:w="2600" w:type="dxa"/>
            <w:vAlign w:val="bottom"/>
          </w:tcPr>
          <w:p>
            <w:pPr>
              <w:spacing w:after="0"/>
              <w:rPr>
                <w:sz w:val="24"/>
                <w:szCs w:val="24"/>
                <w:color w:val="auto"/>
              </w:rPr>
            </w:pPr>
          </w:p>
        </w:tc>
      </w:tr>
    </w:tbl>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Annual commitments cost under non cancellable operating leases as follows:</w:t>
      </w:r>
    </w:p>
    <w:p>
      <w:pPr>
        <w:spacing w:after="0" w:line="200" w:lineRule="exact"/>
        <w:rPr>
          <w:sz w:val="20"/>
          <w:szCs w:val="20"/>
          <w:color w:val="auto"/>
        </w:rPr>
      </w:pPr>
    </w:p>
    <w:p>
      <w:pPr>
        <w:spacing w:after="0" w:line="22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Land and</w:t>
            </w:r>
          </w:p>
        </w:tc>
        <w:tc>
          <w:tcPr>
            <w:tcW w:w="1540" w:type="dxa"/>
            <w:vAlign w:val="bottom"/>
          </w:tcPr>
          <w:p>
            <w:pPr>
              <w:spacing w:after="0"/>
              <w:rPr>
                <w:sz w:val="17"/>
                <w:szCs w:val="17"/>
                <w:color w:val="auto"/>
              </w:rPr>
            </w:pP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2940" w:type="dxa"/>
            <w:vAlign w:val="bottom"/>
          </w:tcPr>
          <w:p>
            <w:pPr>
              <w:spacing w:after="0"/>
              <w:rPr>
                <w:sz w:val="17"/>
                <w:szCs w:val="17"/>
                <w:color w:val="auto"/>
              </w:rPr>
            </w:pP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Buildings</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94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IR(pound)</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IR(pound)</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IR(pound)</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Expiring</w:t>
            </w: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Within one year</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Between two and five years</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60,604</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60,604</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More than five years</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40" w:type="dxa"/>
            <w:vAlign w:val="bottom"/>
          </w:tcPr>
          <w:p>
            <w:pPr>
              <w:spacing w:after="0"/>
              <w:rPr>
                <w:sz w:val="17"/>
                <w:szCs w:val="17"/>
                <w:color w:val="auto"/>
              </w:rPr>
            </w:pP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4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60,604</w:t>
            </w:r>
          </w:p>
        </w:tc>
        <w:tc>
          <w:tcPr>
            <w:tcW w:w="15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60,604</w:t>
            </w:r>
          </w:p>
        </w:tc>
      </w:tr>
      <w:tr>
        <w:trPr>
          <w:trHeight w:val="203"/>
        </w:trPr>
        <w:tc>
          <w:tcPr>
            <w:tcW w:w="2940" w:type="dxa"/>
            <w:vAlign w:val="bottom"/>
          </w:tcPr>
          <w:p>
            <w:pPr>
              <w:spacing w:after="0"/>
              <w:rPr>
                <w:sz w:val="17"/>
                <w:szCs w:val="17"/>
                <w:color w:val="auto"/>
              </w:rPr>
            </w:pP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9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rPr>
          <w:sz w:val="20"/>
          <w:szCs w:val="20"/>
          <w:color w:val="auto"/>
        </w:rPr>
      </w:pPr>
      <w:r>
        <w:rPr>
          <w:rFonts w:ascii="Courier New" w:cs="Courier New" w:eastAsia="Courier New" w:hAnsi="Courier New"/>
          <w:sz w:val="18"/>
          <w:szCs w:val="18"/>
          <w:color w:val="auto"/>
        </w:rPr>
        <w:t>Notes (continued)</w:t>
      </w:r>
    </w:p>
    <w:p>
      <w:pPr>
        <w:ind w:left="540"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7"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Mentec Limited is a shareholder of Vedia Technology Limited. The company's related parties as defined by FRS 8 - Related Party Disclosures and the extent of transactions are summarised below:</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Mentec</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goods/services supplied</w:t>
            </w:r>
          </w:p>
        </w:tc>
        <w:tc>
          <w:tcPr>
            <w:tcW w:w="1540" w:type="dxa"/>
            <w:vAlign w:val="bottom"/>
          </w:tcPr>
          <w:p>
            <w:pPr>
              <w:spacing w:after="0"/>
              <w:rPr>
                <w:sz w:val="17"/>
                <w:szCs w:val="17"/>
                <w:color w:val="auto"/>
              </w:rPr>
            </w:pPr>
          </w:p>
        </w:tc>
      </w:tr>
      <w:tr>
        <w:trPr>
          <w:trHeight w:val="203"/>
        </w:trPr>
        <w:tc>
          <w:tcPr>
            <w:tcW w:w="6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Vedia Technology Limited on</w:t>
            </w:r>
          </w:p>
        </w:tc>
        <w:tc>
          <w:tcPr>
            <w:tcW w:w="1540" w:type="dxa"/>
            <w:vAlign w:val="bottom"/>
          </w:tcPr>
          <w:p>
            <w:pPr>
              <w:spacing w:after="0"/>
              <w:rPr>
                <w:sz w:val="17"/>
                <w:szCs w:val="17"/>
                <w:color w:val="auto"/>
              </w:rPr>
            </w:pPr>
          </w:p>
        </w:tc>
      </w:tr>
      <w:tr>
        <w:trPr>
          <w:trHeight w:val="203"/>
        </w:trPr>
        <w:tc>
          <w:tcPr>
            <w:tcW w:w="6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normal trading terms</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475,908</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60" w:type="dxa"/>
            <w:vAlign w:val="bottom"/>
          </w:tcPr>
          <w:p>
            <w:pPr>
              <w:spacing w:after="0"/>
              <w:rPr>
                <w:sz w:val="20"/>
                <w:szCs w:val="20"/>
                <w:color w:val="auto"/>
              </w:rPr>
            </w:pPr>
            <w:r>
              <w:rPr>
                <w:rFonts w:ascii="Courier New" w:cs="Courier New" w:eastAsia="Courier New" w:hAnsi="Courier New"/>
                <w:sz w:val="18"/>
                <w:szCs w:val="18"/>
                <w:color w:val="auto"/>
              </w:rPr>
              <w:t>Amounts due from/(to) related parties at arising from:</w:t>
            </w:r>
          </w:p>
        </w:tc>
        <w:tc>
          <w:tcPr>
            <w:tcW w:w="1540" w:type="dxa"/>
            <w:vAlign w:val="bottom"/>
          </w:tcPr>
          <w:p>
            <w:pPr>
              <w:spacing w:after="0"/>
              <w:rPr>
                <w:sz w:val="24"/>
                <w:szCs w:val="24"/>
                <w:color w:val="auto"/>
              </w:rPr>
            </w:pPr>
          </w:p>
        </w:tc>
      </w:tr>
      <w:tr>
        <w:trPr>
          <w:trHeight w:val="405"/>
        </w:trPr>
        <w:tc>
          <w:tcPr>
            <w:tcW w:w="6360" w:type="dxa"/>
            <w:vAlign w:val="bottom"/>
          </w:tcPr>
          <w:p>
            <w:pPr>
              <w:spacing w:after="0"/>
              <w:rPr>
                <w:sz w:val="20"/>
                <w:szCs w:val="20"/>
                <w:color w:val="auto"/>
              </w:rPr>
            </w:pPr>
            <w:r>
              <w:rPr>
                <w:rFonts w:ascii="Courier New" w:cs="Courier New" w:eastAsia="Courier New" w:hAnsi="Courier New"/>
                <w:sz w:val="18"/>
                <w:szCs w:val="18"/>
                <w:color w:val="auto"/>
              </w:rPr>
              <w:t>Trading activities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(12,001)</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60" w:type="dxa"/>
            <w:vAlign w:val="bottom"/>
          </w:tcPr>
          <w:p>
            <w:pPr>
              <w:spacing w:after="0"/>
              <w:rPr>
                <w:sz w:val="20"/>
                <w:szCs w:val="20"/>
                <w:color w:val="auto"/>
              </w:rPr>
            </w:pPr>
            <w:r>
              <w:rPr>
                <w:rFonts w:ascii="Courier New" w:cs="Courier New" w:eastAsia="Courier New" w:hAnsi="Courier New"/>
                <w:sz w:val="18"/>
                <w:szCs w:val="18"/>
                <w:color w:val="auto"/>
              </w:rPr>
              <w:t>Maximum amount outstanding</w:t>
            </w:r>
          </w:p>
        </w:tc>
        <w:tc>
          <w:tcPr>
            <w:tcW w:w="1540" w:type="dxa"/>
            <w:vAlign w:val="bottom"/>
          </w:tcPr>
          <w:p>
            <w:pPr>
              <w:spacing w:after="0"/>
              <w:rPr>
                <w:sz w:val="24"/>
                <w:szCs w:val="24"/>
                <w:color w:val="auto"/>
              </w:rPr>
            </w:pPr>
          </w:p>
        </w:tc>
      </w:tr>
      <w:tr>
        <w:trPr>
          <w:trHeight w:val="203"/>
        </w:trPr>
        <w:tc>
          <w:tcPr>
            <w:tcW w:w="6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during the year</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427,056</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Mentec Limited provided an interest bearing loan to Vedia Technology</w:t>
      </w:r>
    </w:p>
    <w:p>
      <w:pPr>
        <w:ind w:left="540"/>
        <w:spacing w:after="0" w:line="238" w:lineRule="auto"/>
        <w:rPr>
          <w:sz w:val="20"/>
          <w:szCs w:val="20"/>
          <w:color w:val="auto"/>
        </w:rPr>
      </w:pPr>
      <w:r>
        <w:rPr>
          <w:rFonts w:ascii="Courier New" w:cs="Courier New" w:eastAsia="Courier New" w:hAnsi="Courier New"/>
          <w:sz w:val="18"/>
          <w:szCs w:val="18"/>
          <w:color w:val="auto"/>
        </w:rPr>
        <w:t>Limited for US$750,000. The terms of the loan required repayment of</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US$375,000 on 31 March 1999 and 30 September 1999. The interest on the loan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 DIBOR plus 3.5% for 3 months funds from the repayment dates.</w:t>
      </w:r>
    </w:p>
    <w:p>
      <w:pPr>
        <w:spacing w:after="0" w:line="4" w:lineRule="exact"/>
        <w:rPr>
          <w:sz w:val="20"/>
          <w:szCs w:val="20"/>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This loan will be repaid to Mentec Limited at a rate which is yet to be determined.</w:t>
      </w:r>
    </w:p>
    <w:p>
      <w:pPr>
        <w:spacing w:after="0" w:line="208"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Dr. M. Pierce is a shareholder and director of Mentec Limited and Mr. M Horgan is a director of Mentec Limited. Mr. J. Tracey is a director of Trinity Venture Capital, a company having a shareholding in Vedia Technology Limited.</w:t>
      </w:r>
    </w:p>
    <w:p>
      <w:pPr>
        <w:spacing w:after="0" w:line="202"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 statement</w:t>
      </w:r>
    </w:p>
    <w:p>
      <w:pPr>
        <w:spacing w:after="0" w:line="206" w:lineRule="exact"/>
        <w:rPr>
          <w:rFonts w:ascii="Courier New" w:cs="Courier New" w:eastAsia="Courier New" w:hAnsi="Courier New"/>
          <w:sz w:val="18"/>
          <w:szCs w:val="18"/>
          <w:color w:val="auto"/>
        </w:rPr>
      </w:pPr>
    </w:p>
    <w:p>
      <w:pPr>
        <w:ind w:left="54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availed of exemptions in FRS 1 - Cashflow Statements (Revised) not to prepare a cash flow as it meets the requirements of Section 8 of the Companies (Amendment) Act 1986 to be treated as a small company.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business</w:t>
      </w:r>
    </w:p>
    <w:p>
      <w:pPr>
        <w:spacing w:after="0" w:line="206" w:lineRule="exact"/>
        <w:rPr>
          <w:rFonts w:ascii="Courier New" w:cs="Courier New" w:eastAsia="Courier New" w:hAnsi="Courier New"/>
          <w:sz w:val="18"/>
          <w:szCs w:val="18"/>
          <w:color w:val="auto"/>
        </w:rPr>
      </w:pPr>
    </w:p>
    <w:p>
      <w:pPr>
        <w:ind w:left="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6 March 1998 the company purchased the business and assets of Mentec Picturecom Limited for a cash consideration of US$1,892,783. The business was purchased as a going concern and the purchase price was allocated as follows:Plant and Machinery US$121,064, stock US$271,716 and goodwill US$1,500,000.</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financial statements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were approved by the board of directors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10219"/>
          </w:cols>
          <w:pgMar w:left="240" w:top="919"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Reconciliation between Irish and U.S. Accounting Principles</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The financial statements of the company set out on pages 7 to 20 have been prepared in accordance with generally accepted accounting principles applicable in Ireland ("Irish GAAP") which differ in certain significant respects from those applicable in the U.S. (" U.S. GAAP"). The material differences as they apply to the financial statements are as follows :</w:t>
      </w:r>
    </w:p>
    <w:p>
      <w:pPr>
        <w:spacing w:after="0" w:line="203"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format</w:t>
      </w:r>
    </w:p>
    <w:p>
      <w:pPr>
        <w:spacing w:after="0" w:line="206" w:lineRule="exact"/>
        <w:rPr>
          <w:rFonts w:ascii="Courier New" w:cs="Courier New" w:eastAsia="Courier New" w:hAnsi="Courier New"/>
          <w:sz w:val="18"/>
          <w:szCs w:val="18"/>
          <w:color w:val="auto"/>
        </w:rPr>
      </w:pPr>
    </w:p>
    <w:p>
      <w:pPr>
        <w:ind w:left="10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 of the financial statements and certain note disclosures under U.S. GAAP differ from those under Irish GAAP.</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Forward - looking statements</w:t>
      </w:r>
    </w:p>
    <w:p>
      <w:pPr>
        <w:spacing w:after="0" w:line="206" w:lineRule="exact"/>
        <w:rPr>
          <w:rFonts w:ascii="Courier New" w:cs="Courier New" w:eastAsia="Courier New" w:hAnsi="Courier New"/>
          <w:sz w:val="18"/>
          <w:szCs w:val="18"/>
          <w:color w:val="auto"/>
        </w:rPr>
      </w:pPr>
    </w:p>
    <w:p>
      <w:pPr>
        <w:jc w:val="both"/>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statement made in these financial statements with information that is not historical, these statements are necessarily forward - looking. As such, they are subject to the occurrence of many events outside of Vedia's control and are subject to various risk factors that would cause our results to differ materially from those expressed in any forward - looking statement.</w:t>
      </w: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6" w:lineRule="auto"/>
        <w:rPr>
          <w:sz w:val="20"/>
          <w:szCs w:val="20"/>
          <w:color w:val="auto"/>
        </w:rPr>
      </w:pPr>
      <w:r>
        <w:rPr>
          <w:rFonts w:ascii="Courier New" w:cs="Courier New" w:eastAsia="Courier New" w:hAnsi="Courier New"/>
          <w:sz w:val="18"/>
          <w:szCs w:val="18"/>
          <w:color w:val="auto"/>
        </w:rPr>
        <w:t>The following is a summary of the material adjustments to loss and shareholders' equity which would be required had the financial statements being prepared in accordance with U.S. GAAP.</w:t>
      </w:r>
    </w:p>
    <w:p>
      <w:pPr>
        <w:spacing w:after="0" w:line="203"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Effect on loss for the financial year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 months ended</w:t>
      </w:r>
    </w:p>
    <w:p>
      <w:pPr>
        <w:jc w:val="right"/>
        <w:ind w:right="1779"/>
        <w:spacing w:after="0" w:line="238" w:lineRule="auto"/>
        <w:rPr>
          <w:sz w:val="20"/>
          <w:szCs w:val="20"/>
          <w:color w:val="auto"/>
        </w:rPr>
      </w:pPr>
      <w:r>
        <w:rPr>
          <w:rFonts w:ascii="Courier New" w:cs="Courier New" w:eastAsia="Courier New" w:hAnsi="Courier New"/>
          <w:sz w:val="18"/>
          <w:szCs w:val="18"/>
          <w:color w:val="auto"/>
        </w:rPr>
        <w:t>31 December1998</w:t>
      </w:r>
    </w:p>
    <w:p>
      <w:pPr>
        <w:jc w:val="right"/>
        <w:ind w:right="1779"/>
        <w:spacing w:after="0"/>
        <w:rPr>
          <w:sz w:val="20"/>
          <w:szCs w:val="20"/>
          <w:color w:val="auto"/>
        </w:rPr>
      </w:pPr>
      <w:r>
        <w:rPr>
          <w:rFonts w:ascii="Courier New" w:cs="Courier New" w:eastAsia="Courier New" w:hAnsi="Courier New"/>
          <w:sz w:val="18"/>
          <w:szCs w:val="18"/>
          <w:color w:val="auto"/>
        </w:rPr>
        <w:t>US$</w:t>
      </w:r>
    </w:p>
    <w:p>
      <w:pPr>
        <w:sectPr>
          <w:pgSz w:w="11900" w:h="16838" w:orient="portrait"/>
          <w:cols w:equalWidth="0" w:num="1">
            <w:col w:w="10219"/>
          </w:cols>
          <w:pgMar w:left="240" w:top="920" w:right="1440" w:bottom="1440" w:gutter="0" w:footer="0" w:header="0"/>
        </w:sect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Loss for the financial year under Irish GAAP</w:t>
      </w: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Net loss as stated under U.S. GAAP</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1,613,938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1,613,938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760" w:space="720"/>
            <w:col w:w="2739"/>
          </w:cols>
          <w:pgMar w:left="240" w:top="920" w:right="1440" w:bottom="1440" w:gutter="0" w:footer="0" w:header="0"/>
          <w:type w:val="continuous"/>
        </w:sectPr>
      </w:pPr>
    </w:p>
    <w:p>
      <w:pPr>
        <w:spacing w:after="0" w:line="22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Effect on shareholders equity</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31 December</w:t>
      </w:r>
    </w:p>
    <w:p>
      <w:pPr>
        <w:jc w:val="right"/>
        <w:ind w:right="1779"/>
        <w:spacing w:after="0" w:line="238" w:lineRule="auto"/>
        <w:rPr>
          <w:sz w:val="20"/>
          <w:szCs w:val="20"/>
          <w:color w:val="auto"/>
        </w:rPr>
      </w:pPr>
      <w:r>
        <w:rPr>
          <w:rFonts w:ascii="Courier New" w:cs="Courier New" w:eastAsia="Courier New" w:hAnsi="Courier New"/>
          <w:sz w:val="18"/>
          <w:szCs w:val="18"/>
          <w:color w:val="auto"/>
        </w:rPr>
        <w:t>1998</w:t>
      </w:r>
    </w:p>
    <w:p>
      <w:pPr>
        <w:jc w:val="right"/>
        <w:ind w:right="1779"/>
        <w:spacing w:after="0"/>
        <w:rPr>
          <w:sz w:val="20"/>
          <w:szCs w:val="20"/>
          <w:color w:val="auto"/>
        </w:rPr>
      </w:pPr>
      <w:r>
        <w:rPr>
          <w:rFonts w:ascii="Courier New" w:cs="Courier New" w:eastAsia="Courier New" w:hAnsi="Courier New"/>
          <w:sz w:val="18"/>
          <w:szCs w:val="18"/>
          <w:color w:val="auto"/>
        </w:rPr>
        <w:t>US$</w:t>
      </w:r>
    </w:p>
    <w:p>
      <w:pPr>
        <w:sectPr>
          <w:pgSz w:w="11900" w:h="16838" w:orient="portrait"/>
          <w:cols w:equalWidth="0" w:num="1">
            <w:col w:w="10219"/>
          </w:cols>
          <w:pgMar w:left="240" w:top="920" w:right="1440" w:bottom="1440" w:gutter="0" w:footer="0" w:header="0"/>
          <w:type w:val="continuous"/>
        </w:sect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Shareholders' equity as stated under Irish GAAP</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1,128,831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760" w:space="720"/>
            <w:col w:w="2739"/>
          </w:cols>
          <w:pgMar w:left="240" w:top="920" w:right="1440" w:bottom="1440" w:gutter="0" w:footer="0" w:header="0"/>
          <w:type w:val="continuous"/>
        </w:sectPr>
      </w:pPr>
    </w:p>
    <w:p>
      <w:pPr>
        <w:spacing w:after="0" w:line="24" w:lineRule="exact"/>
        <w:rPr>
          <w:sz w:val="20"/>
          <w:szCs w:val="20"/>
          <w:color w:val="auto"/>
        </w:rPr>
      </w:pPr>
    </w:p>
    <w:p>
      <w:pPr>
        <w:jc w:val="center"/>
        <w:ind w:left="840"/>
        <w:spacing w:after="0"/>
        <w:rPr>
          <w:sz w:val="20"/>
          <w:szCs w:val="20"/>
          <w:color w:val="auto"/>
        </w:rPr>
      </w:pPr>
      <w:r>
        <w:rPr>
          <w:rFonts w:ascii="Courier New" w:cs="Courier New" w:eastAsia="Courier New" w:hAnsi="Courier New"/>
          <w:sz w:val="16"/>
          <w:szCs w:val="16"/>
          <w:color w:val="auto"/>
        </w:rPr>
        <w:t>Shareholders' equity as stated under U.S. GAAP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1,128,831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760" w:space="720"/>
            <w:col w:w="2739"/>
          </w:cols>
          <w:pgMar w:left="240" w:top="9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920"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statement</w:t>
      </w:r>
    </w:p>
    <w:p>
      <w:pPr>
        <w:spacing w:after="0" w:line="238" w:lineRule="auto"/>
        <w:rPr>
          <w:sz w:val="20"/>
          <w:szCs w:val="20"/>
          <w:color w:val="auto"/>
        </w:rPr>
      </w:pPr>
      <w:r>
        <w:rPr>
          <w:rFonts w:ascii="Courier New" w:cs="Courier New" w:eastAsia="Courier New" w:hAnsi="Courier New"/>
          <w:sz w:val="18"/>
          <w:szCs w:val="18"/>
          <w:color w:val="auto"/>
        </w:rPr>
        <w:t>for the period ended 31 December 1998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32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Period ended</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Turnover</w:t>
            </w:r>
          </w:p>
        </w:tc>
        <w:tc>
          <w:tcPr>
            <w:tcW w:w="32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2,843,386</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Cost of sales (Appendix 1)</w:t>
            </w:r>
          </w:p>
        </w:tc>
        <w:tc>
          <w:tcPr>
            <w:tcW w:w="3280" w:type="dxa"/>
            <w:vAlign w:val="bottom"/>
          </w:tcPr>
          <w:p>
            <w:pPr>
              <w:jc w:val="right"/>
              <w:spacing w:after="0"/>
              <w:rPr>
                <w:sz w:val="20"/>
                <w:szCs w:val="20"/>
                <w:color w:val="auto"/>
              </w:rPr>
            </w:pPr>
            <w:r>
              <w:rPr>
                <w:rFonts w:ascii="Courier New" w:cs="Courier New" w:eastAsia="Courier New" w:hAnsi="Courier New"/>
                <w:sz w:val="18"/>
                <w:szCs w:val="18"/>
                <w:color w:val="auto"/>
              </w:rPr>
              <w:t>(1,823,505)</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32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1,019,881</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Operating expenses (Appendix 2)</w:t>
            </w:r>
          </w:p>
        </w:tc>
        <w:tc>
          <w:tcPr>
            <w:tcW w:w="3280" w:type="dxa"/>
            <w:vAlign w:val="bottom"/>
          </w:tcPr>
          <w:p>
            <w:pPr>
              <w:jc w:val="right"/>
              <w:spacing w:after="0"/>
              <w:rPr>
                <w:sz w:val="20"/>
                <w:szCs w:val="20"/>
                <w:color w:val="auto"/>
              </w:rPr>
            </w:pPr>
            <w:r>
              <w:rPr>
                <w:rFonts w:ascii="Courier New" w:cs="Courier New" w:eastAsia="Courier New" w:hAnsi="Courier New"/>
                <w:sz w:val="18"/>
                <w:szCs w:val="18"/>
                <w:color w:val="auto"/>
              </w:rPr>
              <w:t>(2,634,970)</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60" w:type="dxa"/>
            <w:vAlign w:val="bottom"/>
          </w:tcPr>
          <w:p>
            <w:pPr>
              <w:spacing w:after="0"/>
              <w:rPr>
                <w:sz w:val="20"/>
                <w:szCs w:val="20"/>
                <w:color w:val="auto"/>
              </w:rPr>
            </w:pPr>
            <w:r>
              <w:rPr>
                <w:rFonts w:ascii="Courier New" w:cs="Courier New" w:eastAsia="Courier New" w:hAnsi="Courier New"/>
                <w:sz w:val="18"/>
                <w:szCs w:val="18"/>
                <w:color w:val="auto"/>
              </w:rPr>
              <w:t>Operating loss</w:t>
            </w:r>
          </w:p>
        </w:tc>
        <w:tc>
          <w:tcPr>
            <w:tcW w:w="3280" w:type="dxa"/>
            <w:vAlign w:val="bottom"/>
          </w:tcPr>
          <w:p>
            <w:pPr>
              <w:jc w:val="right"/>
              <w:spacing w:after="0"/>
              <w:rPr>
                <w:sz w:val="20"/>
                <w:szCs w:val="20"/>
                <w:color w:val="auto"/>
              </w:rPr>
            </w:pPr>
            <w:r>
              <w:rPr>
                <w:rFonts w:ascii="Courier New" w:cs="Courier New" w:eastAsia="Courier New" w:hAnsi="Courier New"/>
                <w:sz w:val="18"/>
                <w:szCs w:val="18"/>
                <w:color w:val="auto"/>
              </w:rPr>
              <w:t>(1,615,089)</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F-39</w:t>
      </w:r>
    </w:p>
    <w:p>
      <w:pPr>
        <w:sectPr>
          <w:pgSz w:w="11900" w:h="16838" w:orient="portrait"/>
          <w:cols w:equalWidth="0" w:num="1">
            <w:col w:w="10219"/>
          </w:cols>
          <w:pgMar w:left="240" w:top="920"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Appendix 1:</w:t>
      </w:r>
      <w:r>
        <w:rPr>
          <w:sz w:val="20"/>
          <w:szCs w:val="20"/>
          <w:color w:val="auto"/>
        </w:rPr>
        <w:tab/>
      </w:r>
      <w:r>
        <w:rPr>
          <w:rFonts w:ascii="Courier New" w:cs="Courier New" w:eastAsia="Courier New" w:hAnsi="Courier New"/>
          <w:sz w:val="16"/>
          <w:szCs w:val="16"/>
          <w:color w:val="auto"/>
        </w:rPr>
        <w:t>Cost of sales</w:t>
      </w:r>
    </w:p>
    <w:p>
      <w:pPr>
        <w:spacing w:after="0" w:line="238" w:lineRule="auto"/>
        <w:rPr>
          <w:sz w:val="20"/>
          <w:szCs w:val="20"/>
          <w:color w:val="auto"/>
        </w:rPr>
      </w:pPr>
      <w:r>
        <w:rPr>
          <w:rFonts w:ascii="Courier New" w:cs="Courier New" w:eastAsia="Courier New" w:hAnsi="Courier New"/>
          <w:sz w:val="18"/>
          <w:szCs w:val="18"/>
          <w:color w:val="auto"/>
        </w:rPr>
        <w:t>for the period ended 31 December 1998</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Period ended</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 costs</w:t>
            </w:r>
          </w:p>
        </w:tc>
        <w:tc>
          <w:tcPr>
            <w:tcW w:w="3320" w:type="dxa"/>
            <w:vAlign w:val="bottom"/>
          </w:tcPr>
          <w:p>
            <w:pPr>
              <w:spacing w:after="0"/>
              <w:rPr>
                <w:sz w:val="24"/>
                <w:szCs w:val="24"/>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Opening stock</w:t>
            </w: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271,716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 purchases</w:t>
            </w: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1,422,290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Closing stock</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(85,611)</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Raw materials consumed</w:t>
            </w: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1,608,395</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Manufacturing overheads</w:t>
            </w:r>
          </w:p>
        </w:tc>
        <w:tc>
          <w:tcPr>
            <w:tcW w:w="3320" w:type="dxa"/>
            <w:vAlign w:val="bottom"/>
          </w:tcPr>
          <w:p>
            <w:pPr>
              <w:spacing w:after="0"/>
              <w:rPr>
                <w:sz w:val="24"/>
                <w:szCs w:val="24"/>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 labour</w:t>
            </w: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124,139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Freight</w:t>
            </w: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54,577</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overheads</w:t>
            </w: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9,469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Subcontractors</w:t>
            </w: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26,925</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4"/>
                <w:szCs w:val="24"/>
                <w:color w:val="auto"/>
              </w:rPr>
            </w:pP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215,110</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1,823,505</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20" w:type="dxa"/>
            <w:vAlign w:val="bottom"/>
          </w:tcPr>
          <w:p>
            <w:pPr>
              <w:spacing w:after="0"/>
              <w:rPr>
                <w:sz w:val="24"/>
                <w:szCs w:val="24"/>
                <w:color w:val="auto"/>
              </w:rPr>
            </w:pPr>
          </w:p>
        </w:tc>
        <w:tc>
          <w:tcPr>
            <w:tcW w:w="332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F-40</w:t>
            </w:r>
          </w:p>
        </w:tc>
      </w:tr>
    </w:tbl>
    <w:p>
      <w:pPr>
        <w:sectPr>
          <w:pgSz w:w="11900" w:h="16838" w:orient="portrait"/>
          <w:cols w:equalWidth="0" w:num="1">
            <w:col w:w="10219"/>
          </w:cols>
          <w:pgMar w:left="240" w:top="1122"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20"/>
                <w:szCs w:val="20"/>
                <w:color w:val="auto"/>
              </w:rPr>
            </w:pPr>
            <w:r>
              <w:rPr>
                <w:rFonts w:ascii="Courier New" w:cs="Courier New" w:eastAsia="Courier New" w:hAnsi="Courier New"/>
                <w:sz w:val="18"/>
                <w:szCs w:val="18"/>
                <w:color w:val="auto"/>
              </w:rPr>
              <w:t>Vedia Technology Limited</w:t>
            </w: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(formerly known as Ligurian Limited)</w:t>
            </w: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Appendix 2: Operating expenses</w:t>
            </w: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period ended 31 December 1998</w:t>
            </w:r>
          </w:p>
        </w:tc>
        <w:tc>
          <w:tcPr>
            <w:tcW w:w="1580" w:type="dxa"/>
            <w:vAlign w:val="bottom"/>
          </w:tcPr>
          <w:p>
            <w:pPr>
              <w:spacing w:after="0"/>
              <w:rPr>
                <w:sz w:val="17"/>
                <w:szCs w:val="17"/>
                <w:color w:val="auto"/>
              </w:rPr>
            </w:pP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Administration expenses</w:t>
            </w: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salaries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538,891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24,402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Contractors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79,380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and advertising</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108,336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Light, heat and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 and subsistence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175,610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 stock materials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Rent and rates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80,679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and telex</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43,739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Computer costs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14,922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Subscriptions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1,474</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Postage and stationery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6,672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Professional fees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9,004</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expenses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Bad debts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65,531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loss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35,041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Cleaning</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charges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3,595</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overheads allocated to finance and planning</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35,643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write off</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1,419,338</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Research and development expenses</w:t>
            </w:r>
          </w:p>
        </w:tc>
        <w:tc>
          <w:tcPr>
            <w:tcW w:w="158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salaries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902,465</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47,910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 stock materials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95,149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Computer costs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72,597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 research</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13,942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costs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13,780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research and development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64,060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5,729</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1,215,632</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2,634,970</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00" w:type="dxa"/>
            <w:vAlign w:val="bottom"/>
          </w:tcPr>
          <w:p>
            <w:pPr>
              <w:ind w:left="4020"/>
              <w:spacing w:after="0"/>
              <w:rPr>
                <w:sz w:val="20"/>
                <w:szCs w:val="20"/>
                <w:color w:val="auto"/>
              </w:rPr>
            </w:pPr>
            <w:r>
              <w:rPr>
                <w:rFonts w:ascii="Courier New" w:cs="Courier New" w:eastAsia="Courier New" w:hAnsi="Courier New"/>
                <w:sz w:val="18"/>
                <w:szCs w:val="18"/>
                <w:color w:val="auto"/>
              </w:rPr>
              <w:t>F-41</w:t>
            </w:r>
          </w:p>
        </w:tc>
        <w:tc>
          <w:tcPr>
            <w:tcW w:w="15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46" w:name="page47"/>
    <w:bookmarkEnd w:id="46"/>
    <w:p>
      <w:pPr>
        <w:ind w:right="3999"/>
        <w:spacing w:after="0" w:line="235" w:lineRule="auto"/>
        <w:rPr>
          <w:sz w:val="20"/>
          <w:szCs w:val="20"/>
          <w:color w:val="auto"/>
        </w:rPr>
      </w:pPr>
      <w:r>
        <w:rPr>
          <w:rFonts w:ascii="Courier New" w:cs="Courier New" w:eastAsia="Courier New" w:hAnsi="Courier New"/>
          <w:sz w:val="18"/>
          <w:szCs w:val="18"/>
          <w:color w:val="auto"/>
        </w:rPr>
        <w:t>Auditors' report to the members of Vedia Technology Limited (formerly known as Ligurian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audited the financial statements on pages 7 to 20.</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Respective responsibilities of directors and auditors in relation to the financial statements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described on page 4 the company's directors are responsible for the preparation of financial statements. It is our responsibility to form an independent opinion, based on our audit, on those statements and to report our opinion to you.</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opinion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issued by the Auditing Practices Board. An audit includes examination, on a test basis, of evidence relevant to the amounts and disclosures in the financial statements. It also includes an assessment of the significant estimates and judgements made by the directors in the preparation of the financial statements, and of whether the accounting policies are appropriate to the company's circumstances, consistently applied and adequately disclosed.</w:t>
      </w:r>
    </w:p>
    <w:p>
      <w:pPr>
        <w:spacing w:after="0" w:line="21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We planned and performed our audit so as to obtain all the information and explanations which we considered necessary in order to provide us with sufficient evidence to give reasonable assurance that the financial statements are free from material misstatement, whether caused by fraud or other irregularity or error. In forming our opinion we also evaluated the overall adequacy of the presentation of information in the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Going concern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forming our opinion, we have considered the adequacy of the disclosures made in note 1 to the financial statements concerning continued financial support. In view of the significance of the reliance on support from the directors and shareholders, we consider that it should be drawn to your attention. Our opinion is not qualified in this respect.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our opinion, the financial statements give a true and fair view of the state of the company's affairs at 31 December 1998 and of its loss for the period then ended and have been properly prepared in accordance with the Companies Acts, 1963 to 1990 and all Regulations to be construed as one with those Acts.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We have</w:t>
            </w:r>
          </w:p>
        </w:tc>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w w:val="97"/>
              </w:rPr>
              <w:t>obtained all the information and explanations we considered necessary</w:t>
            </w:r>
          </w:p>
        </w:tc>
        <w:tc>
          <w:tcPr>
            <w:tcW w:w="26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w:t>
            </w:r>
          </w:p>
        </w:tc>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purposes of our audit. In our opinion, proper books of</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account have been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kept by</w:t>
            </w:r>
          </w:p>
        </w:tc>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company. The financial statements are in agreement</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the books</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account.</w:t>
            </w:r>
          </w:p>
        </w:tc>
        <w:tc>
          <w:tcPr>
            <w:tcW w:w="5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6600" w:type="dxa"/>
            <w:vAlign w:val="bottom"/>
            <w:gridSpan w:val="2"/>
          </w:tcPr>
          <w:p>
            <w:pPr>
              <w:spacing w:after="0"/>
              <w:rPr>
                <w:sz w:val="20"/>
                <w:szCs w:val="20"/>
                <w:color w:val="auto"/>
              </w:rPr>
            </w:pPr>
            <w:r>
              <w:rPr>
                <w:rFonts w:ascii="Courier New" w:cs="Courier New" w:eastAsia="Courier New" w:hAnsi="Courier New"/>
                <w:sz w:val="18"/>
                <w:szCs w:val="18"/>
                <w:color w:val="auto"/>
                <w:w w:val="98"/>
              </w:rPr>
              <w:t>In our opinion, the information given in the directors' report</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on pages 2 and</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3</w:t>
            </w:r>
          </w:p>
        </w:tc>
      </w:tr>
      <w:tr>
        <w:trPr>
          <w:trHeight w:val="203"/>
        </w:trPr>
        <w:tc>
          <w:tcPr>
            <w:tcW w:w="6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 consistent with the financial statements.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F-42</w:t>
      </w:r>
    </w:p>
    <w:p>
      <w:pPr>
        <w:sectPr>
          <w:pgSz w:w="11900" w:h="16838" w:orient="portrait"/>
          <w:cols w:equalWidth="0" w:num="1">
            <w:col w:w="10219"/>
          </w:cols>
          <w:pgMar w:left="240" w:top="925" w:right="1440" w:bottom="1440" w:gutter="0" w:footer="0" w:header="0"/>
        </w:sectPr>
      </w:pPr>
    </w:p>
    <w:bookmarkStart w:id="47" w:name="page48"/>
    <w:bookmarkEnd w:id="47"/>
    <w:p>
      <w:pPr>
        <w:ind w:right="3999"/>
        <w:spacing w:after="0" w:line="235" w:lineRule="auto"/>
        <w:rPr>
          <w:sz w:val="20"/>
          <w:szCs w:val="20"/>
          <w:color w:val="auto"/>
        </w:rPr>
      </w:pPr>
      <w:r>
        <w:rPr>
          <w:rFonts w:ascii="Courier New" w:cs="Courier New" w:eastAsia="Courier New" w:hAnsi="Courier New"/>
          <w:sz w:val="18"/>
          <w:szCs w:val="18"/>
          <w:color w:val="auto"/>
        </w:rPr>
        <w:t>Auditors' report to the members of Vedia Technology Limited (formerly known as Ligurian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net assets of the company, as stated in the balance sheet on page 10, are more than half of the amount of its called up share capital and, in our opinion, on that basis there did not exist at 31 December 1998 a financial situation which, under Section 40(1) of the Companies (Amendment) Act 1983, would require the convening of an extraordinary general meeting of the company.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Chartered Accountants</w:t>
      </w:r>
    </w:p>
    <w:p>
      <w:pPr>
        <w:spacing w:after="0" w:line="238" w:lineRule="auto"/>
        <w:rPr>
          <w:sz w:val="20"/>
          <w:szCs w:val="20"/>
          <w:color w:val="auto"/>
        </w:rPr>
      </w:pPr>
      <w:r>
        <w:rPr>
          <w:rFonts w:ascii="Courier New" w:cs="Courier New" w:eastAsia="Courier New" w:hAnsi="Courier New"/>
          <w:sz w:val="18"/>
          <w:szCs w:val="18"/>
          <w:color w:val="auto"/>
        </w:rPr>
        <w:t>Registered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10219"/>
          </w:cols>
          <w:pgMar w:left="240" w:top="925"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following accounting policies have been applied consistently in dealing with items which are considered material in relation to the company's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preparation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financial statements are presented in United States dollars (US$) and prepared in accordance with generally accepted accounting principles under the historical cost convention and comply with financial reporting standards of the Accounting Standards Board, as promulgated by the Institute of Chartered Accountants in Ireland.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Turnover</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Turnover represents the invoiced value of goods and services exclusive of Value Added Tax.</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and depreciation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Tangible fixed assets are stated at cost less accumulated depreciation. The charge for depreciation is calculated to write down the cost of tangible fixed assets over their expected useful lives on a straight-line basis at the following annual rates:</w:t>
      </w:r>
    </w:p>
    <w:p>
      <w:pPr>
        <w:spacing w:after="0" w:line="200" w:lineRule="exact"/>
        <w:rPr>
          <w:sz w:val="20"/>
          <w:szCs w:val="20"/>
          <w:color w:val="auto"/>
        </w:rPr>
      </w:pP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Plant and machinery</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33 1/3%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Stocks are valued at the lower of cost and net realisable value on an actual cost basis.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tax is provided on profits should they arise.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Transactions arising in foreign currencies are recorded at the monthly average exchange rates. Monetary items denominated in foreign currencies are translated at the balance sheet rate and the exchange differences are dealt with in the profit and loss account.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F-44</w:t>
      </w:r>
    </w:p>
    <w:p>
      <w:pPr>
        <w:sectPr>
          <w:pgSz w:w="11900" w:h="16838" w:orient="portrait"/>
          <w:cols w:equalWidth="0" w:num="1">
            <w:col w:w="10219"/>
          </w:cols>
          <w:pgMar w:left="240" w:top="919"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Leased assets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Tangible fixed assets acquired under finance leases are included in the balance sheet at their equivalent capital value and depreciated over the shorter of the lease term and their useful lives. The corresponding liabilities are recorded as a creditor and the interest element of the finance lease rentals is charged to the profit and loss account on an annuity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Expenditure on research and development of new products is written off fully in the period in which it is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 fixed assets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Intangible fixed assets relates to software licences and are being written off to the profit and loss account over three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Purchased goodwill arising on the acquisition of Mentec Picturecom is capitalised in the balance sheet and amortised over the estimated economic life of 10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F-45</w:t>
      </w:r>
    </w:p>
    <w:p>
      <w:pPr>
        <w:sectPr>
          <w:pgSz w:w="11900" w:h="16838" w:orient="portrait"/>
          <w:cols w:equalWidth="0" w:num="1">
            <w:col w:w="10219"/>
          </w:cols>
          <w:pgMar w:left="240" w:top="919"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Profit and loss account</w:t>
            </w: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period ended 31 December 1998</w:t>
            </w: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Notes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1360" w:type="dxa"/>
            <w:vAlign w:val="bottom"/>
          </w:tcPr>
          <w:p>
            <w:pPr>
              <w:spacing w:after="0"/>
              <w:rPr>
                <w:sz w:val="24"/>
                <w:szCs w:val="24"/>
                <w:color w:val="auto"/>
              </w:rPr>
            </w:pP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2,843,386</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(1,823,505)</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Gross profit - continuing operations</w:t>
            </w:r>
          </w:p>
        </w:tc>
        <w:tc>
          <w:tcPr>
            <w:tcW w:w="1360" w:type="dxa"/>
            <w:vAlign w:val="bottom"/>
          </w:tcPr>
          <w:p>
            <w:pPr>
              <w:spacing w:after="0"/>
              <w:rPr>
                <w:sz w:val="24"/>
                <w:szCs w:val="24"/>
                <w:color w:val="auto"/>
              </w:rPr>
            </w:pP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1,019,881</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(2,634,970)</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loss - continuing operations</w:t>
            </w:r>
          </w:p>
        </w:tc>
        <w:tc>
          <w:tcPr>
            <w:tcW w:w="1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(1,615,089)</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Interest receivable and similar income</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7,234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(6,083)</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 taxation</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(1,613,938)</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Tax on loss on ordinary activities</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Loss for the financial year</w:t>
            </w:r>
          </w:p>
        </w:tc>
        <w:tc>
          <w:tcPr>
            <w:tcW w:w="1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(1,613,938)</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 at beginning of year</w:t>
            </w: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Profit and loss account at end of year</w:t>
            </w:r>
          </w:p>
        </w:tc>
        <w:tc>
          <w:tcPr>
            <w:tcW w:w="13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(1,613,938)</w:t>
            </w:r>
          </w:p>
        </w:tc>
      </w:tr>
      <w:tr>
        <w:trPr>
          <w:trHeight w:val="203"/>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had no recognised gains or losses in the financial period other than those dealt with in the profit and loss account.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F-46</w:t>
      </w:r>
    </w:p>
    <w:p>
      <w:pPr>
        <w:sectPr>
          <w:pgSz w:w="11900" w:h="16838" w:orient="portrait"/>
          <w:cols w:equalWidth="0" w:num="1">
            <w:col w:w="10219"/>
          </w:cols>
          <w:pgMar w:left="240" w:top="920"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w:t>
      </w:r>
    </w:p>
    <w:p>
      <w:pPr>
        <w:spacing w:after="0" w:line="238" w:lineRule="auto"/>
        <w:rPr>
          <w:sz w:val="20"/>
          <w:szCs w:val="20"/>
          <w:color w:val="auto"/>
        </w:rPr>
      </w:pPr>
      <w:r>
        <w:rPr>
          <w:rFonts w:ascii="Courier New" w:cs="Courier New" w:eastAsia="Courier New" w:hAnsi="Courier New"/>
          <w:sz w:val="18"/>
          <w:szCs w:val="18"/>
          <w:color w:val="auto"/>
        </w:rPr>
        <w:t>at 31 December 1998</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1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Note</w:t>
            </w:r>
          </w:p>
        </w:tc>
        <w:tc>
          <w:tcPr>
            <w:tcW w:w="1900" w:type="dxa"/>
            <w:vAlign w:val="bottom"/>
          </w:tcPr>
          <w:p>
            <w:pPr>
              <w:spacing w:after="0"/>
              <w:rPr>
                <w:sz w:val="17"/>
                <w:szCs w:val="17"/>
                <w:color w:val="auto"/>
              </w:rPr>
            </w:pP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1998</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301,538</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30,930</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purchased goodwill</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1,350,000</w:t>
            </w:r>
          </w:p>
        </w:tc>
        <w:tc>
          <w:tcPr>
            <w:tcW w:w="12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1,682,468</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85,611</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537,756</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268,787</w:t>
            </w:r>
          </w:p>
        </w:tc>
        <w:tc>
          <w:tcPr>
            <w:tcW w:w="1260" w:type="dxa"/>
            <w:vAlign w:val="bottom"/>
          </w:tcPr>
          <w:p>
            <w:pPr>
              <w:spacing w:after="0"/>
              <w:rPr>
                <w:sz w:val="17"/>
                <w:szCs w:val="17"/>
                <w:color w:val="auto"/>
              </w:rPr>
            </w:pPr>
          </w:p>
        </w:tc>
      </w:tr>
      <w:tr>
        <w:trPr>
          <w:trHeight w:val="405"/>
        </w:trPr>
        <w:tc>
          <w:tcPr>
            <w:tcW w:w="5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892,154</w:t>
            </w:r>
          </w:p>
        </w:tc>
        <w:tc>
          <w:tcPr>
            <w:tcW w:w="12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(643,885)</w:t>
            </w:r>
          </w:p>
        </w:tc>
        <w:tc>
          <w:tcPr>
            <w:tcW w:w="12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current assets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248,269</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1,930,737</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 after one year</w:t>
            </w:r>
          </w:p>
        </w:tc>
        <w:tc>
          <w:tcPr>
            <w:tcW w:w="1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w:t>
            </w: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(801,906)</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1,128,831</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1,416,000</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1,326,769</w:t>
            </w:r>
          </w:p>
        </w:tc>
        <w:tc>
          <w:tcPr>
            <w:tcW w:w="126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16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(1,613,938)</w:t>
            </w:r>
          </w:p>
        </w:tc>
        <w:tc>
          <w:tcPr>
            <w:tcW w:w="12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1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w:t>
            </w:r>
          </w:p>
        </w:tc>
        <w:tc>
          <w:tcPr>
            <w:tcW w:w="19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1,128,831</w:t>
            </w:r>
          </w:p>
        </w:tc>
      </w:tr>
      <w:tr>
        <w:trPr>
          <w:trHeight w:val="203"/>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behalf of the board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4660" w:space="720"/>
            <w:col w:w="4839"/>
          </w:cols>
          <w:pgMar w:left="240" w:top="717"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F-47</w:t>
      </w:r>
    </w:p>
    <w:p>
      <w:pPr>
        <w:sectPr>
          <w:pgSz w:w="11900" w:h="16838" w:orient="portrait"/>
          <w:cols w:equalWidth="0" w:num="1">
            <w:col w:w="10219"/>
          </w:cols>
          <w:pgMar w:left="240" w:top="717" w:right="1440" w:bottom="1440" w:gutter="0" w:footer="0" w:header="0"/>
          <w:type w:val="continuous"/>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forming part of the financial statements</w:t>
      </w:r>
    </w:p>
    <w:p>
      <w:pPr>
        <w:spacing w:after="0" w:line="202"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Support</w:t>
      </w:r>
    </w:p>
    <w:p>
      <w:pPr>
        <w:spacing w:after="0" w:line="206"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directors and shareholders have indicated that they are willing to provide financial support for the foreseeable future. The financial statements have, accordingly, been prepared on the going concern basis.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Operating expenses</w:t>
            </w:r>
          </w:p>
        </w:tc>
        <w:tc>
          <w:tcPr>
            <w:tcW w:w="248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 1998</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Selling, general and administration expenses</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1,419,338</w:t>
            </w:r>
          </w:p>
        </w:tc>
      </w:tr>
      <w:tr>
        <w:trPr>
          <w:trHeight w:val="203"/>
        </w:trPr>
        <w:tc>
          <w:tcPr>
            <w:tcW w:w="320" w:type="dxa"/>
            <w:vAlign w:val="bottom"/>
          </w:tcPr>
          <w:p>
            <w:pPr>
              <w:spacing w:after="0"/>
              <w:rPr>
                <w:sz w:val="17"/>
                <w:szCs w:val="17"/>
                <w:color w:val="auto"/>
              </w:rPr>
            </w:pPr>
          </w:p>
        </w:tc>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1,215,632</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2,634,970</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Interest receivable and similar income</w:t>
            </w:r>
          </w:p>
        </w:tc>
        <w:tc>
          <w:tcPr>
            <w:tcW w:w="248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 1998</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Deposit interest received</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7,234</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4</w:t>
            </w: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Interest payable</w:t>
            </w:r>
          </w:p>
        </w:tc>
        <w:tc>
          <w:tcPr>
            <w:tcW w:w="248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 1998</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320" w:type="dxa"/>
            <w:vAlign w:val="bottom"/>
          </w:tcPr>
          <w:p>
            <w:pPr>
              <w:spacing w:after="0"/>
              <w:rPr>
                <w:sz w:val="24"/>
                <w:szCs w:val="24"/>
                <w:color w:val="auto"/>
              </w:rPr>
            </w:pPr>
          </w:p>
        </w:tc>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Bank interest</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4,236</w:t>
            </w:r>
          </w:p>
        </w:tc>
      </w:tr>
      <w:tr>
        <w:trPr>
          <w:trHeight w:val="203"/>
        </w:trPr>
        <w:tc>
          <w:tcPr>
            <w:tcW w:w="320" w:type="dxa"/>
            <w:vAlign w:val="bottom"/>
          </w:tcPr>
          <w:p>
            <w:pPr>
              <w:spacing w:after="0"/>
              <w:rPr>
                <w:sz w:val="17"/>
                <w:szCs w:val="17"/>
                <w:color w:val="auto"/>
              </w:rPr>
            </w:pPr>
          </w:p>
        </w:tc>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lease interest payable</w:t>
            </w:r>
          </w:p>
        </w:tc>
        <w:tc>
          <w:tcPr>
            <w:tcW w:w="248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respect of finance leases</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1,847</w:t>
            </w:r>
          </w:p>
        </w:tc>
      </w:tr>
      <w:tr>
        <w:trPr>
          <w:trHeight w:val="203"/>
        </w:trPr>
        <w:tc>
          <w:tcPr>
            <w:tcW w:w="3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6,083</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F-48</w:t>
      </w:r>
    </w:p>
    <w:p>
      <w:pPr>
        <w:sectPr>
          <w:pgSz w:w="11900" w:h="16838" w:orient="portrait"/>
          <w:cols w:equalWidth="0" w:num="1">
            <w:col w:w="10219"/>
          </w:cols>
          <w:pgMar w:left="240" w:top="920"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Statutory information</w:t>
            </w:r>
          </w:p>
        </w:tc>
        <w:tc>
          <w:tcPr>
            <w:tcW w:w="23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0" w:type="dxa"/>
            <w:vAlign w:val="bottom"/>
          </w:tcPr>
          <w:p>
            <w:pPr>
              <w:spacing w:after="0"/>
              <w:rPr>
                <w:sz w:val="24"/>
                <w:szCs w:val="24"/>
                <w:color w:val="auto"/>
              </w:rPr>
            </w:pPr>
          </w:p>
        </w:tc>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Depreciation and other amounts written off:</w:t>
            </w:r>
          </w:p>
        </w:tc>
        <w:tc>
          <w:tcPr>
            <w:tcW w:w="23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tangible fixed assets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54,230</w:t>
            </w:r>
          </w:p>
        </w:tc>
      </w:tr>
      <w:tr>
        <w:trPr>
          <w:trHeight w:val="203"/>
        </w:trPr>
        <w:tc>
          <w:tcPr>
            <w:tcW w:w="320" w:type="dxa"/>
            <w:vAlign w:val="bottom"/>
          </w:tcPr>
          <w:p>
            <w:pPr>
              <w:spacing w:after="0"/>
              <w:rPr>
                <w:sz w:val="17"/>
                <w:szCs w:val="17"/>
                <w:color w:val="auto"/>
              </w:rPr>
            </w:pPr>
          </w:p>
        </w:tc>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Leased tangible fixed assets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3,059</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Auditors' remuneration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12,500</w:t>
            </w:r>
          </w:p>
        </w:tc>
      </w:tr>
      <w:tr>
        <w:trPr>
          <w:trHeight w:val="203"/>
        </w:trPr>
        <w:tc>
          <w:tcPr>
            <w:tcW w:w="3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weekly number of employees, analysed by category, were as follows: 1998 Number</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Sales and administration</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74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26</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aggregate payroll costs of these employees were as follows: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Period ended</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Wages and salaries</w:t>
            </w: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1,402,306</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Social welfare costs</w:t>
            </w: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163,349</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cost</w:t>
            </w:r>
          </w:p>
        </w:tc>
        <w:tc>
          <w:tcPr>
            <w:tcW w:w="3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6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1,565,655</w:t>
            </w:r>
          </w:p>
        </w:tc>
      </w:tr>
      <w:tr>
        <w:trPr>
          <w:trHeight w:val="203"/>
        </w:trPr>
        <w:tc>
          <w:tcPr>
            <w:tcW w:w="4360" w:type="dxa"/>
            <w:vAlign w:val="bottom"/>
          </w:tcPr>
          <w:p>
            <w:pPr>
              <w:spacing w:after="0"/>
              <w:rPr>
                <w:sz w:val="17"/>
                <w:szCs w:val="17"/>
                <w:color w:val="auto"/>
              </w:rPr>
            </w:pP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F-49</w:t>
      </w:r>
    </w:p>
    <w:p>
      <w:pPr>
        <w:sectPr>
          <w:pgSz w:w="11900" w:h="16838" w:orient="portrait"/>
          <w:cols w:equalWidth="0" w:num="1">
            <w:col w:w="10219"/>
          </w:cols>
          <w:pgMar w:left="240" w:top="112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7</w:t>
            </w:r>
          </w:p>
        </w:tc>
        <w:tc>
          <w:tcPr>
            <w:tcW w:w="616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 and transactions</w:t>
            </w:r>
          </w:p>
        </w:tc>
        <w:tc>
          <w:tcPr>
            <w:tcW w:w="19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3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Directors remuneration</w:t>
            </w:r>
          </w:p>
        </w:tc>
        <w:tc>
          <w:tcPr>
            <w:tcW w:w="19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Fees</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26,665</w:t>
            </w:r>
          </w:p>
        </w:tc>
      </w:tr>
      <w:tr>
        <w:trPr>
          <w:trHeight w:val="203"/>
        </w:trPr>
        <w:tc>
          <w:tcPr>
            <w:tcW w:w="320" w:type="dxa"/>
            <w:vAlign w:val="bottom"/>
          </w:tcPr>
          <w:p>
            <w:pPr>
              <w:spacing w:after="0"/>
              <w:rPr>
                <w:sz w:val="17"/>
                <w:szCs w:val="17"/>
                <w:color w:val="auto"/>
              </w:rPr>
            </w:pPr>
          </w:p>
        </w:tc>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remuneration including pension contributions</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26,665</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Details of directors' interests in shares are provided in the directors'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on loss on ordinary activities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corporation tax was payable on the loss on ordinary activities for the period.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9</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Tangible fixed assets</w:t>
            </w: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Plant &amp;</w:t>
            </w:r>
          </w:p>
        </w:tc>
        <w:tc>
          <w:tcPr>
            <w:tcW w:w="1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Machinery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US$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w:t>
            </w: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Acquired from Mentec Limited</w:t>
            </w: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121,063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121,063</w:t>
            </w: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w:t>
            </w: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237,764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237,764</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1998</w:t>
            </w:r>
          </w:p>
        </w:tc>
        <w:tc>
          <w:tcPr>
            <w:tcW w:w="25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358,827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358,827</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Depreciation</w:t>
            </w: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Charge for year</w:t>
            </w: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57,289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57,289</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1998</w:t>
            </w:r>
          </w:p>
        </w:tc>
        <w:tc>
          <w:tcPr>
            <w:tcW w:w="25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57,289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57,289</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Net book value</w:t>
            </w: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31 December 1998</w:t>
            </w: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301,538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301,538</w:t>
            </w:r>
          </w:p>
        </w:tc>
      </w:tr>
      <w:tr>
        <w:trPr>
          <w:trHeight w:val="203"/>
        </w:trPr>
        <w:tc>
          <w:tcPr>
            <w:tcW w:w="3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F-50</w:t>
      </w:r>
    </w:p>
    <w:p>
      <w:pPr>
        <w:sectPr>
          <w:pgSz w:w="11900" w:h="16838" w:orient="portrait"/>
          <w:cols w:equalWidth="0" w:num="1">
            <w:col w:w="10219"/>
          </w:cols>
          <w:pgMar w:left="240" w:top="919"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w:t>
            </w: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Intangible fixed assets</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Licences</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Cost</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37,701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37,701</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At end of period</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37,701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37,701</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Amortisation in year</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6,771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6,771</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At end of period</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6,771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6,771</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1998</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30,930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30,930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11</w:t>
            </w: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Goodwill</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Purchased</w:t>
            </w: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goodwill</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26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period</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Acquisitions</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At end of period</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1,500,000</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1,500,000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period</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Acquisitions</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At end of period</w:t>
            </w:r>
          </w:p>
        </w:tc>
        <w:tc>
          <w:tcPr>
            <w:tcW w:w="2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150,000</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150,000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1998</w:t>
            </w: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1,350,000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1,350,000</w:t>
            </w:r>
          </w:p>
        </w:tc>
      </w:tr>
      <w:tr>
        <w:trPr>
          <w:trHeight w:val="203"/>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The goodwill relates to the acquisition of the Mentec Picturecom business on 6 March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F-51</w:t>
      </w:r>
    </w:p>
    <w:p>
      <w:pPr>
        <w:sectPr>
          <w:pgSz w:w="11900" w:h="16838" w:orient="portrait"/>
          <w:cols w:equalWidth="0" w:num="1">
            <w:col w:w="10219"/>
          </w:cols>
          <w:pgMar w:left="240" w:top="919"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rPr>
              <w:t>12   Stocks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Raw materials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63,057</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Finished goods</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22,554</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85,611</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0"/>
                <w:szCs w:val="20"/>
                <w:color w:val="auto"/>
              </w:rPr>
            </w:pPr>
            <w:r>
              <w:rPr>
                <w:rFonts w:ascii="Courier New" w:cs="Courier New" w:eastAsia="Courier New" w:hAnsi="Courier New"/>
                <w:sz w:val="18"/>
                <w:szCs w:val="18"/>
                <w:color w:val="auto"/>
              </w:rPr>
              <w:t>13   Debtors: amounts falling due within one year</w:t>
            </w:r>
          </w:p>
        </w:tc>
        <w:tc>
          <w:tcPr>
            <w:tcW w:w="1860" w:type="dxa"/>
            <w:vAlign w:val="bottom"/>
          </w:tcPr>
          <w:p>
            <w:pPr>
              <w:spacing w:after="0"/>
              <w:rPr>
                <w:sz w:val="24"/>
                <w:szCs w:val="24"/>
                <w:color w:val="auto"/>
              </w:rPr>
            </w:pP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Trade debtors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437,298</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Prepayments and accrued income</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37,301</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VAT repayable</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63,157</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537,756</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0"/>
                <w:szCs w:val="20"/>
                <w:color w:val="auto"/>
              </w:rPr>
            </w:pPr>
            <w:r>
              <w:rPr>
                <w:rFonts w:ascii="Courier New" w:cs="Courier New" w:eastAsia="Courier New" w:hAnsi="Courier New"/>
                <w:sz w:val="18"/>
                <w:szCs w:val="18"/>
                <w:color w:val="auto"/>
              </w:rPr>
              <w:t>14   Creditors: amounts falling due within one year</w:t>
            </w:r>
          </w:p>
        </w:tc>
        <w:tc>
          <w:tcPr>
            <w:tcW w:w="1860" w:type="dxa"/>
            <w:vAlign w:val="bottom"/>
          </w:tcPr>
          <w:p>
            <w:pPr>
              <w:spacing w:after="0"/>
              <w:rPr>
                <w:sz w:val="24"/>
                <w:szCs w:val="24"/>
                <w:color w:val="auto"/>
              </w:rPr>
            </w:pP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Trade creditors</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218,109</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Bank overdraft (note 16)</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13,789</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Loan (note 16)</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 (note 16)</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40,536</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Accruals and deferred income</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305,642</w:t>
            </w:r>
          </w:p>
        </w:tc>
      </w:tr>
      <w:tr>
        <w:trPr>
          <w:trHeight w:val="203"/>
        </w:trPr>
        <w:tc>
          <w:tcPr>
            <w:tcW w:w="6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PAYE/PRSI</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40,809</w:t>
            </w:r>
          </w:p>
        </w:tc>
      </w:tr>
      <w:tr>
        <w:trPr>
          <w:trHeight w:val="203"/>
        </w:trPr>
        <w:tc>
          <w:tcPr>
            <w:tcW w:w="64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643,885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F-52</w:t>
      </w:r>
    </w:p>
    <w:p>
      <w:pPr>
        <w:sectPr>
          <w:pgSz w:w="11900" w:h="16838" w:orient="portrait"/>
          <w:cols w:equalWidth="0" w:num="1">
            <w:col w:w="10219"/>
          </w:cols>
          <w:pgMar w:left="240" w:top="920"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15</w:t>
            </w:r>
          </w:p>
        </w:tc>
        <w:tc>
          <w:tcPr>
            <w:tcW w:w="50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Creditors: amounts falling due after one year</w:t>
            </w: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c>
          <w:tcPr>
            <w:tcW w:w="8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Loan (note 16)</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725,000</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5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Obligations under finance lease (note 16)</w:t>
            </w: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76,906</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608"/>
        </w:trPr>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801,906</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1013"/>
        </w:trPr>
        <w:tc>
          <w:tcPr>
            <w:tcW w:w="380" w:type="dxa"/>
            <w:vAlign w:val="bottom"/>
          </w:tcPr>
          <w:p>
            <w:pPr>
              <w:spacing w:after="0"/>
              <w:rPr>
                <w:sz w:val="20"/>
                <w:szCs w:val="20"/>
                <w:color w:val="auto"/>
              </w:rPr>
            </w:pPr>
            <w:r>
              <w:rPr>
                <w:rFonts w:ascii="Courier New" w:cs="Courier New" w:eastAsia="Courier New" w:hAnsi="Courier New"/>
                <w:sz w:val="18"/>
                <w:szCs w:val="18"/>
                <w:color w:val="auto"/>
              </w:rPr>
              <w:t>16</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Details of borrowings</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Between</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Between</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Within</w:t>
            </w:r>
          </w:p>
        </w:tc>
        <w:tc>
          <w:tcPr>
            <w:tcW w:w="3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one and two two and five</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5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one year</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years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years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w w:val="98"/>
              </w:rPr>
              <w:t>Repayable other than by instalments</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Bank overdrafts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13,789</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13,789</w:t>
            </w:r>
          </w:p>
        </w:tc>
      </w:tr>
      <w:tr>
        <w:trPr>
          <w:trHeight w:val="405"/>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Repayable by instalments</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Obligations under finance leases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40,536</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37,034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39,872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117,442</w:t>
            </w: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Loan</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725,000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750,000</w:t>
            </w: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79,325</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762,034</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39,872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881,231</w:t>
            </w: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80" w:type="dxa"/>
            <w:vAlign w:val="bottom"/>
          </w:tcPr>
          <w:p>
            <w:pPr>
              <w:spacing w:after="0"/>
              <w:rPr>
                <w:sz w:val="20"/>
                <w:szCs w:val="20"/>
                <w:color w:val="auto"/>
              </w:rPr>
            </w:pPr>
            <w:r>
              <w:rPr>
                <w:rFonts w:ascii="Courier New" w:cs="Courier New" w:eastAsia="Courier New" w:hAnsi="Courier New"/>
                <w:sz w:val="18"/>
                <w:szCs w:val="18"/>
                <w:color w:val="auto"/>
              </w:rPr>
              <w:t>17</w:t>
            </w: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Called up share capital</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Equity</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Authorised:</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5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150,000 "A" Ordinary Shares of US$1 each</w:t>
            </w: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5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4,850,000 Ordinary Shares of US$1 each</w:t>
            </w: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4,850,000</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608"/>
        </w:trPr>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5,000,000</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608"/>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w w:val="98"/>
              </w:rPr>
              <w:t>Allotted, called up and fully paid:</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Opening share capital</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Shares issued during the period: Ordinary Shares of US$1 each</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1,416,000</w:t>
            </w:r>
          </w:p>
        </w:tc>
        <w:tc>
          <w:tcPr>
            <w:tcW w:w="8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8"/>
                <w:szCs w:val="18"/>
                <w:color w:val="auto"/>
              </w:rPr>
              <w:t>Closing share capital</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1,416,000</w:t>
            </w:r>
          </w:p>
        </w:tc>
        <w:tc>
          <w:tcPr>
            <w:tcW w:w="8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F-53</w:t>
      </w:r>
    </w:p>
    <w:p>
      <w:pPr>
        <w:sectPr>
          <w:pgSz w:w="11900" w:h="16838" w:orient="portrait"/>
          <w:cols w:equalWidth="0" w:num="1">
            <w:col w:w="10219"/>
          </w:cols>
          <w:pgMar w:left="240" w:top="919"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Called up share capital (continued)</w:t>
      </w:r>
    </w:p>
    <w:p>
      <w:pPr>
        <w:spacing w:after="0" w:line="206"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27 February 1998, a special resolution was passed to convert the authorised share capital from IR(pound)100 to US$5,000,000 by the creation of 150,000 "A" ordinary shares of US$1 each and 4,850,000 ordinary shares of US$1 each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During the year the following shares were allotted for cash at a premium of</w:t>
      </w:r>
    </w:p>
    <w:p>
      <w:pPr>
        <w:ind w:left="540"/>
        <w:spacing w:after="0" w:line="238" w:lineRule="auto"/>
        <w:rPr>
          <w:sz w:val="20"/>
          <w:szCs w:val="20"/>
          <w:color w:val="auto"/>
        </w:rPr>
      </w:pPr>
      <w:r>
        <w:rPr>
          <w:rFonts w:ascii="Courier New" w:cs="Courier New" w:eastAsia="Courier New" w:hAnsi="Courier New"/>
          <w:sz w:val="18"/>
          <w:szCs w:val="18"/>
          <w:color w:val="auto"/>
        </w:rPr>
        <w:t>US$1 each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Trinity Venture Capital</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500,000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Michael Peirce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Gilbert Little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Mentec Limited</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Paul Tierney</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18   Reserves</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08"/>
        </w:trPr>
        <w:tc>
          <w:tcPr>
            <w:tcW w:w="3700" w:type="dxa"/>
            <w:vAlign w:val="bottom"/>
          </w:tcPr>
          <w:p>
            <w:pPr>
              <w:spacing w:after="0"/>
              <w:rPr>
                <w:sz w:val="24"/>
                <w:szCs w:val="24"/>
                <w:color w:val="auto"/>
              </w:rPr>
            </w:pP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Share</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Share</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Profit and</w:t>
            </w:r>
          </w:p>
        </w:tc>
        <w:tc>
          <w:tcPr>
            <w:tcW w:w="940" w:type="dxa"/>
            <w:vAlign w:val="bottom"/>
          </w:tcPr>
          <w:p>
            <w:pPr>
              <w:spacing w:after="0"/>
              <w:rPr>
                <w:sz w:val="24"/>
                <w:szCs w:val="24"/>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capital</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premium</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loss</w:t>
            </w:r>
          </w:p>
        </w:tc>
        <w:tc>
          <w:tcPr>
            <w:tcW w:w="94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account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account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US$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608"/>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At beginning of year</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Movement during the year</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1,416,000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1,326,769</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(1,613,938)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1,128,831</w:t>
            </w: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At end of year</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1,416,000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1,326,769</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(1,613,938)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1,128,831</w:t>
            </w:r>
          </w:p>
        </w:tc>
      </w:tr>
      <w:tr>
        <w:trPr>
          <w:trHeight w:val="203"/>
        </w:trPr>
        <w:tc>
          <w:tcPr>
            <w:tcW w:w="370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810"/>
        </w:trPr>
        <w:tc>
          <w:tcPr>
            <w:tcW w:w="6800" w:type="dxa"/>
            <w:vAlign w:val="bottom"/>
            <w:gridSpan w:val="3"/>
          </w:tcPr>
          <w:p>
            <w:pPr>
              <w:spacing w:after="0"/>
              <w:rPr>
                <w:sz w:val="20"/>
                <w:szCs w:val="20"/>
                <w:color w:val="auto"/>
              </w:rPr>
            </w:pPr>
            <w:r>
              <w:rPr>
                <w:rFonts w:ascii="Courier New" w:cs="Courier New" w:eastAsia="Courier New" w:hAnsi="Courier New"/>
                <w:sz w:val="18"/>
                <w:szCs w:val="18"/>
                <w:color w:val="auto"/>
              </w:rPr>
              <w:t>19   Reconciliation of movement in shareholders' funds</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spacing w:after="0"/>
              <w:rPr>
                <w:sz w:val="17"/>
                <w:szCs w:val="17"/>
                <w:color w:val="auto"/>
              </w:rPr>
            </w:pPr>
          </w:p>
        </w:tc>
      </w:tr>
      <w:tr>
        <w:trPr>
          <w:trHeight w:val="405"/>
        </w:trPr>
        <w:tc>
          <w:tcPr>
            <w:tcW w:w="5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beginning of period</w:t>
            </w:r>
          </w:p>
        </w:tc>
        <w:tc>
          <w:tcPr>
            <w:tcW w:w="13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4"/>
                <w:szCs w:val="24"/>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during period</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2,742,769</w:t>
            </w:r>
          </w:p>
        </w:tc>
        <w:tc>
          <w:tcPr>
            <w:tcW w:w="94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for financial period</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(1,613,938)</w:t>
            </w:r>
          </w:p>
        </w:tc>
      </w:tr>
      <w:tr>
        <w:trPr>
          <w:trHeight w:val="203"/>
        </w:trPr>
        <w:tc>
          <w:tcPr>
            <w:tcW w:w="3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r>
      <w:tr>
        <w:trPr>
          <w:trHeight w:val="608"/>
        </w:trPr>
        <w:tc>
          <w:tcPr>
            <w:tcW w:w="5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end of period</w:t>
            </w:r>
          </w:p>
        </w:tc>
        <w:tc>
          <w:tcPr>
            <w:tcW w:w="13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1,128,831</w:t>
            </w:r>
          </w:p>
        </w:tc>
        <w:tc>
          <w:tcPr>
            <w:tcW w:w="940" w:type="dxa"/>
            <w:vAlign w:val="bottom"/>
          </w:tcPr>
          <w:p>
            <w:pPr>
              <w:spacing w:after="0"/>
              <w:rPr>
                <w:sz w:val="24"/>
                <w:szCs w:val="24"/>
                <w:color w:val="auto"/>
              </w:rPr>
            </w:pPr>
          </w:p>
        </w:tc>
      </w:tr>
      <w:tr>
        <w:trPr>
          <w:trHeight w:val="203"/>
        </w:trPr>
        <w:tc>
          <w:tcPr>
            <w:tcW w:w="3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F-54</w:t>
      </w:r>
    </w:p>
    <w:p>
      <w:pPr>
        <w:sectPr>
          <w:pgSz w:w="11900" w:h="16838" w:orient="portrait"/>
          <w:cols w:equalWidth="0" w:num="1">
            <w:col w:w="10219"/>
          </w:cols>
          <w:pgMar w:left="240" w:top="919"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Notes (continued)</w:t>
            </w:r>
          </w:p>
        </w:tc>
        <w:tc>
          <w:tcPr>
            <w:tcW w:w="2600" w:type="dxa"/>
            <w:vAlign w:val="bottom"/>
          </w:tcPr>
          <w:p>
            <w:pPr>
              <w:spacing w:after="0"/>
              <w:rPr>
                <w:sz w:val="17"/>
                <w:szCs w:val="17"/>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20   Commitments</w:t>
            </w:r>
          </w:p>
        </w:tc>
        <w:tc>
          <w:tcPr>
            <w:tcW w:w="2600" w:type="dxa"/>
            <w:vAlign w:val="bottom"/>
          </w:tcPr>
          <w:p>
            <w:pPr>
              <w:spacing w:after="0"/>
              <w:rPr>
                <w:sz w:val="24"/>
                <w:szCs w:val="24"/>
                <w:color w:val="auto"/>
              </w:rPr>
            </w:pPr>
          </w:p>
        </w:tc>
      </w:tr>
      <w:tr>
        <w:trPr>
          <w:trHeight w:val="203"/>
        </w:trPr>
        <w:tc>
          <w:tcPr>
            <w:tcW w:w="574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74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commitments</w:t>
            </w:r>
          </w:p>
        </w:tc>
        <w:tc>
          <w:tcPr>
            <w:tcW w:w="2600" w:type="dxa"/>
            <w:vAlign w:val="bottom"/>
          </w:tcPr>
          <w:p>
            <w:pPr>
              <w:spacing w:after="0"/>
              <w:rPr>
                <w:sz w:val="17"/>
                <w:szCs w:val="17"/>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Authorised and contracted for</w:t>
            </w: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Authorised and not contracted for</w:t>
            </w: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Operating lease commitments</w:t>
            </w:r>
          </w:p>
        </w:tc>
        <w:tc>
          <w:tcPr>
            <w:tcW w:w="2600" w:type="dxa"/>
            <w:vAlign w:val="bottom"/>
          </w:tcPr>
          <w:p>
            <w:pPr>
              <w:spacing w:after="0"/>
              <w:rPr>
                <w:sz w:val="24"/>
                <w:szCs w:val="24"/>
                <w:color w:val="auto"/>
              </w:rPr>
            </w:pPr>
          </w:p>
        </w:tc>
      </w:tr>
    </w:tbl>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Annual commitments cost under non cancellable operating leases as follows:</w:t>
      </w:r>
    </w:p>
    <w:p>
      <w:pPr>
        <w:spacing w:after="0" w:line="200" w:lineRule="exact"/>
        <w:rPr>
          <w:sz w:val="20"/>
          <w:szCs w:val="20"/>
          <w:color w:val="auto"/>
        </w:rPr>
      </w:pPr>
    </w:p>
    <w:p>
      <w:pPr>
        <w:spacing w:after="0" w:line="22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Land and</w:t>
            </w:r>
          </w:p>
        </w:tc>
        <w:tc>
          <w:tcPr>
            <w:tcW w:w="1540" w:type="dxa"/>
            <w:vAlign w:val="bottom"/>
          </w:tcPr>
          <w:p>
            <w:pPr>
              <w:spacing w:after="0"/>
              <w:rPr>
                <w:sz w:val="17"/>
                <w:szCs w:val="17"/>
                <w:color w:val="auto"/>
              </w:rPr>
            </w:pP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2940" w:type="dxa"/>
            <w:vAlign w:val="bottom"/>
          </w:tcPr>
          <w:p>
            <w:pPr>
              <w:spacing w:after="0"/>
              <w:rPr>
                <w:sz w:val="17"/>
                <w:szCs w:val="17"/>
                <w:color w:val="auto"/>
              </w:rPr>
            </w:pP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Buildings</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94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IR(pound)</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IR(pound)</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IR(pound)</w:t>
            </w:r>
          </w:p>
        </w:tc>
      </w:tr>
      <w:tr>
        <w:trPr>
          <w:trHeight w:val="405"/>
        </w:trPr>
        <w:tc>
          <w:tcPr>
            <w:tcW w:w="2940" w:type="dxa"/>
            <w:vAlign w:val="bottom"/>
          </w:tcPr>
          <w:p>
            <w:pPr>
              <w:spacing w:after="0"/>
              <w:rPr>
                <w:sz w:val="20"/>
                <w:szCs w:val="20"/>
                <w:color w:val="auto"/>
              </w:rPr>
            </w:pPr>
            <w:r>
              <w:rPr>
                <w:rFonts w:ascii="Courier New" w:cs="Courier New" w:eastAsia="Courier New" w:hAnsi="Courier New"/>
                <w:sz w:val="18"/>
                <w:szCs w:val="18"/>
                <w:color w:val="auto"/>
              </w:rPr>
              <w:t>Expiring</w:t>
            </w: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Within one year</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Between two and five years</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60,604</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60,604</w:t>
            </w: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More than five years</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40" w:type="dxa"/>
            <w:vAlign w:val="bottom"/>
          </w:tcPr>
          <w:p>
            <w:pPr>
              <w:spacing w:after="0"/>
              <w:rPr>
                <w:sz w:val="17"/>
                <w:szCs w:val="17"/>
                <w:color w:val="auto"/>
              </w:rPr>
            </w:pP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4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60,604</w:t>
            </w:r>
          </w:p>
        </w:tc>
        <w:tc>
          <w:tcPr>
            <w:tcW w:w="15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60,604</w:t>
            </w:r>
          </w:p>
        </w:tc>
      </w:tr>
      <w:tr>
        <w:trPr>
          <w:trHeight w:val="203"/>
        </w:trPr>
        <w:tc>
          <w:tcPr>
            <w:tcW w:w="2940" w:type="dxa"/>
            <w:vAlign w:val="bottom"/>
          </w:tcPr>
          <w:p>
            <w:pPr>
              <w:spacing w:after="0"/>
              <w:rPr>
                <w:sz w:val="17"/>
                <w:szCs w:val="17"/>
                <w:color w:val="auto"/>
              </w:rPr>
            </w:pP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F-55</w:t>
      </w:r>
    </w:p>
    <w:p>
      <w:pPr>
        <w:sectPr>
          <w:pgSz w:w="11900" w:h="16838" w:orient="portrait"/>
          <w:cols w:equalWidth="0" w:num="1">
            <w:col w:w="10219"/>
          </w:cols>
          <w:pgMar w:left="240" w:top="91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rPr>
          <w:sz w:val="20"/>
          <w:szCs w:val="20"/>
          <w:color w:val="auto"/>
        </w:rPr>
      </w:pPr>
      <w:r>
        <w:rPr>
          <w:rFonts w:ascii="Courier New" w:cs="Courier New" w:eastAsia="Courier New" w:hAnsi="Courier New"/>
          <w:sz w:val="18"/>
          <w:szCs w:val="18"/>
          <w:color w:val="auto"/>
        </w:rPr>
        <w:t>Notes (continued)</w:t>
      </w:r>
    </w:p>
    <w:p>
      <w:pPr>
        <w:ind w:left="540" w:hanging="532"/>
        <w:spacing w:after="0" w:line="237"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7"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Mentec Limited is a shareholder of Vedia Technology Limited. The company's related parties as defined by FRS 8 - Related Party Disclosures and the extent of transactions are summarised below:</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Mentec</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goods/services supplied</w:t>
            </w:r>
          </w:p>
        </w:tc>
        <w:tc>
          <w:tcPr>
            <w:tcW w:w="1540" w:type="dxa"/>
            <w:vAlign w:val="bottom"/>
          </w:tcPr>
          <w:p>
            <w:pPr>
              <w:spacing w:after="0"/>
              <w:rPr>
                <w:sz w:val="17"/>
                <w:szCs w:val="17"/>
                <w:color w:val="auto"/>
              </w:rPr>
            </w:pPr>
          </w:p>
        </w:tc>
      </w:tr>
      <w:tr>
        <w:trPr>
          <w:trHeight w:val="203"/>
        </w:trPr>
        <w:tc>
          <w:tcPr>
            <w:tcW w:w="6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Vedia Technology Limited on</w:t>
            </w:r>
          </w:p>
        </w:tc>
        <w:tc>
          <w:tcPr>
            <w:tcW w:w="1540" w:type="dxa"/>
            <w:vAlign w:val="bottom"/>
          </w:tcPr>
          <w:p>
            <w:pPr>
              <w:spacing w:after="0"/>
              <w:rPr>
                <w:sz w:val="17"/>
                <w:szCs w:val="17"/>
                <w:color w:val="auto"/>
              </w:rPr>
            </w:pPr>
          </w:p>
        </w:tc>
      </w:tr>
      <w:tr>
        <w:trPr>
          <w:trHeight w:val="203"/>
        </w:trPr>
        <w:tc>
          <w:tcPr>
            <w:tcW w:w="6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normal trading terms</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475,908</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60" w:type="dxa"/>
            <w:vAlign w:val="bottom"/>
          </w:tcPr>
          <w:p>
            <w:pPr>
              <w:spacing w:after="0"/>
              <w:rPr>
                <w:sz w:val="20"/>
                <w:szCs w:val="20"/>
                <w:color w:val="auto"/>
              </w:rPr>
            </w:pPr>
            <w:r>
              <w:rPr>
                <w:rFonts w:ascii="Courier New" w:cs="Courier New" w:eastAsia="Courier New" w:hAnsi="Courier New"/>
                <w:sz w:val="18"/>
                <w:szCs w:val="18"/>
                <w:color w:val="auto"/>
              </w:rPr>
              <w:t>Amounts due from/(to) related parties at arising from:</w:t>
            </w:r>
          </w:p>
        </w:tc>
        <w:tc>
          <w:tcPr>
            <w:tcW w:w="1540" w:type="dxa"/>
            <w:vAlign w:val="bottom"/>
          </w:tcPr>
          <w:p>
            <w:pPr>
              <w:spacing w:after="0"/>
              <w:rPr>
                <w:sz w:val="24"/>
                <w:szCs w:val="24"/>
                <w:color w:val="auto"/>
              </w:rPr>
            </w:pPr>
          </w:p>
        </w:tc>
      </w:tr>
      <w:tr>
        <w:trPr>
          <w:trHeight w:val="405"/>
        </w:trPr>
        <w:tc>
          <w:tcPr>
            <w:tcW w:w="6360" w:type="dxa"/>
            <w:vAlign w:val="bottom"/>
          </w:tcPr>
          <w:p>
            <w:pPr>
              <w:spacing w:after="0"/>
              <w:rPr>
                <w:sz w:val="20"/>
                <w:szCs w:val="20"/>
                <w:color w:val="auto"/>
              </w:rPr>
            </w:pPr>
            <w:r>
              <w:rPr>
                <w:rFonts w:ascii="Courier New" w:cs="Courier New" w:eastAsia="Courier New" w:hAnsi="Courier New"/>
                <w:sz w:val="18"/>
                <w:szCs w:val="18"/>
                <w:color w:val="auto"/>
              </w:rPr>
              <w:t>Trading activities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(12,001)</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60" w:type="dxa"/>
            <w:vAlign w:val="bottom"/>
          </w:tcPr>
          <w:p>
            <w:pPr>
              <w:spacing w:after="0"/>
              <w:rPr>
                <w:sz w:val="20"/>
                <w:szCs w:val="20"/>
                <w:color w:val="auto"/>
              </w:rPr>
            </w:pPr>
            <w:r>
              <w:rPr>
                <w:rFonts w:ascii="Courier New" w:cs="Courier New" w:eastAsia="Courier New" w:hAnsi="Courier New"/>
                <w:sz w:val="18"/>
                <w:szCs w:val="18"/>
                <w:color w:val="auto"/>
              </w:rPr>
              <w:t>Maximum amount outstanding</w:t>
            </w:r>
          </w:p>
        </w:tc>
        <w:tc>
          <w:tcPr>
            <w:tcW w:w="1540" w:type="dxa"/>
            <w:vAlign w:val="bottom"/>
          </w:tcPr>
          <w:p>
            <w:pPr>
              <w:spacing w:after="0"/>
              <w:rPr>
                <w:sz w:val="24"/>
                <w:szCs w:val="24"/>
                <w:color w:val="auto"/>
              </w:rPr>
            </w:pPr>
          </w:p>
        </w:tc>
      </w:tr>
      <w:tr>
        <w:trPr>
          <w:trHeight w:val="203"/>
        </w:trPr>
        <w:tc>
          <w:tcPr>
            <w:tcW w:w="6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during the year</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427,056</w:t>
            </w:r>
          </w:p>
        </w:tc>
      </w:tr>
      <w:tr>
        <w:trPr>
          <w:trHeight w:val="203"/>
        </w:trPr>
        <w:tc>
          <w:tcPr>
            <w:tcW w:w="6360" w:type="dxa"/>
            <w:vAlign w:val="bottom"/>
          </w:tcPr>
          <w:p>
            <w:pPr>
              <w:spacing w:after="0"/>
              <w:rPr>
                <w:sz w:val="17"/>
                <w:szCs w:val="17"/>
                <w:color w:val="auto"/>
              </w:rPr>
            </w:pP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Mentec Limited provided an interest bearing loan to Vedia Technology</w:t>
      </w:r>
    </w:p>
    <w:p>
      <w:pPr>
        <w:ind w:left="540"/>
        <w:spacing w:after="0" w:line="238" w:lineRule="auto"/>
        <w:rPr>
          <w:sz w:val="20"/>
          <w:szCs w:val="20"/>
          <w:color w:val="auto"/>
        </w:rPr>
      </w:pPr>
      <w:r>
        <w:rPr>
          <w:rFonts w:ascii="Courier New" w:cs="Courier New" w:eastAsia="Courier New" w:hAnsi="Courier New"/>
          <w:sz w:val="18"/>
          <w:szCs w:val="18"/>
          <w:color w:val="auto"/>
        </w:rPr>
        <w:t>Limited for US$750,000. The terms of the loan required repayment of</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US$375,000 on 31 March 1999 and 30 September 1999. The interest on the loan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 DIBOR plus 3.5% for 3 months funds from the repayment dates.</w:t>
      </w:r>
    </w:p>
    <w:p>
      <w:pPr>
        <w:spacing w:after="0" w:line="4" w:lineRule="exact"/>
        <w:rPr>
          <w:sz w:val="20"/>
          <w:szCs w:val="20"/>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This loan will be repaid to Mentec Limited at a rate which is yet to be determined.</w:t>
      </w:r>
    </w:p>
    <w:p>
      <w:pPr>
        <w:spacing w:after="0" w:line="208"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Dr. M. Pierce is a shareholder and director of Mentec Limited and Mr. M Horgan is a director of Mentec Limited. Mr. J. Tracey is a director of Trinity Venture Capital, a company having a shareholding in Vedia Technology Limited.</w:t>
      </w:r>
    </w:p>
    <w:p>
      <w:pPr>
        <w:spacing w:after="0" w:line="202"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 statement</w:t>
      </w:r>
    </w:p>
    <w:p>
      <w:pPr>
        <w:spacing w:after="0" w:line="206" w:lineRule="exact"/>
        <w:rPr>
          <w:rFonts w:ascii="Courier New" w:cs="Courier New" w:eastAsia="Courier New" w:hAnsi="Courier New"/>
          <w:sz w:val="18"/>
          <w:szCs w:val="18"/>
          <w:color w:val="auto"/>
        </w:rPr>
      </w:pPr>
    </w:p>
    <w:p>
      <w:pPr>
        <w:ind w:left="54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availed of exemptions in FRS 1 - Cashflow Statements (Revised) not to prepare a cash flow as it meets the requirements of Section 8 of the Companies (Amendment) Act 1986 to be treated as a small company.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business</w:t>
      </w:r>
    </w:p>
    <w:p>
      <w:pPr>
        <w:spacing w:after="0" w:line="206" w:lineRule="exact"/>
        <w:rPr>
          <w:rFonts w:ascii="Courier New" w:cs="Courier New" w:eastAsia="Courier New" w:hAnsi="Courier New"/>
          <w:sz w:val="18"/>
          <w:szCs w:val="18"/>
          <w:color w:val="auto"/>
        </w:rPr>
      </w:pPr>
    </w:p>
    <w:p>
      <w:pPr>
        <w:ind w:left="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6 March 1998 the company purchased the business and assets of Mentec Picturecom Limited for a cash consideration of US$1,892,783. The business was purchased as a going concern and the purchase price was allocated as follows:Plant and Machinery US$121,064, stock US$271,716 and goodwill US$1,500,000.</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financial statements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were approved by the board of directors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F-56</w:t>
      </w:r>
    </w:p>
    <w:p>
      <w:pPr>
        <w:sectPr>
          <w:pgSz w:w="11900" w:h="16838" w:orient="portrait"/>
          <w:cols w:equalWidth="0" w:num="1">
            <w:col w:w="10219"/>
          </w:cols>
          <w:pgMar w:left="240" w:top="920"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Reconciliation between Irish and U.S. Accounting Principles</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The financial statements of the company set out on pages 7 to 20 have been prepared in accordance with generally accepted accounting principles applicable in Ireland ("Irish GAAP") which differ in certain significant respects from those applicable in the U.S. (" U.S. GAAP"). The material differences as they apply to the financial statements are as follows :</w:t>
      </w:r>
    </w:p>
    <w:p>
      <w:pPr>
        <w:spacing w:after="0" w:line="203"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format</w:t>
      </w:r>
    </w:p>
    <w:p>
      <w:pPr>
        <w:spacing w:after="0" w:line="206" w:lineRule="exact"/>
        <w:rPr>
          <w:rFonts w:ascii="Courier New" w:cs="Courier New" w:eastAsia="Courier New" w:hAnsi="Courier New"/>
          <w:sz w:val="18"/>
          <w:szCs w:val="18"/>
          <w:color w:val="auto"/>
        </w:rPr>
      </w:pPr>
    </w:p>
    <w:p>
      <w:pPr>
        <w:ind w:left="10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 of the financial statements and certain note disclosures under U.S. GAAP differ from those under Irish GAAP.</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Forward - looking statements</w:t>
      </w:r>
    </w:p>
    <w:p>
      <w:pPr>
        <w:spacing w:after="0" w:line="206" w:lineRule="exact"/>
        <w:rPr>
          <w:rFonts w:ascii="Courier New" w:cs="Courier New" w:eastAsia="Courier New" w:hAnsi="Courier New"/>
          <w:sz w:val="18"/>
          <w:szCs w:val="18"/>
          <w:color w:val="auto"/>
        </w:rPr>
      </w:pPr>
    </w:p>
    <w:p>
      <w:pPr>
        <w:jc w:val="both"/>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statement made in these financial statements with information that is not historical, these statements are necessarily forward - looking. As such, they are subject to the occurrence of many events outside of Vedia's control and are subject to various risk factors that would cause our results to differ materially from those expressed in any forward - looking statement.</w:t>
      </w: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6" w:lineRule="auto"/>
        <w:rPr>
          <w:sz w:val="20"/>
          <w:szCs w:val="20"/>
          <w:color w:val="auto"/>
        </w:rPr>
      </w:pPr>
      <w:r>
        <w:rPr>
          <w:rFonts w:ascii="Courier New" w:cs="Courier New" w:eastAsia="Courier New" w:hAnsi="Courier New"/>
          <w:sz w:val="18"/>
          <w:szCs w:val="18"/>
          <w:color w:val="auto"/>
        </w:rPr>
        <w:t>The following is a summary of the material adjustments to loss and shareholders' equity which would be required had the financial statements being prepared in accordance with U.S. GAAP.</w:t>
      </w:r>
    </w:p>
    <w:p>
      <w:pPr>
        <w:spacing w:after="0" w:line="203"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Effect on loss for the financial year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 months ended</w:t>
      </w:r>
    </w:p>
    <w:p>
      <w:pPr>
        <w:jc w:val="right"/>
        <w:ind w:right="1779"/>
        <w:spacing w:after="0" w:line="238" w:lineRule="auto"/>
        <w:rPr>
          <w:sz w:val="20"/>
          <w:szCs w:val="20"/>
          <w:color w:val="auto"/>
        </w:rPr>
      </w:pPr>
      <w:r>
        <w:rPr>
          <w:rFonts w:ascii="Courier New" w:cs="Courier New" w:eastAsia="Courier New" w:hAnsi="Courier New"/>
          <w:sz w:val="18"/>
          <w:szCs w:val="18"/>
          <w:color w:val="auto"/>
        </w:rPr>
        <w:t>31 December1998</w:t>
      </w:r>
    </w:p>
    <w:p>
      <w:pPr>
        <w:jc w:val="right"/>
        <w:ind w:right="1779"/>
        <w:spacing w:after="0"/>
        <w:rPr>
          <w:sz w:val="20"/>
          <w:szCs w:val="20"/>
          <w:color w:val="auto"/>
        </w:rPr>
      </w:pPr>
      <w:r>
        <w:rPr>
          <w:rFonts w:ascii="Courier New" w:cs="Courier New" w:eastAsia="Courier New" w:hAnsi="Courier New"/>
          <w:sz w:val="18"/>
          <w:szCs w:val="18"/>
          <w:color w:val="auto"/>
        </w:rPr>
        <w:t>US$</w:t>
      </w:r>
    </w:p>
    <w:p>
      <w:pPr>
        <w:sectPr>
          <w:pgSz w:w="11900" w:h="16838" w:orient="portrait"/>
          <w:cols w:equalWidth="0" w:num="1">
            <w:col w:w="10219"/>
          </w:cols>
          <w:pgMar w:left="240" w:top="919" w:right="1440" w:bottom="1440" w:gutter="0" w:footer="0" w:header="0"/>
        </w:sect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Loss for the financial year under Irish GAAP</w:t>
      </w: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Net loss as stated under U.S. GAAP</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1,613,938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1,613,938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760" w:space="720"/>
            <w:col w:w="2739"/>
          </w:cols>
          <w:pgMar w:left="240" w:top="919" w:right="1440" w:bottom="1440" w:gutter="0" w:footer="0" w:header="0"/>
          <w:type w:val="continuous"/>
        </w:sectPr>
      </w:pPr>
    </w:p>
    <w:p>
      <w:pPr>
        <w:spacing w:after="0" w:line="22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Effect on shareholders equity</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31 December</w:t>
      </w:r>
    </w:p>
    <w:p>
      <w:pPr>
        <w:jc w:val="right"/>
        <w:ind w:right="1779"/>
        <w:spacing w:after="0" w:line="238" w:lineRule="auto"/>
        <w:rPr>
          <w:sz w:val="20"/>
          <w:szCs w:val="20"/>
          <w:color w:val="auto"/>
        </w:rPr>
      </w:pPr>
      <w:r>
        <w:rPr>
          <w:rFonts w:ascii="Courier New" w:cs="Courier New" w:eastAsia="Courier New" w:hAnsi="Courier New"/>
          <w:sz w:val="18"/>
          <w:szCs w:val="18"/>
          <w:color w:val="auto"/>
        </w:rPr>
        <w:t>1998</w:t>
      </w:r>
    </w:p>
    <w:p>
      <w:pPr>
        <w:jc w:val="right"/>
        <w:ind w:right="1779"/>
        <w:spacing w:after="0"/>
        <w:rPr>
          <w:sz w:val="20"/>
          <w:szCs w:val="20"/>
          <w:color w:val="auto"/>
        </w:rPr>
      </w:pPr>
      <w:r>
        <w:rPr>
          <w:rFonts w:ascii="Courier New" w:cs="Courier New" w:eastAsia="Courier New" w:hAnsi="Courier New"/>
          <w:sz w:val="18"/>
          <w:szCs w:val="18"/>
          <w:color w:val="auto"/>
        </w:rPr>
        <w:t>US$</w:t>
      </w:r>
    </w:p>
    <w:p>
      <w:pPr>
        <w:sectPr>
          <w:pgSz w:w="11900" w:h="16838" w:orient="portrait"/>
          <w:cols w:equalWidth="0" w:num="1">
            <w:col w:w="10219"/>
          </w:cols>
          <w:pgMar w:left="240" w:top="919" w:right="1440" w:bottom="1440" w:gutter="0" w:footer="0" w:header="0"/>
          <w:type w:val="continuous"/>
        </w:sect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Shareholders' equity as stated under Irish GAAP</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1,128,831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760" w:space="720"/>
            <w:col w:w="2739"/>
          </w:cols>
          <w:pgMar w:left="240" w:top="919" w:right="1440" w:bottom="1440" w:gutter="0" w:footer="0" w:header="0"/>
          <w:type w:val="continuous"/>
        </w:sectPr>
      </w:pPr>
    </w:p>
    <w:p>
      <w:pPr>
        <w:spacing w:after="0" w:line="24" w:lineRule="exact"/>
        <w:rPr>
          <w:sz w:val="20"/>
          <w:szCs w:val="20"/>
          <w:color w:val="auto"/>
        </w:rPr>
      </w:pPr>
    </w:p>
    <w:p>
      <w:pPr>
        <w:jc w:val="center"/>
        <w:ind w:left="840"/>
        <w:spacing w:after="0"/>
        <w:rPr>
          <w:sz w:val="20"/>
          <w:szCs w:val="20"/>
          <w:color w:val="auto"/>
        </w:rPr>
      </w:pPr>
      <w:r>
        <w:rPr>
          <w:rFonts w:ascii="Courier New" w:cs="Courier New" w:eastAsia="Courier New" w:hAnsi="Courier New"/>
          <w:sz w:val="16"/>
          <w:szCs w:val="16"/>
          <w:color w:val="auto"/>
        </w:rPr>
        <w:t>Shareholders' equity as stated under U.S. GAAP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1,128,831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760" w:space="720"/>
            <w:col w:w="273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F-57</w:t>
      </w:r>
    </w:p>
    <w:p>
      <w:pPr>
        <w:sectPr>
          <w:pgSz w:w="11900" w:h="16838" w:orient="portrait"/>
          <w:cols w:equalWidth="0" w:num="1">
            <w:col w:w="10219"/>
          </w:cols>
          <w:pgMar w:left="240" w:top="919"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statement</w:t>
      </w:r>
    </w:p>
    <w:p>
      <w:pPr>
        <w:spacing w:after="0" w:line="238" w:lineRule="auto"/>
        <w:rPr>
          <w:sz w:val="20"/>
          <w:szCs w:val="20"/>
          <w:color w:val="auto"/>
        </w:rPr>
      </w:pPr>
      <w:r>
        <w:rPr>
          <w:rFonts w:ascii="Courier New" w:cs="Courier New" w:eastAsia="Courier New" w:hAnsi="Courier New"/>
          <w:sz w:val="18"/>
          <w:szCs w:val="18"/>
          <w:color w:val="auto"/>
        </w:rPr>
        <w:t>for the period ended 31 December 1998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32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Period ended</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Turnover</w:t>
            </w:r>
          </w:p>
        </w:tc>
        <w:tc>
          <w:tcPr>
            <w:tcW w:w="32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2,843,386</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Cost of sales (Appendix 1)</w:t>
            </w:r>
          </w:p>
        </w:tc>
        <w:tc>
          <w:tcPr>
            <w:tcW w:w="3280" w:type="dxa"/>
            <w:vAlign w:val="bottom"/>
          </w:tcPr>
          <w:p>
            <w:pPr>
              <w:jc w:val="right"/>
              <w:spacing w:after="0"/>
              <w:rPr>
                <w:sz w:val="20"/>
                <w:szCs w:val="20"/>
                <w:color w:val="auto"/>
              </w:rPr>
            </w:pPr>
            <w:r>
              <w:rPr>
                <w:rFonts w:ascii="Courier New" w:cs="Courier New" w:eastAsia="Courier New" w:hAnsi="Courier New"/>
                <w:sz w:val="18"/>
                <w:szCs w:val="18"/>
                <w:color w:val="auto"/>
              </w:rPr>
              <w:t>(1,823,505)</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32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1,019,881</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Operating expenses (Appendix 2)</w:t>
            </w:r>
          </w:p>
        </w:tc>
        <w:tc>
          <w:tcPr>
            <w:tcW w:w="3280" w:type="dxa"/>
            <w:vAlign w:val="bottom"/>
          </w:tcPr>
          <w:p>
            <w:pPr>
              <w:jc w:val="right"/>
              <w:spacing w:after="0"/>
              <w:rPr>
                <w:sz w:val="20"/>
                <w:szCs w:val="20"/>
                <w:color w:val="auto"/>
              </w:rPr>
            </w:pPr>
            <w:r>
              <w:rPr>
                <w:rFonts w:ascii="Courier New" w:cs="Courier New" w:eastAsia="Courier New" w:hAnsi="Courier New"/>
                <w:sz w:val="18"/>
                <w:szCs w:val="18"/>
                <w:color w:val="auto"/>
              </w:rPr>
              <w:t>(2,634,970)</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60" w:type="dxa"/>
            <w:vAlign w:val="bottom"/>
          </w:tcPr>
          <w:p>
            <w:pPr>
              <w:spacing w:after="0"/>
              <w:rPr>
                <w:sz w:val="20"/>
                <w:szCs w:val="20"/>
                <w:color w:val="auto"/>
              </w:rPr>
            </w:pPr>
            <w:r>
              <w:rPr>
                <w:rFonts w:ascii="Courier New" w:cs="Courier New" w:eastAsia="Courier New" w:hAnsi="Courier New"/>
                <w:sz w:val="18"/>
                <w:szCs w:val="18"/>
                <w:color w:val="auto"/>
              </w:rPr>
              <w:t>Operating loss</w:t>
            </w:r>
          </w:p>
        </w:tc>
        <w:tc>
          <w:tcPr>
            <w:tcW w:w="3280" w:type="dxa"/>
            <w:vAlign w:val="bottom"/>
          </w:tcPr>
          <w:p>
            <w:pPr>
              <w:jc w:val="right"/>
              <w:spacing w:after="0"/>
              <w:rPr>
                <w:sz w:val="20"/>
                <w:szCs w:val="20"/>
                <w:color w:val="auto"/>
              </w:rPr>
            </w:pPr>
            <w:r>
              <w:rPr>
                <w:rFonts w:ascii="Courier New" w:cs="Courier New" w:eastAsia="Courier New" w:hAnsi="Courier New"/>
                <w:sz w:val="18"/>
                <w:szCs w:val="18"/>
                <w:color w:val="auto"/>
              </w:rPr>
              <w:t>(1,615,089)</w:t>
            </w:r>
          </w:p>
        </w:tc>
      </w:tr>
      <w:tr>
        <w:trPr>
          <w:trHeight w:val="203"/>
        </w:trPr>
        <w:tc>
          <w:tcPr>
            <w:tcW w:w="5160" w:type="dxa"/>
            <w:vAlign w:val="bottom"/>
          </w:tcPr>
          <w:p>
            <w:pPr>
              <w:spacing w:after="0"/>
              <w:rPr>
                <w:sz w:val="17"/>
                <w:szCs w:val="17"/>
                <w:color w:val="auto"/>
              </w:rPr>
            </w:pPr>
          </w:p>
        </w:tc>
        <w:tc>
          <w:tcPr>
            <w:tcW w:w="32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F-58</w:t>
      </w:r>
    </w:p>
    <w:p>
      <w:pPr>
        <w:sectPr>
          <w:pgSz w:w="11900" w:h="16838" w:orient="portrait"/>
          <w:cols w:equalWidth="0" w:num="1">
            <w:col w:w="10219"/>
          </w:cols>
          <w:pgMar w:left="240" w:top="920"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Vedia Technology Limited</w:t>
      </w:r>
    </w:p>
    <w:p>
      <w:pPr>
        <w:spacing w:after="0" w:line="238" w:lineRule="auto"/>
        <w:rPr>
          <w:sz w:val="20"/>
          <w:szCs w:val="20"/>
          <w:color w:val="auto"/>
        </w:rPr>
      </w:pPr>
      <w:r>
        <w:rPr>
          <w:rFonts w:ascii="Courier New" w:cs="Courier New" w:eastAsia="Courier New" w:hAnsi="Courier New"/>
          <w:sz w:val="18"/>
          <w:szCs w:val="18"/>
          <w:color w:val="auto"/>
        </w:rPr>
        <w:t>(formerly known as Ligurian Limited)</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Appendix 1:</w:t>
      </w:r>
      <w:r>
        <w:rPr>
          <w:sz w:val="20"/>
          <w:szCs w:val="20"/>
          <w:color w:val="auto"/>
        </w:rPr>
        <w:tab/>
      </w:r>
      <w:r>
        <w:rPr>
          <w:rFonts w:ascii="Courier New" w:cs="Courier New" w:eastAsia="Courier New" w:hAnsi="Courier New"/>
          <w:sz w:val="16"/>
          <w:szCs w:val="16"/>
          <w:color w:val="auto"/>
        </w:rPr>
        <w:t>Cost of sales</w:t>
      </w:r>
    </w:p>
    <w:p>
      <w:pPr>
        <w:spacing w:after="0" w:line="238" w:lineRule="auto"/>
        <w:rPr>
          <w:sz w:val="20"/>
          <w:szCs w:val="20"/>
          <w:color w:val="auto"/>
        </w:rPr>
      </w:pPr>
      <w:r>
        <w:rPr>
          <w:rFonts w:ascii="Courier New" w:cs="Courier New" w:eastAsia="Courier New" w:hAnsi="Courier New"/>
          <w:sz w:val="18"/>
          <w:szCs w:val="18"/>
          <w:color w:val="auto"/>
        </w:rPr>
        <w:t>for the period ended 31 December 1998</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Period ended</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 costs</w:t>
            </w:r>
          </w:p>
        </w:tc>
        <w:tc>
          <w:tcPr>
            <w:tcW w:w="3320" w:type="dxa"/>
            <w:vAlign w:val="bottom"/>
          </w:tcPr>
          <w:p>
            <w:pPr>
              <w:spacing w:after="0"/>
              <w:rPr>
                <w:sz w:val="24"/>
                <w:szCs w:val="24"/>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Opening stock</w:t>
            </w: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271,716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 purchases</w:t>
            </w: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1,422,290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Closing stock</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(85,611)</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Raw materials consumed</w:t>
            </w: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1,608,395</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Manufacturing overheads</w:t>
            </w:r>
          </w:p>
        </w:tc>
        <w:tc>
          <w:tcPr>
            <w:tcW w:w="3320" w:type="dxa"/>
            <w:vAlign w:val="bottom"/>
          </w:tcPr>
          <w:p>
            <w:pPr>
              <w:spacing w:after="0"/>
              <w:rPr>
                <w:sz w:val="24"/>
                <w:szCs w:val="24"/>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 labour</w:t>
            </w: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124,139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Freight</w:t>
            </w: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54,577</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overheads</w:t>
            </w: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9,469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Subcontractors</w:t>
            </w: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26,925</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4"/>
                <w:szCs w:val="24"/>
                <w:color w:val="auto"/>
              </w:rPr>
            </w:pP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215,110</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3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1,823,505</w:t>
            </w:r>
          </w:p>
        </w:tc>
      </w:tr>
      <w:tr>
        <w:trPr>
          <w:trHeight w:val="203"/>
        </w:trPr>
        <w:tc>
          <w:tcPr>
            <w:tcW w:w="3220" w:type="dxa"/>
            <w:vAlign w:val="bottom"/>
          </w:tcPr>
          <w:p>
            <w:pPr>
              <w:spacing w:after="0"/>
              <w:rPr>
                <w:sz w:val="17"/>
                <w:szCs w:val="17"/>
                <w:color w:val="auto"/>
              </w:rPr>
            </w:pPr>
          </w:p>
        </w:tc>
        <w:tc>
          <w:tcPr>
            <w:tcW w:w="3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20" w:type="dxa"/>
            <w:vAlign w:val="bottom"/>
          </w:tcPr>
          <w:p>
            <w:pPr>
              <w:spacing w:after="0"/>
              <w:rPr>
                <w:sz w:val="24"/>
                <w:szCs w:val="24"/>
                <w:color w:val="auto"/>
              </w:rPr>
            </w:pPr>
          </w:p>
        </w:tc>
        <w:tc>
          <w:tcPr>
            <w:tcW w:w="332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F-59</w:t>
            </w:r>
          </w:p>
        </w:tc>
      </w:tr>
    </w:tbl>
    <w:p>
      <w:pPr>
        <w:sectPr>
          <w:pgSz w:w="11900" w:h="16838" w:orient="portrait"/>
          <w:cols w:equalWidth="0" w:num="1">
            <w:col w:w="10219"/>
          </w:cols>
          <w:pgMar w:left="240" w:top="1122"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20"/>
                <w:szCs w:val="20"/>
                <w:color w:val="auto"/>
              </w:rPr>
            </w:pPr>
            <w:r>
              <w:rPr>
                <w:rFonts w:ascii="Courier New" w:cs="Courier New" w:eastAsia="Courier New" w:hAnsi="Courier New"/>
                <w:sz w:val="18"/>
                <w:szCs w:val="18"/>
                <w:color w:val="auto"/>
              </w:rPr>
              <w:t>Vedia Technology Limited</w:t>
            </w: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(formerly known as Ligurian Limited)</w:t>
            </w: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Appendix 2: Operating expenses</w:t>
            </w: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period ended 31 December 1998</w:t>
            </w:r>
          </w:p>
        </w:tc>
        <w:tc>
          <w:tcPr>
            <w:tcW w:w="1580" w:type="dxa"/>
            <w:vAlign w:val="bottom"/>
          </w:tcPr>
          <w:p>
            <w:pPr>
              <w:spacing w:after="0"/>
              <w:rPr>
                <w:sz w:val="17"/>
                <w:szCs w:val="17"/>
                <w:color w:val="auto"/>
              </w:rPr>
            </w:pP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Administration expenses</w:t>
            </w: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salaries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538,891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24,402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Contractors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79,380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and advertising</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108,336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Light, heat and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 and subsistence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175,610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 stock materials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Rent and rates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80,679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and telex</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43,739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Computer costs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14,922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Subscriptions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1,474</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Postage and stationery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6,672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Professional fees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9,004</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expenses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Bad debts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65,531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loss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35,041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Cleaning</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charges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3,595</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overheads allocated to finance and planning</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35,643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write off</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1,419,338</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Research and development expenses</w:t>
            </w:r>
          </w:p>
        </w:tc>
        <w:tc>
          <w:tcPr>
            <w:tcW w:w="158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salaries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902,465</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47,910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 stock materials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95,149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Computer costs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72,597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 research</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13,942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costs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13,780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research and development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64,060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5,729</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1,215,632</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2,634,970</w:t>
            </w:r>
          </w:p>
        </w:tc>
      </w:tr>
      <w:tr>
        <w:trPr>
          <w:trHeight w:val="203"/>
        </w:trPr>
        <w:tc>
          <w:tcPr>
            <w:tcW w:w="57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00" w:type="dxa"/>
            <w:vAlign w:val="bottom"/>
          </w:tcPr>
          <w:p>
            <w:pPr>
              <w:ind w:left="4020"/>
              <w:spacing w:after="0"/>
              <w:rPr>
                <w:sz w:val="20"/>
                <w:szCs w:val="20"/>
                <w:color w:val="auto"/>
              </w:rPr>
            </w:pPr>
            <w:r>
              <w:rPr>
                <w:rFonts w:ascii="Courier New" w:cs="Courier New" w:eastAsia="Courier New" w:hAnsi="Courier New"/>
                <w:sz w:val="18"/>
                <w:szCs w:val="18"/>
                <w:color w:val="auto"/>
              </w:rPr>
              <w:t>F-60</w:t>
            </w:r>
          </w:p>
        </w:tc>
        <w:tc>
          <w:tcPr>
            <w:tcW w:w="15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66" w:name="page67"/>
    <w:bookmarkEnd w:id="66"/>
    <w:p>
      <w:pPr>
        <w:ind w:left="2640"/>
        <w:spacing w:after="0"/>
        <w:rPr>
          <w:sz w:val="20"/>
          <w:szCs w:val="20"/>
          <w:color w:val="auto"/>
        </w:rPr>
      </w:pPr>
      <w:r>
        <w:rPr>
          <w:rFonts w:ascii="Courier New" w:cs="Courier New" w:eastAsia="Courier New" w:hAnsi="Courier New"/>
          <w:sz w:val="18"/>
          <w:szCs w:val="18"/>
          <w:color w:val="auto"/>
        </w:rPr>
        <w:t>Pro Forma Financial Information</w:t>
      </w:r>
    </w:p>
    <w:p>
      <w:pPr>
        <w:ind w:left="1700"/>
        <w:spacing w:after="0" w:line="238" w:lineRule="auto"/>
        <w:rPr>
          <w:sz w:val="20"/>
          <w:szCs w:val="20"/>
          <w:color w:val="auto"/>
        </w:rPr>
      </w:pPr>
      <w:r>
        <w:rPr>
          <w:rFonts w:ascii="Courier New" w:cs="Courier New" w:eastAsia="Courier New" w:hAnsi="Courier New"/>
          <w:sz w:val="18"/>
          <w:szCs w:val="18"/>
          <w:color w:val="auto"/>
        </w:rPr>
        <w:t>Gentner Communications Corporation and Ivron Systems, Ltd.</w:t>
      </w:r>
    </w:p>
    <w:p>
      <w:pPr>
        <w:ind w:left="1580"/>
        <w:spacing w:after="0"/>
        <w:rPr>
          <w:sz w:val="20"/>
          <w:szCs w:val="20"/>
          <w:color w:val="auto"/>
        </w:rPr>
      </w:pPr>
      <w:r>
        <w:rPr>
          <w:rFonts w:ascii="Courier New" w:cs="Courier New" w:eastAsia="Courier New" w:hAnsi="Courier New"/>
          <w:sz w:val="18"/>
          <w:szCs w:val="18"/>
          <w:color w:val="auto"/>
        </w:rPr>
        <w:t>Unaudited Pro Forma Condensed Combined Financial Information</w:t>
      </w:r>
    </w:p>
    <w:p>
      <w:pPr>
        <w:spacing w:after="0" w:line="206" w:lineRule="exact"/>
        <w:rPr>
          <w:sz w:val="20"/>
          <w:szCs w:val="20"/>
          <w:color w:val="auto"/>
        </w:rPr>
      </w:pPr>
    </w:p>
    <w:p>
      <w:pPr>
        <w:jc w:val="both"/>
        <w:ind w:right="2420"/>
        <w:spacing w:after="0" w:line="269" w:lineRule="auto"/>
        <w:rPr>
          <w:sz w:val="20"/>
          <w:szCs w:val="20"/>
          <w:color w:val="auto"/>
        </w:rPr>
      </w:pPr>
      <w:r>
        <w:rPr>
          <w:rFonts w:ascii="Courier New" w:cs="Courier New" w:eastAsia="Courier New" w:hAnsi="Courier New"/>
          <w:sz w:val="16"/>
          <w:szCs w:val="16"/>
          <w:color w:val="auto"/>
        </w:rPr>
        <w:t>The following unaudited pro forma condensed combined financial information gives effect to the share purchase transaction of Ivron Systems, Ltd. ("Ivron") by Gentner using the purchase method of accounting. The unaudited pro forma condensed combined balance sheet as of June 30, 2001 gives effect to the acquisition as if the acquisition had occurred on that date. The unaudited pro forma condensed combined balance sheet as of June 30, 2001 and the unaudited pro forma condensed combined statement of operations for the year ended June 30, 2001 give effect to the acquisition as if the acquisition had occurred on July 1, 2000. The unaudited pro forma condensed combined statement of operations presented for the year ended June 30, 2001 includes the audited historical financial results of Gentner for the year ended June 30, 2001 and unaudited financial results of Ivron for the fiscal year ended June 30, 2001, comprising the last six months of operations of Ivron for the year ended December 31, 2000 and the first six months of operations of Ivron for the year ended December 31, 2001. Ivron's year end is December 31; therefore, Ivron's financial results included in the pro forma information does not reflect Ivron's fiscal year ended as set forth in the accompanying financial statements.</w:t>
      </w:r>
    </w:p>
    <w:p>
      <w:pPr>
        <w:spacing w:after="0" w:line="396" w:lineRule="exact"/>
        <w:rPr>
          <w:sz w:val="20"/>
          <w:szCs w:val="20"/>
          <w:color w:val="auto"/>
        </w:rPr>
      </w:pPr>
    </w:p>
    <w:p>
      <w:pPr>
        <w:jc w:val="both"/>
        <w:ind w:right="2420"/>
        <w:spacing w:after="0" w:line="237" w:lineRule="auto"/>
        <w:rPr>
          <w:sz w:val="20"/>
          <w:szCs w:val="20"/>
          <w:color w:val="auto"/>
        </w:rPr>
      </w:pPr>
      <w:r>
        <w:rPr>
          <w:rFonts w:ascii="Courier New" w:cs="Courier New" w:eastAsia="Courier New" w:hAnsi="Courier New"/>
          <w:sz w:val="18"/>
          <w:szCs w:val="18"/>
          <w:color w:val="auto"/>
        </w:rPr>
        <w:t>Unaudited pro forma combined financial information is presented for illustrative purposes only and is not necessarily indicative of the financial position or results of operations that would have actually been reported had the purchase occurred at the beginning of the period presented, nor is it necessarily indicative of future financial position or results of operations. These unaudited pro forma combined financial statements are based upon the respective historical financial statements of Gentner and Ivron and do not incorporate, nor do they assume, any benefits from cost savings or synergies of operations of the combined company.</w:t>
      </w:r>
    </w:p>
    <w:p>
      <w:pPr>
        <w:spacing w:after="0" w:line="200" w:lineRule="exact"/>
        <w:rPr>
          <w:sz w:val="20"/>
          <w:szCs w:val="20"/>
          <w:color w:val="auto"/>
        </w:rPr>
      </w:pPr>
    </w:p>
    <w:p>
      <w:pPr>
        <w:spacing w:after="0" w:line="21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Unaudited Pro Forma Financial Information</w:t>
      </w:r>
    </w:p>
    <w:p>
      <w:pPr>
        <w:ind w:left="2000"/>
        <w:spacing w:after="0" w:line="238" w:lineRule="auto"/>
        <w:rPr>
          <w:sz w:val="20"/>
          <w:szCs w:val="20"/>
          <w:color w:val="auto"/>
        </w:rPr>
      </w:pPr>
      <w:r>
        <w:rPr>
          <w:rFonts w:ascii="Courier New" w:cs="Courier New" w:eastAsia="Courier New" w:hAnsi="Courier New"/>
          <w:sz w:val="18"/>
          <w:szCs w:val="18"/>
          <w:color w:val="auto"/>
        </w:rPr>
        <w:t>Pro Forma Condensed Combined Balance Sheet</w:t>
      </w:r>
    </w:p>
    <w:p>
      <w:pPr>
        <w:ind w:left="3280"/>
        <w:spacing w:after="0"/>
        <w:rPr>
          <w:sz w:val="20"/>
          <w:szCs w:val="20"/>
          <w:color w:val="auto"/>
        </w:rPr>
      </w:pPr>
      <w:r>
        <w:rPr>
          <w:rFonts w:ascii="Courier New" w:cs="Courier New" w:eastAsia="Courier New" w:hAnsi="Courier New"/>
          <w:sz w:val="18"/>
          <w:szCs w:val="18"/>
          <w:color w:val="auto"/>
        </w:rPr>
        <w:t>As of June 30, 2001</w:t>
      </w:r>
    </w:p>
    <w:p>
      <w:pPr>
        <w:ind w:left="3580"/>
        <w:spacing w:after="0" w:line="237" w:lineRule="auto"/>
        <w:rPr>
          <w:sz w:val="20"/>
          <w:szCs w:val="20"/>
          <w:color w:val="auto"/>
        </w:rPr>
      </w:pPr>
      <w:r>
        <w:rPr>
          <w:rFonts w:ascii="Courier New" w:cs="Courier New" w:eastAsia="Courier New" w:hAnsi="Courier New"/>
          <w:sz w:val="18"/>
          <w:szCs w:val="18"/>
          <w:color w:val="auto"/>
        </w:rPr>
        <w:t>(Historical)</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2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17"/>
                <w:szCs w:val="17"/>
                <w:color w:val="auto"/>
              </w:rPr>
            </w:pP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Ivron</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Pro Forma</w:t>
            </w:r>
          </w:p>
        </w:tc>
        <w:tc>
          <w:tcPr>
            <w:tcW w:w="3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3960" w:type="dxa"/>
            <w:vAlign w:val="bottom"/>
          </w:tcPr>
          <w:p>
            <w:pPr>
              <w:spacing w:after="0"/>
              <w:rPr>
                <w:sz w:val="17"/>
                <w:szCs w:val="17"/>
                <w:color w:val="auto"/>
              </w:rPr>
            </w:pPr>
          </w:p>
        </w:tc>
        <w:tc>
          <w:tcPr>
            <w:tcW w:w="2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Systems,Ltd.</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Adjustments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3960" w:type="dxa"/>
            <w:vAlign w:val="bottom"/>
          </w:tcPr>
          <w:p>
            <w:pPr>
              <w:spacing w:after="0"/>
              <w:rPr>
                <w:sz w:val="17"/>
                <w:szCs w:val="17"/>
                <w:color w:val="auto"/>
              </w:rPr>
            </w:pPr>
          </w:p>
        </w:tc>
        <w:tc>
          <w:tcPr>
            <w:tcW w:w="2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 `000s)</w:t>
            </w:r>
          </w:p>
        </w:tc>
        <w:tc>
          <w:tcPr>
            <w:tcW w:w="320" w:type="dxa"/>
            <w:vAlign w:val="bottom"/>
          </w:tcPr>
          <w:p>
            <w:pPr>
              <w:spacing w:after="0"/>
              <w:rPr>
                <w:sz w:val="17"/>
                <w:szCs w:val="17"/>
                <w:color w:val="auto"/>
              </w:rPr>
            </w:pP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(in `000s)</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6,852</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(6,666)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7,213</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7,375</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 - current portion</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71</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Inventory</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4,132</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596</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4,728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247</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781</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807</w:t>
            </w:r>
          </w:p>
        </w:tc>
      </w:tr>
      <w:tr>
        <w:trPr>
          <w:trHeight w:val="203"/>
        </w:trPr>
        <w:tc>
          <w:tcPr>
            <w:tcW w:w="3960" w:type="dxa"/>
            <w:vAlign w:val="bottom"/>
          </w:tcPr>
          <w:p>
            <w:pPr>
              <w:spacing w:after="0"/>
              <w:rPr>
                <w:sz w:val="17"/>
                <w:szCs w:val="17"/>
                <w:color w:val="auto"/>
              </w:rPr>
            </w:pP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19,296</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(6,666)</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13,506</w:t>
            </w:r>
          </w:p>
        </w:tc>
      </w:tr>
      <w:tr>
        <w:trPr>
          <w:trHeight w:val="405"/>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2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3,697</w:t>
            </w:r>
          </w:p>
        </w:tc>
        <w:tc>
          <w:tcPr>
            <w:tcW w:w="36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3,747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Goodwill and other intangibles, net</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2,815</w:t>
            </w:r>
          </w:p>
        </w:tc>
        <w:tc>
          <w:tcPr>
            <w:tcW w:w="3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(1,009)</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6,064</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w:t>
            </w: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8,879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Note receivable - long-term portion</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1,717</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and other assets</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3960" w:type="dxa"/>
            <w:vAlign w:val="bottom"/>
          </w:tcPr>
          <w:p>
            <w:pPr>
              <w:spacing w:after="0"/>
              <w:rPr>
                <w:sz w:val="17"/>
                <w:szCs w:val="17"/>
                <w:color w:val="auto"/>
              </w:rPr>
            </w:pP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$ 27,598</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(1,611)</w:t>
            </w:r>
          </w:p>
        </w:tc>
        <w:tc>
          <w:tcPr>
            <w:tcW w:w="32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$ 27,922</w:t>
            </w:r>
          </w:p>
        </w:tc>
      </w:tr>
      <w:tr>
        <w:trPr>
          <w:trHeight w:val="203"/>
        </w:trPr>
        <w:tc>
          <w:tcPr>
            <w:tcW w:w="3960" w:type="dxa"/>
            <w:vAlign w:val="bottom"/>
          </w:tcPr>
          <w:p>
            <w:pPr>
              <w:spacing w:after="0"/>
              <w:rPr>
                <w:sz w:val="17"/>
                <w:szCs w:val="17"/>
                <w:color w:val="auto"/>
              </w:rPr>
            </w:pP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960" w:type="dxa"/>
            <w:vAlign w:val="bottom"/>
          </w:tcPr>
          <w:p>
            <w:pPr>
              <w:spacing w:after="0"/>
              <w:rPr>
                <w:sz w:val="24"/>
                <w:szCs w:val="24"/>
                <w:color w:val="auto"/>
              </w:rPr>
            </w:pPr>
          </w:p>
        </w:tc>
        <w:tc>
          <w:tcPr>
            <w:tcW w:w="2580" w:type="dxa"/>
            <w:vAlign w:val="bottom"/>
          </w:tcPr>
          <w:p>
            <w:pPr>
              <w:jc w:val="right"/>
              <w:ind w:right="2132"/>
              <w:spacing w:after="0"/>
              <w:rPr>
                <w:sz w:val="20"/>
                <w:szCs w:val="20"/>
                <w:color w:val="auto"/>
              </w:rPr>
            </w:pPr>
            <w:r>
              <w:rPr>
                <w:rFonts w:ascii="Courier New" w:cs="Courier New" w:eastAsia="Courier New" w:hAnsi="Courier New"/>
                <w:sz w:val="18"/>
                <w:szCs w:val="18"/>
                <w:color w:val="auto"/>
              </w:rPr>
              <w:t>P-1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860"/>
          </w:cols>
          <w:pgMar w:left="240" w:top="717" w:right="79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569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72</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1,551</w:t>
            </w:r>
          </w:p>
        </w:tc>
        <w:tc>
          <w:tcPr>
            <w:tcW w:w="5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242</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1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182</w:t>
            </w:r>
          </w:p>
        </w:tc>
        <w:tc>
          <w:tcPr>
            <w:tcW w:w="5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payable - current portion</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(300)</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2,302</w:t>
            </w:r>
          </w:p>
        </w:tc>
        <w:tc>
          <w:tcPr>
            <w:tcW w:w="5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624</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2,626</w:t>
            </w:r>
          </w:p>
        </w:tc>
      </w:tr>
      <w:tr>
        <w:trPr>
          <w:trHeight w:val="405"/>
        </w:trPr>
        <w:tc>
          <w:tcPr>
            <w:tcW w:w="5120" w:type="dxa"/>
            <w:vAlign w:val="bottom"/>
          </w:tcPr>
          <w:p>
            <w:pPr>
              <w:ind w:left="220"/>
              <w:spacing w:after="0"/>
              <w:rPr>
                <w:sz w:val="20"/>
                <w:szCs w:val="20"/>
                <w:color w:val="auto"/>
              </w:rPr>
            </w:pPr>
            <w:r>
              <w:rPr>
                <w:rFonts w:ascii="Courier New" w:cs="Courier New" w:eastAsia="Courier New" w:hAnsi="Courier New"/>
                <w:sz w:val="18"/>
                <w:szCs w:val="18"/>
                <w:color w:val="auto"/>
              </w:rPr>
              <w:t>Capital lease obligations</w:t>
            </w:r>
          </w:p>
        </w:tc>
        <w:tc>
          <w:tcPr>
            <w:tcW w:w="16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48</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48</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payable - long-term portion</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liability</w:t>
            </w:r>
          </w:p>
        </w:tc>
        <w:tc>
          <w:tcPr>
            <w:tcW w:w="1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746</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w:t>
            </w:r>
          </w:p>
        </w:tc>
      </w:tr>
      <w:tr>
        <w:trPr>
          <w:trHeight w:val="203"/>
        </w:trPr>
        <w:tc>
          <w:tcPr>
            <w:tcW w:w="5120" w:type="dxa"/>
            <w:vAlign w:val="bottom"/>
          </w:tcPr>
          <w:p>
            <w:pPr>
              <w:spacing w:after="0"/>
              <w:rPr>
                <w:sz w:val="17"/>
                <w:szCs w:val="17"/>
                <w:color w:val="auto"/>
              </w:rPr>
            </w:pP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3,096</w:t>
            </w:r>
          </w:p>
        </w:tc>
        <w:tc>
          <w:tcPr>
            <w:tcW w:w="5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1,049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3,420</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w:t>
            </w:r>
          </w:p>
        </w:tc>
        <w:tc>
          <w:tcPr>
            <w:tcW w:w="5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4,137</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(4,137)</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8,963</w:t>
            </w:r>
          </w:p>
        </w:tc>
        <w:tc>
          <w:tcPr>
            <w:tcW w:w="5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4,048</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(4,048)</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8,963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 (accumulated deficit)</w:t>
            </w:r>
          </w:p>
        </w:tc>
        <w:tc>
          <w:tcPr>
            <w:tcW w:w="1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15,530</w:t>
            </w:r>
          </w:p>
        </w:tc>
        <w:tc>
          <w:tcPr>
            <w:tcW w:w="58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(7,299)</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7,299</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15,530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24,502</w:t>
            </w:r>
          </w:p>
        </w:tc>
        <w:tc>
          <w:tcPr>
            <w:tcW w:w="58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886</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24,502</w:t>
            </w:r>
          </w:p>
        </w:tc>
      </w:tr>
      <w:tr>
        <w:trPr>
          <w:trHeight w:val="203"/>
        </w:trPr>
        <w:tc>
          <w:tcPr>
            <w:tcW w:w="5120" w:type="dxa"/>
            <w:vAlign w:val="bottom"/>
          </w:tcPr>
          <w:p>
            <w:pPr>
              <w:spacing w:after="0"/>
              <w:rPr>
                <w:sz w:val="17"/>
                <w:szCs w:val="17"/>
                <w:color w:val="auto"/>
              </w:rPr>
            </w:pP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$ 27,598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1,935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(1,611)</w:t>
            </w:r>
          </w:p>
        </w:tc>
        <w:tc>
          <w:tcPr>
            <w:tcW w:w="3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$ 27,922</w:t>
            </w:r>
          </w:p>
        </w:tc>
      </w:tr>
      <w:tr>
        <w:trPr>
          <w:trHeight w:val="203"/>
        </w:trPr>
        <w:tc>
          <w:tcPr>
            <w:tcW w:w="5120" w:type="dxa"/>
            <w:vAlign w:val="bottom"/>
          </w:tcPr>
          <w:p>
            <w:pPr>
              <w:spacing w:after="0"/>
              <w:rPr>
                <w:sz w:val="17"/>
                <w:szCs w:val="17"/>
                <w:color w:val="auto"/>
              </w:rPr>
            </w:pP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See  accompanying  notes to unaudited  pro forma</w:t>
            </w:r>
          </w:p>
        </w:tc>
        <w:tc>
          <w:tcPr>
            <w:tcW w:w="16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condensed</w:t>
            </w:r>
          </w:p>
        </w:tc>
        <w:tc>
          <w:tcPr>
            <w:tcW w:w="302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combined  financial</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P-2</w:t>
      </w:r>
    </w:p>
    <w:p>
      <w:pPr>
        <w:sectPr>
          <w:pgSz w:w="11900" w:h="16838" w:orient="portrait"/>
          <w:cols w:equalWidth="0" w:num="1">
            <w:col w:w="10640"/>
          </w:cols>
          <w:pgMar w:left="240" w:top="919" w:right="1019" w:bottom="1440" w:gutter="0" w:footer="0" w:header="0"/>
        </w:sectPr>
      </w:pPr>
    </w:p>
    <w:bookmarkStart w:id="68" w:name="page69"/>
    <w:bookmarkEnd w:id="68"/>
    <w:p>
      <w:pPr>
        <w:jc w:val="center"/>
        <w:ind w:right="1360"/>
        <w:spacing w:after="0"/>
        <w:rPr>
          <w:sz w:val="20"/>
          <w:szCs w:val="20"/>
          <w:color w:val="auto"/>
        </w:rPr>
      </w:pPr>
      <w:r>
        <w:rPr>
          <w:rFonts w:ascii="Courier New" w:cs="Courier New" w:eastAsia="Courier New" w:hAnsi="Courier New"/>
          <w:sz w:val="18"/>
          <w:szCs w:val="18"/>
          <w:color w:val="auto"/>
        </w:rPr>
        <w:t>Unaudited Pro Forma Condensed Combined Statement of Operations For the year ended June 30, 2001 (Historical)</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17"/>
                <w:szCs w:val="17"/>
                <w:color w:val="auto"/>
              </w:rPr>
            </w:pPr>
          </w:p>
        </w:tc>
        <w:tc>
          <w:tcPr>
            <w:tcW w:w="1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Ivron</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Pro Forma</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Systems, Ltd.</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`000s)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`000s)</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39,878</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608</w:t>
            </w:r>
          </w:p>
        </w:tc>
        <w:tc>
          <w:tcPr>
            <w:tcW w:w="142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40,486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16,503</w:t>
            </w:r>
          </w:p>
        </w:tc>
        <w:tc>
          <w:tcPr>
            <w:tcW w:w="36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798</w:t>
            </w: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17,301</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23,375</w:t>
            </w:r>
          </w:p>
        </w:tc>
        <w:tc>
          <w:tcPr>
            <w:tcW w:w="36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(190)</w:t>
            </w: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23,185</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7,753</w:t>
            </w:r>
          </w:p>
        </w:tc>
        <w:tc>
          <w:tcPr>
            <w:tcW w:w="36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1,588</w:t>
            </w: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9,341</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4,649</w:t>
            </w:r>
          </w:p>
        </w:tc>
        <w:tc>
          <w:tcPr>
            <w:tcW w:w="36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555</w:t>
            </w: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5,204</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product development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2,502</w:t>
            </w:r>
          </w:p>
        </w:tc>
        <w:tc>
          <w:tcPr>
            <w:tcW w:w="36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732</w:t>
            </w: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3,234</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14,904</w:t>
            </w:r>
          </w:p>
        </w:tc>
        <w:tc>
          <w:tcPr>
            <w:tcW w:w="36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2,875</w:t>
            </w: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17,779</w:t>
            </w:r>
          </w:p>
        </w:tc>
      </w:tr>
      <w:tr>
        <w:trPr>
          <w:trHeight w:val="405"/>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rPr>
              <w:t>Operating income (loss)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8,471</w:t>
            </w:r>
          </w:p>
        </w:tc>
        <w:tc>
          <w:tcPr>
            <w:tcW w:w="36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(3,065)</w:t>
            </w:r>
          </w:p>
        </w:tc>
        <w:tc>
          <w:tcPr>
            <w:tcW w:w="142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5,406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397</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373</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373</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8,844</w:t>
            </w:r>
          </w:p>
        </w:tc>
        <w:tc>
          <w:tcPr>
            <w:tcW w:w="36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(3,065)</w:t>
            </w: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(3,319)</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(3,319)</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5,525</w:t>
            </w:r>
          </w:p>
        </w:tc>
        <w:tc>
          <w:tcPr>
            <w:tcW w:w="36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(3,065)</w:t>
            </w: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2,460</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0.64</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0.29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common share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0.61</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8,593,510</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8,593,510</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9,015,644</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9,015,644</w:t>
            </w:r>
          </w:p>
        </w:tc>
      </w:tr>
    </w:tbl>
    <w:p>
      <w:pPr>
        <w:spacing w:after="0" w:line="200" w:lineRule="exact"/>
        <w:rPr>
          <w:sz w:val="20"/>
          <w:szCs w:val="20"/>
          <w:color w:val="auto"/>
        </w:rPr>
      </w:pPr>
    </w:p>
    <w:p>
      <w:pPr>
        <w:spacing w:after="0" w:line="209" w:lineRule="exact"/>
        <w:rPr>
          <w:sz w:val="20"/>
          <w:szCs w:val="20"/>
          <w:color w:val="auto"/>
        </w:rPr>
      </w:pPr>
    </w:p>
    <w:p>
      <w:pPr>
        <w:ind w:right="2420"/>
        <w:spacing w:after="0" w:line="235" w:lineRule="auto"/>
        <w:rPr>
          <w:sz w:val="20"/>
          <w:szCs w:val="20"/>
          <w:color w:val="auto"/>
        </w:rPr>
      </w:pPr>
      <w:r>
        <w:rPr>
          <w:rFonts w:ascii="Courier New" w:cs="Courier New" w:eastAsia="Courier New" w:hAnsi="Courier New"/>
          <w:sz w:val="18"/>
          <w:szCs w:val="18"/>
          <w:color w:val="auto"/>
        </w:rPr>
        <w:t>See accompanying notes to unaudited pro forma condensed combined financial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P-3</w:t>
      </w:r>
    </w:p>
    <w:p>
      <w:pPr>
        <w:sectPr>
          <w:pgSz w:w="11900" w:h="16838" w:orient="portrait"/>
          <w:cols w:equalWidth="0" w:num="1">
            <w:col w:w="10860"/>
          </w:cols>
          <w:pgMar w:left="240" w:top="1128" w:right="799"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NOTES TO UNAUDITED PRO FORMA CONDENSED</w:t>
      </w:r>
    </w:p>
    <w:p>
      <w:pPr>
        <w:ind w:left="2740"/>
        <w:spacing w:after="0" w:line="238" w:lineRule="auto"/>
        <w:rPr>
          <w:sz w:val="20"/>
          <w:szCs w:val="20"/>
          <w:color w:val="auto"/>
        </w:rPr>
      </w:pPr>
      <w:r>
        <w:rPr>
          <w:rFonts w:ascii="Courier New" w:cs="Courier New" w:eastAsia="Courier New" w:hAnsi="Courier New"/>
          <w:sz w:val="18"/>
          <w:szCs w:val="18"/>
          <w:color w:val="auto"/>
        </w:rPr>
        <w:t>COMBINED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w:t>
      </w:r>
    </w:p>
    <w:p>
      <w:pPr>
        <w:ind w:left="860"/>
        <w:spacing w:after="0" w:line="238" w:lineRule="auto"/>
        <w:rPr>
          <w:sz w:val="20"/>
          <w:szCs w:val="20"/>
          <w:color w:val="auto"/>
        </w:rPr>
      </w:pPr>
      <w:r>
        <w:rPr>
          <w:rFonts w:ascii="Courier New" w:cs="Courier New" w:eastAsia="Courier New" w:hAnsi="Courier New"/>
          <w:sz w:val="18"/>
          <w:szCs w:val="18"/>
          <w:color w:val="auto"/>
        </w:rPr>
        <w:t>On October 3, 2001, Gentner executed its share purchase agreement with</w:t>
      </w:r>
    </w:p>
    <w:p>
      <w:pPr>
        <w:spacing w:after="0"/>
        <w:rPr>
          <w:sz w:val="20"/>
          <w:szCs w:val="20"/>
          <w:color w:val="auto"/>
        </w:rPr>
      </w:pPr>
      <w:r>
        <w:rPr>
          <w:rFonts w:ascii="Courier New" w:cs="Courier New" w:eastAsia="Courier New" w:hAnsi="Courier New"/>
          <w:sz w:val="18"/>
          <w:szCs w:val="18"/>
          <w:color w:val="auto"/>
        </w:rPr>
        <w:t>Ivron. Under the terms of the agreement, Gentner purchased the cash, accounts</w:t>
      </w:r>
    </w:p>
    <w:p>
      <w:pPr>
        <w:spacing w:after="0" w:line="237" w:lineRule="auto"/>
        <w:rPr>
          <w:sz w:val="20"/>
          <w:szCs w:val="20"/>
          <w:color w:val="auto"/>
        </w:rPr>
      </w:pPr>
      <w:r>
        <w:rPr>
          <w:rFonts w:ascii="Courier New" w:cs="Courier New" w:eastAsia="Courier New" w:hAnsi="Courier New"/>
          <w:sz w:val="18"/>
          <w:szCs w:val="18"/>
          <w:color w:val="auto"/>
        </w:rPr>
        <w:t>receivable, fixed assets, inventory, certain other assets, and technological</w:t>
      </w:r>
    </w:p>
    <w:p>
      <w:pPr>
        <w:spacing w:after="0" w:line="238" w:lineRule="auto"/>
        <w:rPr>
          <w:sz w:val="20"/>
          <w:szCs w:val="20"/>
          <w:color w:val="auto"/>
        </w:rPr>
      </w:pPr>
      <w:r>
        <w:rPr>
          <w:rFonts w:ascii="Courier New" w:cs="Courier New" w:eastAsia="Courier New" w:hAnsi="Courier New"/>
          <w:sz w:val="18"/>
          <w:szCs w:val="18"/>
          <w:color w:val="auto"/>
        </w:rPr>
        <w:t>infrastructure, including patents, of Ivron. Gentner also assumed the accounts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payable, accrued expenses and capital lease obligations of Ivron. Gentner issued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of $6,000,000 for all issued and outstanding shares of Ivron, cash of</w:t>
      </w:r>
    </w:p>
    <w:p>
      <w:pPr>
        <w:spacing w:after="0" w:line="238" w:lineRule="auto"/>
        <w:rPr>
          <w:sz w:val="20"/>
          <w:szCs w:val="20"/>
          <w:color w:val="auto"/>
        </w:rPr>
      </w:pPr>
      <w:r>
        <w:rPr>
          <w:rFonts w:ascii="Courier New" w:cs="Courier New" w:eastAsia="Courier New" w:hAnsi="Courier New"/>
          <w:sz w:val="18"/>
          <w:szCs w:val="18"/>
          <w:color w:val="auto"/>
        </w:rPr>
        <w:t>$650,000 for all outstanding options to purchase common shares of Ivron, and</w:t>
      </w:r>
    </w:p>
    <w:p>
      <w:pPr>
        <w:spacing w:after="0"/>
        <w:rPr>
          <w:sz w:val="20"/>
          <w:szCs w:val="20"/>
          <w:color w:val="auto"/>
        </w:rPr>
      </w:pPr>
      <w:r>
        <w:rPr>
          <w:rFonts w:ascii="Courier New" w:cs="Courier New" w:eastAsia="Courier New" w:hAnsi="Courier New"/>
          <w:sz w:val="18"/>
          <w:szCs w:val="18"/>
          <w:color w:val="auto"/>
        </w:rPr>
        <w:t>incurred acquisition costs of $16,000 in the transaction. The following is a</w:t>
      </w:r>
    </w:p>
    <w:p>
      <w:pPr>
        <w:spacing w:after="0" w:line="237" w:lineRule="auto"/>
        <w:rPr>
          <w:sz w:val="20"/>
          <w:szCs w:val="20"/>
          <w:color w:val="auto"/>
        </w:rPr>
      </w:pPr>
      <w:r>
        <w:rPr>
          <w:rFonts w:ascii="Courier New" w:cs="Courier New" w:eastAsia="Courier New" w:hAnsi="Courier New"/>
          <w:sz w:val="18"/>
          <w:szCs w:val="18"/>
          <w:color w:val="auto"/>
        </w:rPr>
        <w:t>summary of the purchase price allocation (in thousands):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Cash</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6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w:t>
            </w:r>
          </w:p>
        </w:tc>
        <w:tc>
          <w:tcPr>
            <w:tcW w:w="6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6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 assets</w:t>
            </w:r>
          </w:p>
        </w:tc>
        <w:tc>
          <w:tcPr>
            <w:tcW w:w="6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6,064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6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Total</w:t>
            </w:r>
          </w:p>
        </w:tc>
        <w:tc>
          <w:tcPr>
            <w:tcW w:w="6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$6,666</w:t>
            </w:r>
          </w:p>
        </w:tc>
      </w:tr>
      <w:tr>
        <w:trPr>
          <w:trHeight w:val="203"/>
        </w:trPr>
        <w:tc>
          <w:tcPr>
            <w:tcW w:w="5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w:t>
      </w:r>
    </w:p>
    <w:p>
      <w:pPr>
        <w:spacing w:after="0" w:line="4"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The unaudited pro forma condensed combined balance sheet includes the adjustments necessary to give effect to the Ivron purchase as if it had occurred at June 30, 2001 as noted above. The unaudited pro forma condensed combined statement of operations includes the adjustments necessary to give effect to the Ivron purchase as if it had occurred on July 1, 2000, and include Ivron operations fo rthe last six months of the calendar year ended December 31, 2000 and the first six months of calendar year ended December 31, 2001.</w:t>
      </w:r>
    </w:p>
    <w:p>
      <w:pPr>
        <w:spacing w:after="0" w:line="188"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Adjustments included in the pro forma condensed combined financial statements are summarized as follows:</w:t>
      </w:r>
    </w:p>
    <w:p>
      <w:pPr>
        <w:spacing w:after="0" w:line="203"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outlay for acquisition includes:</w:t>
      </w:r>
    </w:p>
    <w:p>
      <w:pPr>
        <w:spacing w:after="0" w:line="4"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o$6,000,000 - Cash paid to purchase all of the issued and outstanding shares of Ivron as specified in the share purchase agreement.</w:t>
      </w:r>
    </w:p>
    <w:p>
      <w:pPr>
        <w:spacing w:after="0" w:line="5"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o$650,000 - Cash consideration paid to cancel all outstanding options to purchase shares of Ivron.</w:t>
      </w:r>
    </w:p>
    <w:p>
      <w:pPr>
        <w:spacing w:after="0" w:line="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$16,000 - Cash paid for costs associated with the acquisition.</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goodwill and other intangibles that were not purchased as part of the acquisition.</w:t>
      </w:r>
    </w:p>
    <w:p>
      <w:pPr>
        <w:spacing w:after="0" w:line="5"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o$975,000 - Goodwill from the acquisition of the Mentec Picturecom business purchased by Ivron on March 6, 1998.</w:t>
      </w:r>
    </w:p>
    <w:p>
      <w:pPr>
        <w:spacing w:after="0" w:line="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$34,000 - Intangibles consisting of software.</w:t>
      </w:r>
    </w:p>
    <w:p>
      <w:pPr>
        <w:ind w:left="540" w:hanging="532"/>
        <w:spacing w:after="0" w:line="238"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the equity of Ivron.</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represents goodwill of $6,064,000 and capitalized acquisition costs of approximately $16,000 for the year ended June 30, 2001. (F)</w:t>
      </w:r>
    </w:p>
    <w:p>
      <w:pPr>
        <w:spacing w:after="0" w:line="5"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the Ivron debt, which was paid in full prior to the closing of the transaction.</w:t>
      </w:r>
    </w:p>
    <w:p>
      <w:pPr>
        <w:spacing w:after="0" w:line="5"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intangible assets, including goodwill. As required under recently released FASB Statement No. 141 (FAS No. 141), Business Combinations, Gentner is required to allocate a portion of the purchase price to recognize goodwill and intangible assets apart from goodwill. Gentner, in</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P-4</w:t>
      </w:r>
    </w:p>
    <w:p>
      <w:pPr>
        <w:sectPr>
          <w:pgSz w:w="11900" w:h="16838" w:orient="portrait"/>
          <w:cols w:equalWidth="0" w:num="1">
            <w:col w:w="10219"/>
          </w:cols>
          <w:pgMar w:left="240" w:top="919" w:right="1440" w:bottom="1440" w:gutter="0" w:footer="0" w:header="0"/>
        </w:sectPr>
      </w:pPr>
    </w:p>
    <w:bookmarkStart w:id="70" w:name="page71"/>
    <w:bookmarkEnd w:id="70"/>
    <w:p>
      <w:pPr>
        <w:jc w:val="both"/>
        <w:ind w:right="1779"/>
        <w:spacing w:after="0" w:line="271" w:lineRule="auto"/>
        <w:rPr>
          <w:sz w:val="20"/>
          <w:szCs w:val="20"/>
          <w:color w:val="auto"/>
        </w:rPr>
      </w:pPr>
      <w:r>
        <w:rPr>
          <w:rFonts w:ascii="Courier New" w:cs="Courier New" w:eastAsia="Courier New" w:hAnsi="Courier New"/>
          <w:sz w:val="16"/>
          <w:szCs w:val="16"/>
          <w:color w:val="auto"/>
        </w:rPr>
        <w:t>conjunction with its advisors, is evaluating the new criteria established in FAS No. 141 to properly determine the value of each intangible asset that should be recognized apart from goodwill. In addition, as required under recently released FASB Statement No. 142 (FAS No. 142), Goodwill and Other Intangible Assets, a portion of the acquired intangible assets may be subject to amortization. Such potential amortization has not been reflected in the accompanying pro forma condensed combined statements of operations. If the amount reported is subsequently determined to be materially incorrect, revised pro forma financial statements will be issued.</w:t>
      </w:r>
    </w:p>
    <w:p>
      <w:pPr>
        <w:spacing w:after="0" w:line="38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P-5</w:t>
      </w:r>
    </w:p>
    <w:p>
      <w:pPr>
        <w:sectPr>
          <w:pgSz w:w="11900" w:h="16838" w:orient="portrait"/>
          <w:cols w:equalWidth="0" w:num="1">
            <w:col w:w="9679"/>
          </w:cols>
          <w:pgMar w:left="780" w:top="723" w:right="1440" w:bottom="1440" w:gutter="0" w:footer="0" w:header="0"/>
        </w:sectPr>
      </w:pPr>
    </w:p>
    <w:bookmarkStart w:id="71" w:name="page72"/>
    <w:bookmarkEnd w:id="71"/>
    <w:p>
      <w:pPr>
        <w:ind w:left="3480"/>
        <w:spacing w:after="0"/>
        <w:rPr>
          <w:sz w:val="20"/>
          <w:szCs w:val="20"/>
          <w:color w:val="auto"/>
        </w:rPr>
      </w:pPr>
      <w:r>
        <w:rPr>
          <w:rFonts w:ascii="Courier New" w:cs="Courier New" w:eastAsia="Courier New" w:hAnsi="Courier New"/>
          <w:sz w:val="18"/>
          <w:szCs w:val="18"/>
          <w:color w:val="auto"/>
        </w:rPr>
        <w:t>OCTOBER 3, 2001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Michael Peirce,</w:t>
      </w:r>
    </w:p>
    <w:p>
      <w:pPr>
        <w:ind w:left="3700"/>
        <w:spacing w:after="0" w:line="238" w:lineRule="auto"/>
        <w:rPr>
          <w:sz w:val="20"/>
          <w:szCs w:val="20"/>
          <w:color w:val="auto"/>
        </w:rPr>
      </w:pPr>
      <w:r>
        <w:rPr>
          <w:rFonts w:ascii="Courier New" w:cs="Courier New" w:eastAsia="Courier New" w:hAnsi="Courier New"/>
          <w:sz w:val="18"/>
          <w:szCs w:val="18"/>
          <w:color w:val="auto"/>
        </w:rPr>
        <w:t>Alex Peirce</w:t>
      </w:r>
    </w:p>
    <w:p>
      <w:pPr>
        <w:ind w:left="3160"/>
        <w:spacing w:after="0"/>
        <w:rPr>
          <w:sz w:val="20"/>
          <w:szCs w:val="20"/>
          <w:color w:val="auto"/>
        </w:rPr>
      </w:pPr>
      <w:r>
        <w:rPr>
          <w:rFonts w:ascii="Courier New" w:cs="Courier New" w:eastAsia="Courier New" w:hAnsi="Courier New"/>
          <w:sz w:val="18"/>
          <w:szCs w:val="18"/>
          <w:color w:val="auto"/>
        </w:rPr>
        <w:t>Mentor Capital Ltd.,</w:t>
      </w:r>
    </w:p>
    <w:p>
      <w:pPr>
        <w:ind w:left="3700"/>
        <w:spacing w:after="0" w:line="237" w:lineRule="auto"/>
        <w:rPr>
          <w:sz w:val="20"/>
          <w:szCs w:val="20"/>
          <w:color w:val="auto"/>
        </w:rPr>
      </w:pPr>
      <w:r>
        <w:rPr>
          <w:rFonts w:ascii="Courier New" w:cs="Courier New" w:eastAsia="Courier New" w:hAnsi="Courier New"/>
          <w:sz w:val="18"/>
          <w:szCs w:val="18"/>
          <w:color w:val="auto"/>
        </w:rPr>
        <w:t>Dave Nelson</w:t>
      </w:r>
    </w:p>
    <w:p>
      <w:pPr>
        <w:ind w:left="3700"/>
        <w:spacing w:after="0" w:line="238" w:lineRule="auto"/>
        <w:rPr>
          <w:sz w:val="20"/>
          <w:szCs w:val="20"/>
          <w:color w:val="auto"/>
        </w:rPr>
      </w:pPr>
      <w:r>
        <w:rPr>
          <w:rFonts w:ascii="Courier New" w:cs="Courier New" w:eastAsia="Courier New" w:hAnsi="Courier New"/>
          <w:sz w:val="18"/>
          <w:szCs w:val="18"/>
          <w:color w:val="auto"/>
        </w:rPr>
        <w:t>David Smyth</w:t>
      </w:r>
    </w:p>
    <w:p>
      <w:pPr>
        <w:ind w:left="3580"/>
        <w:spacing w:after="0"/>
        <w:rPr>
          <w:sz w:val="20"/>
          <w:szCs w:val="20"/>
          <w:color w:val="auto"/>
        </w:rPr>
      </w:pPr>
      <w:r>
        <w:rPr>
          <w:rFonts w:ascii="Courier New" w:cs="Courier New" w:eastAsia="Courier New" w:hAnsi="Courier New"/>
          <w:sz w:val="18"/>
          <w:szCs w:val="18"/>
          <w:color w:val="auto"/>
        </w:rPr>
        <w:t>Joe Stockton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(collectively, Seller)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Gentner Ventures,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"Purchaser")</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("Gentner")</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SHARE PURCHASE AGREEMENT</w:t>
      </w:r>
    </w:p>
    <w:p>
      <w:pPr>
        <w:ind w:left="3700"/>
        <w:spacing w:after="0" w:line="238" w:lineRule="auto"/>
        <w:rPr>
          <w:sz w:val="20"/>
          <w:szCs w:val="20"/>
          <w:color w:val="auto"/>
        </w:rPr>
      </w:pPr>
      <w:r>
        <w:rPr>
          <w:rFonts w:ascii="Courier New" w:cs="Courier New" w:eastAsia="Courier New" w:hAnsi="Courier New"/>
          <w:sz w:val="18"/>
          <w:szCs w:val="18"/>
          <w:color w:val="auto"/>
        </w:rPr>
        <w:t>relating to</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IVRON SYSTEMS, LTD.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200" w:val="left"/>
          <w:tab w:leader="none" w:pos="3460" w:val="left"/>
        </w:tabs>
        <w:rPr>
          <w:sz w:val="20"/>
          <w:szCs w:val="20"/>
          <w:color w:val="auto"/>
        </w:rPr>
      </w:pPr>
      <w:r>
        <w:rPr>
          <w:rFonts w:ascii="Courier New" w:cs="Courier New" w:eastAsia="Courier New" w:hAnsi="Courier New"/>
          <w:sz w:val="18"/>
          <w:szCs w:val="18"/>
          <w:color w:val="auto"/>
        </w:rPr>
        <w:t>AGREEMENT made the</w:t>
      </w:r>
      <w:r>
        <w:rPr>
          <w:sz w:val="20"/>
          <w:szCs w:val="20"/>
          <w:color w:val="auto"/>
        </w:rPr>
        <w:tab/>
      </w:r>
      <w:r>
        <w:rPr>
          <w:rFonts w:ascii="Courier New" w:cs="Courier New" w:eastAsia="Courier New" w:hAnsi="Courier New"/>
          <w:sz w:val="18"/>
          <w:szCs w:val="18"/>
          <w:color w:val="auto"/>
        </w:rPr>
        <w:t>3rd day of</w:t>
      </w:r>
      <w:r>
        <w:rPr>
          <w:sz w:val="20"/>
          <w:szCs w:val="20"/>
          <w:color w:val="auto"/>
        </w:rPr>
        <w:tab/>
      </w:r>
      <w:r>
        <w:rPr>
          <w:rFonts w:ascii="Courier New" w:cs="Courier New" w:eastAsia="Courier New" w:hAnsi="Courier New"/>
          <w:sz w:val="16"/>
          <w:szCs w:val="16"/>
          <w:color w:val="auto"/>
        </w:rPr>
        <w:t>October 3,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ind w:left="540" w:right="177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Michael Peirce, Mentor Capital Ltd., Alex Peirce, Dave Nelson, David Smyth, Joe Stockton (collectively, the "Seller");</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6"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Gentner Ventures, Inc. ("Purchaser"), a company organized under the laws of the State of Utah, United States, having its executive office at 1825 Research Way, Salt Lake City, UT 84119,</w:t>
      </w:r>
    </w:p>
    <w:p>
      <w:pPr>
        <w:spacing w:after="0" w:line="20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6"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Gentner Communications Corporation, a company organized under the laws of the State of Utah, United States, having its executive office at 1825 Research Way, Salt Lake City, UT 84119, ("Gentner")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left="540" w:right="1779" w:hanging="532"/>
        <w:spacing w:after="0" w:line="275" w:lineRule="auto"/>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is the beneficial owner of the entire issued share capital of Ivron Systems, Ltd.("the Company"), particulars of which are set out in Part 1 of Schedule 1 and the Company is the beneficial owner (directly or indirectly) of the whole of the issued share capital of Ivron Systems Inc.,</w:t>
      </w:r>
    </w:p>
    <w:p>
      <w:pPr>
        <w:sectPr>
          <w:pgSz w:w="11900" w:h="16838" w:orient="portrait"/>
          <w:cols w:equalWidth="0" w:num="1">
            <w:col w:w="10219"/>
          </w:cols>
          <w:pgMar w:left="240" w:top="1352" w:right="1440" w:bottom="0" w:gutter="0" w:footer="0" w:header="0"/>
        </w:sectPr>
      </w:pPr>
    </w:p>
    <w:bookmarkStart w:id="72" w:name="page73"/>
    <w:bookmarkEnd w:id="72"/>
    <w:p>
      <w:pPr>
        <w:ind w:left="540" w:right="1779"/>
        <w:spacing w:after="0" w:line="235" w:lineRule="auto"/>
        <w:rPr>
          <w:sz w:val="20"/>
          <w:szCs w:val="20"/>
          <w:color w:val="auto"/>
        </w:rPr>
      </w:pPr>
      <w:r>
        <w:rPr>
          <w:rFonts w:ascii="Courier New" w:cs="Courier New" w:eastAsia="Courier New" w:hAnsi="Courier New"/>
          <w:sz w:val="18"/>
          <w:szCs w:val="18"/>
          <w:color w:val="auto"/>
        </w:rPr>
        <w:t>a Delaware corporation (the "Subsidiaries"), particulars of which are set out in Part 2 of Schedule 1.</w:t>
      </w:r>
    </w:p>
    <w:p>
      <w:pPr>
        <w:spacing w:after="0" w:line="208" w:lineRule="exact"/>
        <w:rPr>
          <w:sz w:val="20"/>
          <w:szCs w:val="20"/>
          <w:color w:val="auto"/>
        </w:rPr>
      </w:pPr>
    </w:p>
    <w:p>
      <w:pPr>
        <w:jc w:val="both"/>
        <w:ind w:left="540" w:right="1779" w:hanging="532"/>
        <w:spacing w:after="0" w:line="23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as beneficial owner has agreed to sell and Purchaser agreed to purchase the entire issued share capital of the Company from the Seller on the terms and subject to the conditions of this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NOW  IT IS  HEREBY  AGREED</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w w:val="94"/>
              </w:rPr>
              <w:t>that  in</w:t>
            </w:r>
          </w:p>
        </w:tc>
        <w:tc>
          <w:tcPr>
            <w:tcW w:w="1680" w:type="dxa"/>
            <w:vAlign w:val="bottom"/>
          </w:tcPr>
          <w:p>
            <w:pPr>
              <w:ind w:left="220"/>
              <w:spacing w:after="0"/>
              <w:rPr>
                <w:sz w:val="20"/>
                <w:szCs w:val="20"/>
                <w:color w:val="auto"/>
              </w:rPr>
            </w:pPr>
            <w:r>
              <w:rPr>
                <w:rFonts w:ascii="Courier New" w:cs="Courier New" w:eastAsia="Courier New" w:hAnsi="Courier New"/>
                <w:sz w:val="18"/>
                <w:szCs w:val="18"/>
                <w:color w:val="auto"/>
              </w:rPr>
              <w:t>consideration</w:t>
            </w:r>
          </w:p>
        </w:tc>
        <w:tc>
          <w:tcPr>
            <w:tcW w:w="840" w:type="dxa"/>
            <w:vAlign w:val="bottom"/>
          </w:tcPr>
          <w:p>
            <w:pPr>
              <w:ind w:left="120"/>
              <w:spacing w:after="0"/>
              <w:rPr>
                <w:sz w:val="20"/>
                <w:szCs w:val="20"/>
                <w:color w:val="auto"/>
              </w:rPr>
            </w:pPr>
            <w:r>
              <w:rPr>
                <w:rFonts w:ascii="Courier New" w:cs="Courier New" w:eastAsia="Courier New" w:hAnsi="Courier New"/>
                <w:sz w:val="18"/>
                <w:szCs w:val="18"/>
                <w:color w:val="auto"/>
                <w:w w:val="92"/>
              </w:rPr>
              <w:t>of  the</w:t>
            </w:r>
          </w:p>
        </w:tc>
        <w:tc>
          <w:tcPr>
            <w:tcW w:w="10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mutual</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covenants,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conditions,  agreements,</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warranties</w:t>
            </w:r>
          </w:p>
        </w:tc>
        <w:tc>
          <w:tcPr>
            <w:tcW w:w="1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payments</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hereinafter</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forth  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provided  for the  parties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hereto</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respectively  covenant</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with</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each</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as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follows:-</w:t>
            </w: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7" w:lineRule="exact"/>
        <w:rPr>
          <w:sz w:val="20"/>
          <w:szCs w:val="20"/>
          <w:color w:val="auto"/>
        </w:rPr>
      </w:pPr>
    </w:p>
    <w:p>
      <w:pPr>
        <w:ind w:right="6519" w:firstLine="8"/>
        <w:spacing w:after="0" w:line="470" w:lineRule="auto"/>
        <w:tabs>
          <w:tab w:leader="none" w:pos="5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AND INTERPRETATION 1.1 Defined Terms</w:t>
      </w:r>
    </w:p>
    <w:p>
      <w:pPr>
        <w:spacing w:after="0" w:line="12" w:lineRule="exact"/>
        <w:rPr>
          <w:sz w:val="20"/>
          <w:szCs w:val="20"/>
          <w:color w:val="auto"/>
        </w:rPr>
      </w:pPr>
    </w:p>
    <w:p>
      <w:pPr>
        <w:jc w:val="both"/>
        <w:ind w:left="540" w:right="1779"/>
        <w:spacing w:after="0" w:line="235" w:lineRule="auto"/>
        <w:rPr>
          <w:sz w:val="20"/>
          <w:szCs w:val="20"/>
          <w:color w:val="auto"/>
        </w:rPr>
      </w:pPr>
      <w:r>
        <w:rPr>
          <w:rFonts w:ascii="Courier New" w:cs="Courier New" w:eastAsia="Courier New" w:hAnsi="Courier New"/>
          <w:sz w:val="18"/>
          <w:szCs w:val="18"/>
          <w:color w:val="auto"/>
        </w:rPr>
        <w:t>In this Agreement and in the Schedules unless the context otherwise requires or unless otherwise specified:-</w:t>
      </w:r>
    </w:p>
    <w:p>
      <w:pPr>
        <w:spacing w:after="0" w:line="203"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"Adverse</w:t>
        <w:tab/>
        <w:t>Consequences"</w:t>
      </w:r>
    </w:p>
    <w:p>
      <w:pPr>
        <w:spacing w:after="0" w:line="4"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means all actions, suits, proceedings, hearings, investigations, charges, complaints, claims, demands, injunctions, judgments, orders, decrees, rulings, damages, dues, penalties, fines, costs, amounts paid in settlement, liabilities, obligations, Taxes, liens, losses, expenses, and fees, including court costs and reasonable attorneys' fees and expenses.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73" w:name="page74"/>
    <w:bookmarkEnd w:id="73"/>
    <w:p>
      <w:pPr>
        <w:ind w:left="5"/>
        <w:spacing w:after="0"/>
        <w:rPr>
          <w:sz w:val="20"/>
          <w:szCs w:val="20"/>
          <w:color w:val="auto"/>
        </w:rPr>
      </w:pPr>
      <w:r>
        <w:rPr>
          <w:rFonts w:ascii="Courier New" w:cs="Courier New" w:eastAsia="Courier New" w:hAnsi="Courier New"/>
          <w:sz w:val="18"/>
          <w:szCs w:val="18"/>
          <w:color w:val="auto"/>
        </w:rPr>
        <w:t>"the Authorisations"</w:t>
      </w:r>
    </w:p>
    <w:p>
      <w:pPr>
        <w:spacing w:after="0" w:line="4"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has the meaning ascribed to it in and for the purposes of paragraph 59 of Schedule 4;</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"Borrowings"</w:t>
      </w:r>
    </w:p>
    <w:p>
      <w:pPr>
        <w:spacing w:after="0" w:line="4"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means the aggregate principal amount for the time being outstanding of moneys borrowed by the Group Companies including (but not limited to):</w:t>
      </w:r>
    </w:p>
    <w:p>
      <w:pPr>
        <w:spacing w:after="0" w:line="208" w:lineRule="exact"/>
        <w:rPr>
          <w:sz w:val="20"/>
          <w:szCs w:val="20"/>
          <w:color w:val="auto"/>
        </w:rPr>
      </w:pPr>
    </w:p>
    <w:p>
      <w:pPr>
        <w:jc w:val="both"/>
        <w:ind w:left="525" w:right="1779" w:hanging="525"/>
        <w:spacing w:after="0" w:line="237" w:lineRule="auto"/>
        <w:tabs>
          <w:tab w:leader="none" w:pos="5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all liabilities whatsoever of any body whether corporate or unincorporated (including the Group Companies) which are not otherwise taken into account in this definition but the payment or repayment of which is for the time being guaranteed or wholly or partly secured by or is the subject of an indemnity given by a Group Company;</w:t>
      </w:r>
    </w:p>
    <w:p>
      <w:pPr>
        <w:spacing w:after="0" w:line="209"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raised by the Company by accommodation bills or acceptances under any acceptance credit or letter of credit opened on behalf of the Group Companies or by any bank or acceptance house or for which a Group Company is or may be liable in respect of any bill of exchange, promissory note or similar instrument;</w:t>
      </w:r>
    </w:p>
    <w:p>
      <w:pPr>
        <w:spacing w:after="0" w:line="208"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(together with any premium payable on redemption or repayment) of any debentures (whether secured or unsecured) of each Group Company;</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full amount of the installments from time to time outstanding under any hire purchase, leasing, factoring, credit or deferred payment agreement entered into by each Group Company requiring to be paid prior to the date on which the relevant agreement may be terminated without further liability to such company;</w:t>
      </w:r>
    </w:p>
    <w:p>
      <w:pPr>
        <w:spacing w:after="0" w:line="209" w:lineRule="exact"/>
        <w:rPr>
          <w:sz w:val="20"/>
          <w:szCs w:val="20"/>
          <w:color w:val="auto"/>
        </w:rPr>
      </w:pPr>
    </w:p>
    <w:p>
      <w:pPr>
        <w:jc w:val="both"/>
        <w:ind w:left="5" w:right="1779"/>
        <w:spacing w:after="0" w:line="236" w:lineRule="auto"/>
        <w:rPr>
          <w:sz w:val="20"/>
          <w:szCs w:val="20"/>
          <w:color w:val="auto"/>
        </w:rPr>
      </w:pPr>
      <w:r>
        <w:rPr>
          <w:rFonts w:ascii="Courier New" w:cs="Courier New" w:eastAsia="Courier New" w:hAnsi="Courier New"/>
          <w:sz w:val="18"/>
          <w:szCs w:val="18"/>
          <w:color w:val="auto"/>
        </w:rPr>
        <w:t>PROVIDED HOWEVER that there shall be excluded from the computation of the foregoing all moneys due to trade creditors in the ordinary and usual of business];</w:t>
      </w:r>
    </w:p>
    <w:p>
      <w:pPr>
        <w:spacing w:after="0" w:line="203" w:lineRule="exact"/>
        <w:rPr>
          <w:sz w:val="20"/>
          <w:szCs w:val="20"/>
          <w:color w:val="auto"/>
        </w:rPr>
      </w:pPr>
    </w:p>
    <w:p>
      <w:pPr>
        <w:ind w:left="5"/>
        <w:spacing w:after="0"/>
        <w:tabs>
          <w:tab w:leader="none" w:pos="1145" w:val="left"/>
        </w:tabs>
        <w:rPr>
          <w:sz w:val="20"/>
          <w:szCs w:val="20"/>
          <w:color w:val="auto"/>
        </w:rPr>
      </w:pPr>
      <w:r>
        <w:rPr>
          <w:rFonts w:ascii="Courier New" w:cs="Courier New" w:eastAsia="Courier New" w:hAnsi="Courier New"/>
          <w:sz w:val="18"/>
          <w:szCs w:val="18"/>
          <w:color w:val="auto"/>
        </w:rPr>
        <w:t>"Business</w:t>
      </w:r>
      <w:r>
        <w:rPr>
          <w:sz w:val="20"/>
          <w:szCs w:val="20"/>
          <w:color w:val="auto"/>
        </w:rPr>
        <w:tab/>
      </w:r>
      <w:r>
        <w:rPr>
          <w:rFonts w:ascii="Courier New" w:cs="Courier New" w:eastAsia="Courier New" w:hAnsi="Courier New"/>
          <w:sz w:val="16"/>
          <w:szCs w:val="16"/>
          <w:color w:val="auto"/>
        </w:rPr>
        <w:t>Day"</w:t>
      </w:r>
    </w:p>
    <w:p>
      <w:pPr>
        <w:spacing w:after="0" w:line="4" w:lineRule="exact"/>
        <w:rPr>
          <w:sz w:val="20"/>
          <w:szCs w:val="20"/>
          <w:color w:val="auto"/>
        </w:rPr>
      </w:pPr>
    </w:p>
    <w:p>
      <w:pPr>
        <w:jc w:val="both"/>
        <w:ind w:left="5" w:right="1779"/>
        <w:spacing w:after="0" w:line="235" w:lineRule="auto"/>
        <w:rPr>
          <w:sz w:val="20"/>
          <w:szCs w:val="20"/>
          <w:color w:val="auto"/>
        </w:rPr>
      </w:pPr>
      <w:r>
        <w:rPr>
          <w:rFonts w:ascii="Courier New" w:cs="Courier New" w:eastAsia="Courier New" w:hAnsi="Courier New"/>
          <w:sz w:val="18"/>
          <w:szCs w:val="18"/>
          <w:color w:val="auto"/>
        </w:rPr>
        <w:t>means a day (other than a Saturday or a Sunday) on which banks are open for business in Dublin and New York;</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"Completion"</w:t>
      </w:r>
    </w:p>
    <w:p>
      <w:pPr>
        <w:spacing w:after="0" w:line="4" w:lineRule="exact"/>
        <w:rPr>
          <w:sz w:val="20"/>
          <w:szCs w:val="20"/>
          <w:color w:val="auto"/>
        </w:rPr>
      </w:pPr>
    </w:p>
    <w:p>
      <w:pPr>
        <w:jc w:val="both"/>
        <w:ind w:left="5" w:right="1779"/>
        <w:spacing w:after="0" w:line="275" w:lineRule="auto"/>
        <w:rPr>
          <w:sz w:val="20"/>
          <w:szCs w:val="20"/>
          <w:color w:val="auto"/>
        </w:rPr>
      </w:pPr>
      <w:r>
        <w:rPr>
          <w:rFonts w:ascii="Courier New" w:cs="Courier New" w:eastAsia="Courier New" w:hAnsi="Courier New"/>
          <w:sz w:val="16"/>
          <w:szCs w:val="16"/>
          <w:color w:val="auto"/>
        </w:rPr>
        <w:t>means completion of the matters relating to the sale and purchase of the Shares hereunder pursuant to clause 5, contemplated to occur on October 4, 2001_, or such other date as mutually agreed by parties, at which time the closing of the transaction contemplated by this Agreement shall occur;</w:t>
      </w:r>
    </w:p>
    <w:p>
      <w:pPr>
        <w:spacing w:after="0" w:line="177" w:lineRule="exact"/>
        <w:rPr>
          <w:sz w:val="20"/>
          <w:szCs w:val="20"/>
          <w:color w:val="auto"/>
        </w:rPr>
      </w:pPr>
    </w:p>
    <w:p>
      <w:pPr>
        <w:ind w:left="5"/>
        <w:spacing w:after="0"/>
        <w:tabs>
          <w:tab w:leader="none" w:pos="1245" w:val="left"/>
        </w:tabs>
        <w:rPr>
          <w:sz w:val="20"/>
          <w:szCs w:val="20"/>
          <w:color w:val="auto"/>
        </w:rPr>
      </w:pPr>
      <w:r>
        <w:rPr>
          <w:rFonts w:ascii="Courier New" w:cs="Courier New" w:eastAsia="Courier New" w:hAnsi="Courier New"/>
          <w:sz w:val="18"/>
          <w:szCs w:val="18"/>
          <w:color w:val="auto"/>
        </w:rPr>
        <w:t>"Connected</w:t>
      </w:r>
      <w:r>
        <w:rPr>
          <w:sz w:val="20"/>
          <w:szCs w:val="20"/>
          <w:color w:val="auto"/>
        </w:rPr>
        <w:tab/>
      </w:r>
      <w:r>
        <w:rPr>
          <w:rFonts w:ascii="Courier New" w:cs="Courier New" w:eastAsia="Courier New" w:hAnsi="Courier New"/>
          <w:sz w:val="16"/>
          <w:szCs w:val="16"/>
          <w:color w:val="auto"/>
        </w:rPr>
        <w:t>Person"</w:t>
      </w:r>
    </w:p>
    <w:p>
      <w:pPr>
        <w:spacing w:after="0" w:line="4" w:lineRule="exact"/>
        <w:rPr>
          <w:sz w:val="20"/>
          <w:szCs w:val="20"/>
          <w:color w:val="auto"/>
        </w:rPr>
      </w:pPr>
    </w:p>
    <w:p>
      <w:pPr>
        <w:jc w:val="both"/>
        <w:ind w:left="5" w:right="1779"/>
        <w:spacing w:after="0" w:line="235" w:lineRule="auto"/>
        <w:rPr>
          <w:sz w:val="20"/>
          <w:szCs w:val="20"/>
          <w:color w:val="auto"/>
        </w:rPr>
      </w:pPr>
      <w:r>
        <w:rPr>
          <w:rFonts w:ascii="Courier New" w:cs="Courier New" w:eastAsia="Courier New" w:hAnsi="Courier New"/>
          <w:sz w:val="18"/>
          <w:szCs w:val="18"/>
          <w:color w:val="auto"/>
        </w:rPr>
        <w:t>means a person connected with a director of any Group Company for the purposes of Section 26 of the Companies Act, 1990;</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717" w:right="1440" w:bottom="1440" w:gutter="0" w:footer="0" w:header="0"/>
        </w:sectPr>
      </w:pPr>
    </w:p>
    <w:bookmarkStart w:id="74" w:name="page75"/>
    <w:bookmarkEnd w:id="74"/>
    <w:p>
      <w:pPr>
        <w:ind w:left="5"/>
        <w:spacing w:after="0"/>
        <w:rPr>
          <w:sz w:val="20"/>
          <w:szCs w:val="20"/>
          <w:color w:val="auto"/>
        </w:rPr>
      </w:pPr>
      <w:r>
        <w:rPr>
          <w:rFonts w:ascii="Courier New" w:cs="Courier New" w:eastAsia="Courier New" w:hAnsi="Courier New"/>
          <w:sz w:val="18"/>
          <w:szCs w:val="18"/>
          <w:color w:val="auto"/>
        </w:rPr>
        <w:t>"Consideration"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means the consideration for the sale of the shares as stated in clause 2.3;</w:t>
      </w:r>
    </w:p>
    <w:p>
      <w:pPr>
        <w:spacing w:after="0" w:line="200" w:lineRule="exact"/>
        <w:rPr>
          <w:sz w:val="20"/>
          <w:szCs w:val="20"/>
          <w:color w:val="auto"/>
        </w:rPr>
      </w:pPr>
    </w:p>
    <w:p>
      <w:pPr>
        <w:spacing w:after="0" w:line="22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"Directors"</w:t>
      </w:r>
    </w:p>
    <w:p>
      <w:pPr>
        <w:spacing w:after="0" w:line="4" w:lineRule="exact"/>
        <w:rPr>
          <w:sz w:val="20"/>
          <w:szCs w:val="20"/>
          <w:color w:val="auto"/>
        </w:rPr>
      </w:pPr>
    </w:p>
    <w:p>
      <w:pPr>
        <w:jc w:val="both"/>
        <w:ind w:left="5" w:right="1779"/>
        <w:spacing w:after="0" w:line="235" w:lineRule="auto"/>
        <w:rPr>
          <w:sz w:val="20"/>
          <w:szCs w:val="20"/>
          <w:color w:val="auto"/>
        </w:rPr>
      </w:pPr>
      <w:r>
        <w:rPr>
          <w:rFonts w:ascii="Courier New" w:cs="Courier New" w:eastAsia="Courier New" w:hAnsi="Courier New"/>
          <w:sz w:val="18"/>
          <w:szCs w:val="18"/>
          <w:color w:val="auto"/>
        </w:rPr>
        <w:t>means the following persons, whose names and addresses are set forth on the Disclosure Letter</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"Disclosure Letter"</w:t>
      </w:r>
    </w:p>
    <w:p>
      <w:pPr>
        <w:spacing w:after="0" w:line="4" w:lineRule="exact"/>
        <w:rPr>
          <w:sz w:val="20"/>
          <w:szCs w:val="20"/>
          <w:color w:val="auto"/>
        </w:rPr>
      </w:pPr>
    </w:p>
    <w:p>
      <w:pPr>
        <w:jc w:val="both"/>
        <w:ind w:left="5" w:right="1779"/>
        <w:spacing w:after="0" w:line="236" w:lineRule="auto"/>
        <w:rPr>
          <w:sz w:val="20"/>
          <w:szCs w:val="20"/>
          <w:color w:val="auto"/>
        </w:rPr>
      </w:pPr>
      <w:r>
        <w:rPr>
          <w:rFonts w:ascii="Courier New" w:cs="Courier New" w:eastAsia="Courier New" w:hAnsi="Courier New"/>
          <w:sz w:val="18"/>
          <w:szCs w:val="18"/>
          <w:color w:val="auto"/>
        </w:rPr>
        <w:t>means the letter of today's date and its annexures from the Seller's Solicitors to the Purchaser's Solicitors expressed to be a disclosure letter for the purposes of this Agreement;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"Deed of Indemnity"</w:t>
      </w:r>
    </w:p>
    <w:p>
      <w:pPr>
        <w:spacing w:after="0" w:line="4" w:lineRule="exact"/>
        <w:rPr>
          <w:sz w:val="20"/>
          <w:szCs w:val="20"/>
          <w:color w:val="auto"/>
        </w:rPr>
      </w:pPr>
    </w:p>
    <w:p>
      <w:pPr>
        <w:jc w:val="both"/>
        <w:ind w:left="5" w:right="1779"/>
        <w:spacing w:after="0" w:line="236" w:lineRule="auto"/>
        <w:rPr>
          <w:sz w:val="20"/>
          <w:szCs w:val="20"/>
          <w:color w:val="auto"/>
        </w:rPr>
      </w:pPr>
      <w:r>
        <w:rPr>
          <w:rFonts w:ascii="Courier New" w:cs="Courier New" w:eastAsia="Courier New" w:hAnsi="Courier New"/>
          <w:sz w:val="18"/>
          <w:szCs w:val="18"/>
          <w:color w:val="auto"/>
        </w:rPr>
        <w:t>means the deed of indemnity in the form set out in Schedule 2 to be entered into on Completion by the parties hereto in accordance with the terms of this Agreement.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"Encumbrance"</w:t>
      </w:r>
    </w:p>
    <w:p>
      <w:pPr>
        <w:ind w:left="5"/>
        <w:spacing w:after="0" w:line="238" w:lineRule="auto"/>
        <w:rPr>
          <w:sz w:val="20"/>
          <w:szCs w:val="20"/>
          <w:color w:val="auto"/>
        </w:rPr>
      </w:pPr>
      <w:r>
        <w:rPr>
          <w:rFonts w:ascii="Courier New" w:cs="Courier New" w:eastAsia="Courier New" w:hAnsi="Courier New"/>
          <w:sz w:val="18"/>
          <w:szCs w:val="18"/>
          <w:color w:val="auto"/>
        </w:rPr>
        <w:t>means:</w:t>
      </w:r>
    </w:p>
    <w:p>
      <w:pPr>
        <w:spacing w:after="0" w:line="202" w:lineRule="exact"/>
        <w:rPr>
          <w:sz w:val="20"/>
          <w:szCs w:val="20"/>
          <w:color w:val="auto"/>
        </w:rPr>
      </w:pPr>
    </w:p>
    <w:p>
      <w:pPr>
        <w:ind w:left="525" w:hanging="525"/>
        <w:spacing w:after="0"/>
        <w:tabs>
          <w:tab w:leader="none" w:pos="52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adverse claim or right or third party right;</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equity;</w:t>
      </w:r>
    </w:p>
    <w:p>
      <w:pPr>
        <w:spacing w:after="0" w:line="206"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mortgage, charge (whether fixed or floating), lease, assignment, hypothecation, pledge, lien, option, right of pre-emption or right to acquire or right to restrict or any other form of security interest or right or interest or encumbrance of whatsoever nature or any obligation (including any conditional obligation) to create any of the same;</w:t>
      </w:r>
    </w:p>
    <w:p>
      <w:pPr>
        <w:spacing w:after="0" w:line="204"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"Environment"</w:t>
      </w:r>
    </w:p>
    <w:p>
      <w:pPr>
        <w:ind w:left="5"/>
        <w:spacing w:after="0" w:line="238" w:lineRule="auto"/>
        <w:rPr>
          <w:sz w:val="20"/>
          <w:szCs w:val="20"/>
          <w:color w:val="auto"/>
        </w:rPr>
      </w:pPr>
      <w:r>
        <w:rPr>
          <w:rFonts w:ascii="Courier New" w:cs="Courier New" w:eastAsia="Courier New" w:hAnsi="Courier New"/>
          <w:sz w:val="18"/>
          <w:szCs w:val="18"/>
          <w:color w:val="auto"/>
        </w:rPr>
        <w:t>means:-</w:t>
      </w:r>
    </w:p>
    <w:p>
      <w:pPr>
        <w:spacing w:after="0" w:line="207" w:lineRule="exact"/>
        <w:rPr>
          <w:sz w:val="20"/>
          <w:szCs w:val="20"/>
          <w:color w:val="auto"/>
        </w:rPr>
      </w:pPr>
    </w:p>
    <w:p>
      <w:pPr>
        <w:jc w:val="both"/>
        <w:ind w:left="525" w:right="1779" w:hanging="525"/>
        <w:spacing w:after="0" w:line="236" w:lineRule="auto"/>
        <w:tabs>
          <w:tab w:leader="none" w:pos="52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buildings, structures, fixtures, fittings, appurtenances, pipes, conduits, valves, drains, servers, tanks, vessels and containers whether above or below ground level; and</w:t>
      </w:r>
    </w:p>
    <w:p>
      <w:pPr>
        <w:spacing w:after="0" w:line="208" w:lineRule="exact"/>
        <w:rPr>
          <w:rFonts w:ascii="Courier New" w:cs="Courier New" w:eastAsia="Courier New" w:hAnsi="Courier New"/>
          <w:sz w:val="18"/>
          <w:szCs w:val="18"/>
          <w:color w:val="auto"/>
        </w:rPr>
      </w:pPr>
    </w:p>
    <w:p>
      <w:pPr>
        <w:jc w:val="both"/>
        <w:ind w:left="5" w:right="1779" w:hanging="5"/>
        <w:spacing w:after="0" w:line="237" w:lineRule="auto"/>
        <w:tabs>
          <w:tab w:leader="none" w:pos="4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of the following media namely the air (including without limitation the air within buildings and the air within other natural or non-made structures above or below ground), water and land and any living organisms or systems supported by those media;</w:t>
      </w:r>
    </w:p>
    <w:p>
      <w:pPr>
        <w:spacing w:after="0" w:line="200" w:lineRule="exact"/>
        <w:rPr>
          <w:sz w:val="20"/>
          <w:szCs w:val="20"/>
          <w:color w:val="auto"/>
        </w:rPr>
      </w:pPr>
    </w:p>
    <w:p>
      <w:pPr>
        <w:spacing w:after="0" w:line="204"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"Examiner"</w:t>
      </w:r>
    </w:p>
    <w:p>
      <w:pPr>
        <w:spacing w:after="0" w:line="4"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means an Examiner appointed under Section 2 of the Companies (Amendment) Act, 1990;</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717"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"the Group"</w:t>
      </w:r>
    </w:p>
    <w:p>
      <w:pPr>
        <w:spacing w:after="0" w:line="238" w:lineRule="auto"/>
        <w:rPr>
          <w:sz w:val="20"/>
          <w:szCs w:val="20"/>
          <w:color w:val="auto"/>
        </w:rPr>
      </w:pPr>
      <w:r>
        <w:rPr>
          <w:rFonts w:ascii="Courier New" w:cs="Courier New" w:eastAsia="Courier New" w:hAnsi="Courier New"/>
          <w:sz w:val="18"/>
          <w:szCs w:val="18"/>
          <w:color w:val="auto"/>
        </w:rPr>
        <w:t>means the Company and the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 Company" or "Member of the Group"</w:t>
      </w:r>
    </w:p>
    <w:p>
      <w:pPr>
        <w:spacing w:after="0" w:line="238" w:lineRule="auto"/>
        <w:rPr>
          <w:sz w:val="20"/>
          <w:szCs w:val="20"/>
          <w:color w:val="auto"/>
        </w:rPr>
      </w:pPr>
      <w:r>
        <w:rPr>
          <w:rFonts w:ascii="Courier New" w:cs="Courier New" w:eastAsia="Courier New" w:hAnsi="Courier New"/>
          <w:sz w:val="18"/>
          <w:szCs w:val="18"/>
          <w:color w:val="auto"/>
        </w:rPr>
        <w:t>means any of the Company or the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"Insider"</w:t>
      </w:r>
    </w:p>
    <w:p>
      <w:pPr>
        <w:spacing w:after="0" w:line="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has the meaning ascribed to it in and for the purposes of paragraph 70 of Schedule 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Last Accounts Date"</w:t>
      </w:r>
    </w:p>
    <w:p>
      <w:pPr>
        <w:spacing w:after="0" w:line="238" w:lineRule="auto"/>
        <w:rPr>
          <w:sz w:val="20"/>
          <w:szCs w:val="20"/>
          <w:color w:val="auto"/>
        </w:rPr>
      </w:pPr>
      <w:r>
        <w:rPr>
          <w:rFonts w:ascii="Courier New" w:cs="Courier New" w:eastAsia="Courier New" w:hAnsi="Courier New"/>
          <w:sz w:val="18"/>
          <w:szCs w:val="18"/>
          <w:color w:val="auto"/>
        </w:rPr>
        <w:t>means December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"Optionees"</w:t>
      </w:r>
    </w:p>
    <w:p>
      <w:pPr>
        <w:spacing w:after="0" w:line="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means those former optionees of the Company as set forth on the Shareholder Matrix;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Schemes"</w:t>
      </w:r>
    </w:p>
    <w:p>
      <w:pPr>
        <w:spacing w:after="0" w:line="4"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means all existing pension schemes of or operated by or in relation to the Company, full particulars of which are set out in the Disclosure Letter;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Accounts"</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means the audited balance sheet as at the Last Accounts Date and the audited profit and loss account for the financial period ended on the Last Accounts Date of each Group Company, including in the case of the Company the audited consolidated balance sheet as at that date and the audited consolidated profit and loss account for that year and all notes thereto and the Directors' report and Auditors' report and all other documents and statements annexed thereto, copies of which are attached to the Disclosure Letter;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"Properties"</w:t>
      </w:r>
    </w:p>
    <w:p>
      <w:pPr>
        <w:spacing w:after="0" w:line="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means the properties of the Group particulars of which are set out in Schedule 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"Purchaser's Solicitors"</w:t>
      </w:r>
    </w:p>
    <w:p>
      <w:pPr>
        <w:spacing w:after="0" w:line="238" w:lineRule="auto"/>
        <w:rPr>
          <w:sz w:val="20"/>
          <w:szCs w:val="20"/>
          <w:color w:val="auto"/>
        </w:rPr>
      </w:pPr>
      <w:r>
        <w:rPr>
          <w:rFonts w:ascii="Courier New" w:cs="Courier New" w:eastAsia="Courier New" w:hAnsi="Courier New"/>
          <w:sz w:val="18"/>
          <w:szCs w:val="18"/>
          <w:color w:val="auto"/>
        </w:rPr>
        <w:t>means MASON HAYES &amp; CURRAN, SOLICITORS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Business"</w:t>
      </w:r>
    </w:p>
    <w:p>
      <w:pPr>
        <w:spacing w:after="0" w:line="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means the research, development and sale of videoconferencing software and hardware;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Territory"</w:t>
      </w:r>
    </w:p>
    <w:p>
      <w:pPr>
        <w:spacing w:after="0" w:line="238" w:lineRule="auto"/>
        <w:rPr>
          <w:sz w:val="20"/>
          <w:szCs w:val="20"/>
          <w:color w:val="auto"/>
        </w:rPr>
      </w:pPr>
      <w:r>
        <w:rPr>
          <w:rFonts w:ascii="Courier New" w:cs="Courier New" w:eastAsia="Courier New" w:hAnsi="Courier New"/>
          <w:sz w:val="18"/>
          <w:szCs w:val="18"/>
          <w:color w:val="auto"/>
        </w:rPr>
        <w:t>means the Republic of Ireland;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"SDCA"</w:t>
      </w:r>
    </w:p>
    <w:p>
      <w:pPr>
        <w:spacing w:after="0" w:line="238" w:lineRule="auto"/>
        <w:rPr>
          <w:sz w:val="20"/>
          <w:szCs w:val="20"/>
          <w:color w:val="auto"/>
        </w:rPr>
      </w:pPr>
      <w:r>
        <w:rPr>
          <w:rFonts w:ascii="Courier New" w:cs="Courier New" w:eastAsia="Courier New" w:hAnsi="Courier New"/>
          <w:sz w:val="18"/>
          <w:szCs w:val="18"/>
          <w:color w:val="auto"/>
        </w:rPr>
        <w:t>means the Stamp Duties Consolidation Act 1999, as amended;</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79"/>
          </w:cols>
          <w:pgMar w:left="780" w:top="717" w:right="1440" w:bottom="1440" w:gutter="0" w:footer="0" w:header="0"/>
        </w:sectPr>
      </w:pPr>
    </w:p>
    <w:bookmarkStart w:id="76" w:name="page77"/>
    <w:bookmarkEnd w:id="76"/>
    <w:p>
      <w:pPr>
        <w:ind w:left="540"/>
        <w:spacing w:after="0"/>
        <w:rPr>
          <w:sz w:val="20"/>
          <w:szCs w:val="20"/>
          <w:color w:val="auto"/>
        </w:rPr>
      </w:pPr>
      <w:r>
        <w:rPr>
          <w:rFonts w:ascii="Courier New" w:cs="Courier New" w:eastAsia="Courier New" w:hAnsi="Courier New"/>
          <w:sz w:val="18"/>
          <w:szCs w:val="18"/>
          <w:color w:val="auto"/>
        </w:rPr>
        <w:t>"the Shares"</w:t>
      </w:r>
    </w:p>
    <w:p>
      <w:pPr>
        <w:spacing w:after="0" w:line="4" w:lineRule="exact"/>
        <w:rPr>
          <w:sz w:val="20"/>
          <w:szCs w:val="20"/>
          <w:color w:val="auto"/>
        </w:rPr>
      </w:pPr>
    </w:p>
    <w:p>
      <w:pPr>
        <w:jc w:val="both"/>
        <w:ind w:left="540" w:right="1779"/>
        <w:spacing w:after="0" w:line="235" w:lineRule="auto"/>
        <w:rPr>
          <w:sz w:val="20"/>
          <w:szCs w:val="20"/>
          <w:color w:val="auto"/>
        </w:rPr>
      </w:pPr>
      <w:r>
        <w:rPr>
          <w:rFonts w:ascii="Courier New" w:cs="Courier New" w:eastAsia="Courier New" w:hAnsi="Courier New"/>
          <w:sz w:val="18"/>
          <w:szCs w:val="18"/>
          <w:color w:val="auto"/>
        </w:rPr>
        <w:t>the 5,366,637 fully paid ordinary shares of US$1 each in the capital of the Company, constituting the entire issued share capital of the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"Taxation"</w:t>
      </w:r>
    </w:p>
    <w:p>
      <w:pPr>
        <w:spacing w:after="0" w:line="4" w:lineRule="exact"/>
        <w:rPr>
          <w:sz w:val="20"/>
          <w:szCs w:val="20"/>
          <w:color w:val="auto"/>
        </w:rPr>
      </w:pPr>
    </w:p>
    <w:p>
      <w:pPr>
        <w:jc w:val="both"/>
        <w:ind w:left="540" w:right="1779"/>
        <w:spacing w:after="0" w:line="238" w:lineRule="auto"/>
        <w:rPr>
          <w:sz w:val="20"/>
          <w:szCs w:val="20"/>
          <w:color w:val="auto"/>
        </w:rPr>
      </w:pPr>
      <w:r>
        <w:rPr>
          <w:rFonts w:ascii="Courier New" w:cs="Courier New" w:eastAsia="Courier New" w:hAnsi="Courier New"/>
          <w:sz w:val="18"/>
          <w:szCs w:val="18"/>
          <w:color w:val="auto"/>
        </w:rPr>
        <w:t>means all forms of taxation, duties, imposts, levies, withholding, rates and charges of whatsoever nature whether of Ireland or elsewhere in any part of the world, wherever or whenever created or imposed including, without prejudice to the generality of the foregoing, income tax, corporation tax, advance corporation tax, capital gains tax, capital acquisitions tax, inheritance tax, deposit interest retention tax, valued added tax, sales tax, customs and other import and export duties, excise duties, stamp duty, capital duty, wealth tax, property tax, rates, pay related social insurance, health levies, youth employment levies or other similar contributions and generally all taxes, duties, imposts, withholdings, levies, rates and charges whatsoever on or in relation to income, profits, gains, sales, receipts, use or occupation and any taxes, duties, imposts, withholdings, levies, rates and charges supplementing or replacing any of the foregoing and any interest, charges, surcharges, fines, penalties, costs and expenses in connection with any of the foregoing;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"Taxation Warranties"</w:t>
      </w:r>
    </w:p>
    <w:p>
      <w:pPr>
        <w:ind w:left="540"/>
        <w:spacing w:after="0" w:line="238" w:lineRule="auto"/>
        <w:rPr>
          <w:sz w:val="20"/>
          <w:szCs w:val="20"/>
          <w:color w:val="auto"/>
        </w:rPr>
      </w:pPr>
      <w:r>
        <w:rPr>
          <w:rFonts w:ascii="Courier New" w:cs="Courier New" w:eastAsia="Courier New" w:hAnsi="Courier New"/>
          <w:sz w:val="18"/>
          <w:szCs w:val="18"/>
          <w:color w:val="auto"/>
        </w:rPr>
        <w:t>means the warranties contained in Part II of Schedule 4 hereto;</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"TCA"</w:t>
      </w:r>
    </w:p>
    <w:p>
      <w:pPr>
        <w:ind w:left="540"/>
        <w:spacing w:after="0" w:line="238" w:lineRule="auto"/>
        <w:rPr>
          <w:sz w:val="20"/>
          <w:szCs w:val="20"/>
          <w:color w:val="auto"/>
        </w:rPr>
      </w:pPr>
      <w:r>
        <w:rPr>
          <w:rFonts w:ascii="Courier New" w:cs="Courier New" w:eastAsia="Courier New" w:hAnsi="Courier New"/>
          <w:sz w:val="18"/>
          <w:szCs w:val="18"/>
          <w:color w:val="auto"/>
        </w:rPr>
        <w:t>means the Taxes Consolidation Act 1997, as amended;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"Warranties"</w:t>
      </w:r>
    </w:p>
    <w:p>
      <w:pPr>
        <w:spacing w:after="0" w:line="4" w:lineRule="exact"/>
        <w:rPr>
          <w:sz w:val="20"/>
          <w:szCs w:val="20"/>
          <w:color w:val="auto"/>
        </w:rPr>
      </w:pPr>
    </w:p>
    <w:p>
      <w:pPr>
        <w:jc w:val="both"/>
        <w:ind w:left="540" w:right="1779"/>
        <w:spacing w:after="0" w:line="235" w:lineRule="auto"/>
        <w:rPr>
          <w:sz w:val="20"/>
          <w:szCs w:val="20"/>
          <w:color w:val="auto"/>
        </w:rPr>
      </w:pPr>
      <w:r>
        <w:rPr>
          <w:rFonts w:ascii="Courier New" w:cs="Courier New" w:eastAsia="Courier New" w:hAnsi="Courier New"/>
          <w:sz w:val="18"/>
          <w:szCs w:val="18"/>
          <w:color w:val="auto"/>
        </w:rPr>
        <w:t>means the representations, warranties and undertakings as referred to in clause 7.1 through 7.10 and set out in Schedule 4;</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"Working Hours"</w:t>
      </w:r>
    </w:p>
    <w:p>
      <w:pPr>
        <w:ind w:left="540"/>
        <w:spacing w:after="0" w:line="238" w:lineRule="auto"/>
        <w:rPr>
          <w:sz w:val="20"/>
          <w:szCs w:val="20"/>
          <w:color w:val="auto"/>
        </w:rPr>
      </w:pPr>
      <w:r>
        <w:rPr>
          <w:rFonts w:ascii="Courier New" w:cs="Courier New" w:eastAsia="Courier New" w:hAnsi="Courier New"/>
          <w:sz w:val="18"/>
          <w:szCs w:val="18"/>
          <w:color w:val="auto"/>
        </w:rPr>
        <w:t>means 9 a.m. to 5.30 p.m. (local time) on a Business Day.</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Interpretation</w:t>
      </w:r>
    </w:p>
    <w:p>
      <w:pPr>
        <w:spacing w:after="0" w:line="207" w:lineRule="exact"/>
        <w:rPr>
          <w:sz w:val="20"/>
          <w:szCs w:val="20"/>
          <w:color w:val="auto"/>
        </w:rPr>
      </w:pPr>
    </w:p>
    <w:p>
      <w:pPr>
        <w:jc w:val="both"/>
        <w:ind w:right="1779" w:firstLine="535"/>
        <w:spacing w:after="0" w:line="236"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to a document being "in the approved terms" means in relation to that document, the copy of that document which has been initialed by each Seller and the Purchaser for the purposes of identification only.</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contents of the Schedules form an integral part of this Agreement and shall have as full effect as if they were incorporated in the body of this Agreement and the expressions "this Agreement" and "the Agreement" as used in any of the Schedules shall mean this Agreement and any reference to "this Agreement" shall be deemed to include the Schedules.</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are for convenience only and shall not affect the construction or interpretation of this Agreement.</w:t>
      </w:r>
    </w:p>
    <w:p>
      <w:pPr>
        <w:spacing w:after="0" w:line="208" w:lineRule="exact"/>
        <w:rPr>
          <w:rFonts w:ascii="Courier New" w:cs="Courier New" w:eastAsia="Courier New" w:hAnsi="Courier New"/>
          <w:sz w:val="18"/>
          <w:szCs w:val="18"/>
          <w:color w:val="auto"/>
        </w:rPr>
      </w:pPr>
    </w:p>
    <w:p>
      <w:pPr>
        <w:jc w:val="both"/>
        <w:ind w:right="1779" w:firstLine="535"/>
        <w:spacing w:after="0" w:line="235"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to a clause, sub-clause, paragraph, subparagraph or schedule shall be a reference to a clause, sub-clause, paragraph, subparagraph</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77" w:name="page78"/>
    <w:bookmarkEnd w:id="77"/>
    <w:p>
      <w:pPr>
        <w:jc w:val="both"/>
        <w:ind w:right="1779"/>
        <w:spacing w:after="0" w:line="237" w:lineRule="auto"/>
        <w:rPr>
          <w:sz w:val="20"/>
          <w:szCs w:val="20"/>
          <w:color w:val="auto"/>
        </w:rPr>
      </w:pPr>
      <w:r>
        <w:rPr>
          <w:rFonts w:ascii="Courier New" w:cs="Courier New" w:eastAsia="Courier New" w:hAnsi="Courier New"/>
          <w:sz w:val="18"/>
          <w:szCs w:val="18"/>
          <w:color w:val="auto"/>
        </w:rPr>
        <w:t>or schedule (as the case may be) of this Agreement and any reference in a clause to a sub-clause, paragraph, or subparagraph shall be a reference to a sub-clause, paragraph or subparagraph of the clause, sub-clause or paragraph in which the reference is contained unless it appears from the context that a reference to some other provision is intended.</w:t>
      </w:r>
    </w:p>
    <w:p>
      <w:pPr>
        <w:spacing w:after="0" w:line="209" w:lineRule="exact"/>
        <w:rPr>
          <w:sz w:val="20"/>
          <w:szCs w:val="20"/>
          <w:color w:val="auto"/>
        </w:rPr>
      </w:pPr>
    </w:p>
    <w:p>
      <w:pPr>
        <w:jc w:val="both"/>
        <w:ind w:right="1779" w:firstLine="535"/>
        <w:spacing w:after="0" w:line="237"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such as hereunder hereto hereof and herein and other words commencing with "here" shall, unless the context clearly indicates to the contrary, refer to the whole of this Agreement and not to any particular section or clause hereof.</w:t>
      </w:r>
    </w:p>
    <w:p>
      <w:pPr>
        <w:spacing w:after="0" w:line="207"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denoting any gender include all genders and words denoting the singular include the plural and vice versa.</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to a person shall be construed so as to include any individual, firm, company, corporation, government, state or agency of a state or any joint venture, association, partnership, works council or employee representative body (whether or not having separate legal personality).</w:t>
      </w:r>
    </w:p>
    <w:p>
      <w:pPr>
        <w:spacing w:after="0" w:line="207"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to a person includes successors, personal representatives and assigns.</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to any statutory provision or to any order or regulation shall be construed as a reference to that provision, order or regulation as extended, modified, replaced or re-enacted from time to time (whether before or after the date of this Agreement) and all statutory instruments made thereunder or deriving validity therefrom (whether before or after the date of this Agreement) save that any changes after the date hereof to any such statutory provision, order, regulation or statutory instrument shall not be applicable to the extent that such charge imposes an obligation or increases an obligation on the Purchaser.</w:t>
      </w:r>
    </w:p>
    <w:p>
      <w:pPr>
        <w:spacing w:after="0" w:line="213"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to any provision of any legislation shall, unless the context clearly indicates to the contrary, be a reference to legislation of Ireland.</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representation, warranty or undertaking in this Agreement or the Disclosure Letter which is qualified by the expression "to the best of the knowledge, information and belief of the Seller" or "so far as the Seller is aware" or any similar expression shall be deemed to include a warranty that such statement, representation, warranty or undertaking has been made after reasonable and careful enquiry.</w:t>
      </w:r>
    </w:p>
    <w:p>
      <w:pPr>
        <w:spacing w:after="0" w:line="209"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"Writing" or any similar expression includes transmission by facsimile or comparable means of communication.</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action or duty to be taken or performed under any of the provisions of this Agreement would fall to be taken or performed on a day which is not a Business Day, such action or duty shall be taken or performed on the Business Day next following such date.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to time are references to Irish time.</w:t>
      </w:r>
    </w:p>
    <w:p>
      <w:pPr>
        <w:spacing w:after="0" w:line="206"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shall be of the essence in this Agreement, both as regards the dates and periods specifically mentioned or any date or period as may be substituted therefor in accordance with this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78" w:name="page79"/>
    <w:bookmarkEnd w:id="78"/>
    <w:p>
      <w:pPr>
        <w:ind w:left="960" w:hanging="425"/>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to Ireland does not include Northern Ireland.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SALE AND PURCHASE OF SHARES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 Agreement to sell</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the terms and subject to the conditions of this Agreement, the Seller, as beneficial owner, shall sell or procure the sale of and Purchaser shall purchase or procure the purchase of the Shares free from all Encumbrances and together with all rights attached or accruing thereto including, without limitation, all dividends and distributions declared made or paid in respect thereof on or after the date of this Agreement. The Purchaser shall not be obliged to complete the purchase of any of the Shares unless the purchase of all the Shares is completed simultaneously in accordance with the provisions of this Agreement.</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 Pre-emption Rights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Each Seller waives all rights of pre-emption over any of the Shares conferred upon it in any way and shall procure that no later than Completion all rights of pre-emption and other similar or comparable rights over and in respect of the Shares conferred upon or held by any other person are waived so as to permit the sale and purchase of such shares hereunder.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 Consideration</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Consideration payable by the Purchaser for the Shares shall be as follows:</w:t>
      </w:r>
    </w:p>
    <w:p>
      <w:pPr>
        <w:spacing w:after="0" w:line="208" w:lineRule="exact"/>
        <w:rPr>
          <w:sz w:val="20"/>
          <w:szCs w:val="20"/>
          <w:color w:val="auto"/>
        </w:rPr>
      </w:pPr>
    </w:p>
    <w:p>
      <w:pPr>
        <w:ind w:right="1779" w:firstLine="535"/>
        <w:spacing w:after="0" w:line="235"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Six Million U.S. Dollars (US$6,000,000) (the "Cash Proceeds") to be paid by electronic fund transfer.</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when the conditions set forth in the succeeding paragraphs of this clause 2.3(b) have been met, then promptly thereafter the Purchaser will deliver to the Seller an aggregate of 445,848 shares of Gentner's common stock (as may be adjusted for any split, combination, subdivision, or any other similar adjustment after the date hereof; "July Shares") which shares will be issued to the Sellers as fully paid up shares, as more specifically set forth in the "Shareholder Matrix" delivered by the Sellers to Gentner and the Purchaser as of the Completion.</w:t>
      </w:r>
    </w:p>
    <w:p>
      <w:pPr>
        <w:spacing w:after="0" w:line="212"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their issuance, the July Shares will be registered for resale at the expense of Gentner on an applicable registration form, under the Securities Act of 1933 (currently contemplated to be Form S-3). These registration rights are set forth in a Declaration of Registration Rights executed by Gentner for the benefit of the Sellers.</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July Shares will be issued to the Sellers provided that the following two contingencies have been met:</w:t>
      </w:r>
    </w:p>
    <w:p>
      <w:pPr>
        <w:spacing w:after="0" w:line="208" w:lineRule="exact"/>
        <w:rPr>
          <w:sz w:val="20"/>
          <w:szCs w:val="20"/>
          <w:color w:val="auto"/>
        </w:rPr>
      </w:pPr>
    </w:p>
    <w:p>
      <w:pPr>
        <w:jc w:val="both"/>
        <w:ind w:left="540" w:right="1779" w:hanging="5"/>
        <w:spacing w:after="0" w:line="236" w:lineRule="auto"/>
        <w:tabs>
          <w:tab w:leader="none" w:pos="106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the installed video codec product currently under development by Ivron in accordance with the specification as in existence on the date of Completion (the "Codec"); and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Shipments to customers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79" w:name="page80"/>
    <w:bookmarkEnd w:id="79"/>
    <w:p>
      <w:pPr>
        <w:jc w:val="both"/>
        <w:ind w:left="5" w:right="1779" w:firstLine="521"/>
        <w:spacing w:after="0" w:line="237" w:lineRule="auto"/>
        <w:tabs>
          <w:tab w:leader="none" w:pos="95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hundred (200) units of the commercial Codec and/or the commercial Set-Top video conferencing product (the "Set Top") currently under development in FY 2002 (as opposed to beta versions of such products). The two hundred (200) units can be comprised of any combination of the Installed Codec and the Set Top; and</w:t>
      </w:r>
    </w:p>
    <w:p>
      <w:pPr>
        <w:spacing w:after="0" w:line="208" w:lineRule="exact"/>
        <w:rPr>
          <w:rFonts w:ascii="Courier New" w:cs="Courier New" w:eastAsia="Courier New" w:hAnsi="Courier New"/>
          <w:sz w:val="18"/>
          <w:szCs w:val="18"/>
          <w:color w:val="auto"/>
        </w:rPr>
      </w:pPr>
    </w:p>
    <w:p>
      <w:pPr>
        <w:ind w:left="5" w:right="1779" w:firstLine="521"/>
        <w:spacing w:after="0" w:line="235" w:lineRule="auto"/>
        <w:tabs>
          <w:tab w:leader="none" w:pos="95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five (25) units of any combination of the Installed Codec and Set Top product in FY2003.</w:t>
      </w:r>
    </w:p>
    <w:p>
      <w:pPr>
        <w:spacing w:after="0" w:line="208" w:lineRule="exact"/>
        <w:rPr>
          <w:rFonts w:ascii="Courier New" w:cs="Courier New" w:eastAsia="Courier New" w:hAnsi="Courier New"/>
          <w:sz w:val="18"/>
          <w:szCs w:val="18"/>
          <w:color w:val="auto"/>
        </w:rPr>
      </w:pPr>
    </w:p>
    <w:p>
      <w:pPr>
        <w:ind w:left="5" w:right="1779" w:hanging="5"/>
        <w:spacing w:after="0" w:line="235" w:lineRule="auto"/>
        <w:tabs>
          <w:tab w:leader="none" w:pos="42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earn-out of up to maximum of US$18 Million (the "Earn-Out") may be paid in up to two (2) tranches as described in this section 2.3(e).</w:t>
      </w:r>
    </w:p>
    <w:p>
      <w:pPr>
        <w:spacing w:after="0" w:line="208" w:lineRule="exact"/>
        <w:rPr>
          <w:sz w:val="20"/>
          <w:szCs w:val="20"/>
          <w:color w:val="auto"/>
        </w:rPr>
      </w:pPr>
    </w:p>
    <w:p>
      <w:pPr>
        <w:jc w:val="both"/>
        <w:ind w:left="5" w:right="1779" w:hanging="5"/>
        <w:spacing w:after="0" w:line="269" w:lineRule="auto"/>
        <w:tabs>
          <w:tab w:leader="none" w:pos="42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Earn-Out will be paid based on Gentner's fully diluted earnings per share ("EPS") in Gentner's fiscal year 2003 and/or fiscal year 2004, in the "products (audio and video) and conferencing services segments" of Gentner's business. This segment includes all products and services that may be sold to affiliated entities or divisions that are in a separate segment of Gentner. These segments shall be based on SEC reporting practices that are based on business practices of Gentner. The calculation of EPS will not include any shares issued for purposes of acquisition of businesses in other segments of Gentner's business. In addition, it will be assumed that 500,000 shares are issued as part of the July Shares and will be added to the EPS calculation for FY 2003 and FY 2004. Any Earn-Out Shares issued for meeting EPS targets in a particular fiscal year will not be added into a re-calculation of that year's EPS; however, any such shares will be considered issued and outstanding for purposes of the following year's EPS calculation. The Earn-Out if payable will be paid at the earlier of (i) thirty (30) days from the conclusion of the fiscal year annual audit for each relevant fiscal year, or (ii) ninety (90) days from the conclusion of the applicable fiscal year, based on unaudited financial results (due date). The Earn-Out will be paid in cash ("Earn-Out Cash"), or in shares of common stock of Gentner (the "Earn-Out Shares"). The number of Earn-Out Shares to be issued will be calculated using a trading average determined as of the date of issuance, based on the average closing price for the ten trading days prior to two days before the issuance of the shares, and subject to the limitation described in 3.2(f), below. The Earn-Out will be allocated among the Sellers as set forth in the Shareholder Matrix.</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5" w:right="1779" w:hanging="5"/>
        <w:spacing w:after="0" w:line="235" w:lineRule="auto"/>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Earn-Out Shares will be not be issued with any registration rights.</w:t>
      </w:r>
    </w:p>
    <w:p>
      <w:pPr>
        <w:spacing w:after="0" w:line="208" w:lineRule="exact"/>
        <w:rPr>
          <w:rFonts w:ascii="Courier New" w:cs="Courier New" w:eastAsia="Courier New" w:hAnsi="Courier New"/>
          <w:sz w:val="18"/>
          <w:szCs w:val="18"/>
          <w:color w:val="auto"/>
        </w:rPr>
      </w:pPr>
    </w:p>
    <w:p>
      <w:pPr>
        <w:jc w:val="both"/>
        <w:ind w:left="5" w:right="1779" w:hanging="5"/>
        <w:spacing w:after="0" w:line="237" w:lineRule="auto"/>
        <w:tabs>
          <w:tab w:leader="none" w:pos="63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Earn-Out Cash that remains unpaid on the due date, will be subject to interest of one and one-half percent per month until paid. In addition, Earn-Out payable to Seller Mike Peirce will be paid 1/2 as shares and 1/2 as cash unless, in the discretion of Purchaser, Purchaser desires to pay Earn-Out in a ratio of up to 60% - 40% mix of cash and shares, or shares and cash. Such an election can be made by Purchaser at any time prior to a payment or issuance being made. In the event that Mr. Pierce transfers any right to Earn-Out Cash or Earn-Out Shares, as provided elsewhere in this Agreement, the restrictions regarding the ratio of cash and shares shall be assigned with such transfer.</w:t>
      </w:r>
    </w:p>
    <w:p>
      <w:pPr>
        <w:spacing w:after="0" w:line="214" w:lineRule="exact"/>
        <w:rPr>
          <w:rFonts w:ascii="Courier New" w:cs="Courier New" w:eastAsia="Courier New" w:hAnsi="Courier New"/>
          <w:sz w:val="18"/>
          <w:szCs w:val="18"/>
          <w:color w:val="auto"/>
        </w:rPr>
      </w:pPr>
    </w:p>
    <w:p>
      <w:pPr>
        <w:ind w:left="5" w:right="1779" w:hanging="5"/>
        <w:spacing w:after="0" w:line="235" w:lineRule="auto"/>
        <w:tabs>
          <w:tab w:leader="none" w:pos="63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Earn-Out will be paid as set forth below provided that the following conditions must be satisfied:</w:t>
      </w:r>
    </w:p>
    <w:p>
      <w:pPr>
        <w:spacing w:after="0" w:line="200" w:lineRule="exact"/>
        <w:rPr>
          <w:sz w:val="20"/>
          <w:szCs w:val="20"/>
          <w:color w:val="auto"/>
        </w:rPr>
      </w:pP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84"/>
          </w:cols>
          <w:pgMar w:left="775" w:top="723" w:right="1440" w:bottom="1440" w:gutter="0" w:footer="0" w:header="0"/>
        </w:sectPr>
      </w:pPr>
    </w:p>
    <w:bookmarkStart w:id="80" w:name="page81"/>
    <w:bookmarkEnd w:id="80"/>
    <w:p>
      <w:pPr>
        <w:jc w:val="both"/>
        <w:ind w:left="540" w:right="1779" w:firstLine="521"/>
        <w:spacing w:after="0" w:line="237"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Gentner's EPS for the relevant business segments for fiscal year 2003 is US$1.70 or more, then the full US$18 Million Earn-Out is payable. An additional condition to the payment of earn out is the sale by Gentner in fiscal year 2003 of a minimum of twenty five (25) units of any combination of the Installed Codec and the Set Top product.</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Gentner's EPS for the relevant business segments for fiscal year 2003 is between US$1.45 and US$1.69 then up to US$9 Million of the Earn-Out will be paid as set forth in the Table I below. An additional condition to the payment of earn out is the sale by Gentner in fiscal year 2003 of a minimum of twenty five (25) units of any combination of the Installed Codec and the Set Top product.</w:t>
      </w:r>
    </w:p>
    <w:p>
      <w:pPr>
        <w:spacing w:after="0" w:line="209"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Gentner's EPS for the relevant business segments for fiscal year 2003 is US$1.44 or less then no Earn-Out is payable for fiscal year 2003.</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Earn-Out may be payable for fiscal year 2004 as set forth in Table II, below, even if no Earn-Out is payable for fiscal year 2003, provided that Gentner meets the EPS targets described in Table II and sells in both fiscal years 2003 and 2004 of a minimum of twenty five (25) units of any combination of the Installed Codec and the Set Top product.</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Table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EPS for FY 2003</w:t>
      </w:r>
      <w:r>
        <w:rPr>
          <w:sz w:val="20"/>
          <w:szCs w:val="20"/>
          <w:color w:val="auto"/>
        </w:rPr>
        <w:tab/>
      </w:r>
      <w:r>
        <w:rPr>
          <w:rFonts w:ascii="Courier New" w:cs="Courier New" w:eastAsia="Courier New" w:hAnsi="Courier New"/>
          <w:sz w:val="16"/>
          <w:szCs w:val="16"/>
          <w:color w:val="auto"/>
        </w:rPr>
        <w:t>% of US$9,000,000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&lt; US$1.45</w:t>
      </w:r>
      <w:r>
        <w:rPr>
          <w:sz w:val="20"/>
          <w:szCs w:val="20"/>
          <w:color w:val="auto"/>
        </w:rPr>
        <w:tab/>
      </w: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US$1.45-US$1.48</w:t>
      </w:r>
      <w:r>
        <w:rPr>
          <w:sz w:val="20"/>
          <w:szCs w:val="20"/>
          <w:color w:val="auto"/>
        </w:rPr>
        <w:tab/>
      </w:r>
      <w:r>
        <w:rPr>
          <w:rFonts w:ascii="Courier New" w:cs="Courier New" w:eastAsia="Courier New" w:hAnsi="Courier New"/>
          <w:sz w:val="16"/>
          <w:szCs w:val="16"/>
          <w:color w:val="auto"/>
        </w:rPr>
        <w:t>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US$1.49-US$1.52</w:t>
      </w:r>
      <w:r>
        <w:rPr>
          <w:sz w:val="20"/>
          <w:szCs w:val="20"/>
          <w:color w:val="auto"/>
        </w:rPr>
        <w:tab/>
      </w:r>
      <w:r>
        <w:rPr>
          <w:rFonts w:ascii="Courier New" w:cs="Courier New" w:eastAsia="Courier New" w:hAnsi="Courier New"/>
          <w:sz w:val="16"/>
          <w:szCs w:val="16"/>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US$1.53-US$1.56</w:t>
      </w:r>
      <w:r>
        <w:rPr>
          <w:sz w:val="20"/>
          <w:szCs w:val="20"/>
          <w:color w:val="auto"/>
        </w:rPr>
        <w:tab/>
      </w:r>
      <w:r>
        <w:rPr>
          <w:rFonts w:ascii="Courier New" w:cs="Courier New" w:eastAsia="Courier New" w:hAnsi="Courier New"/>
          <w:sz w:val="16"/>
          <w:szCs w:val="16"/>
          <w:color w:val="auto"/>
        </w:rPr>
        <w:t>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US$1.57-US$1.60</w:t>
      </w:r>
      <w:r>
        <w:rPr>
          <w:sz w:val="20"/>
          <w:szCs w:val="20"/>
          <w:color w:val="auto"/>
        </w:rPr>
        <w:tab/>
      </w:r>
      <w:r>
        <w:rPr>
          <w:rFonts w:ascii="Courier New" w:cs="Courier New" w:eastAsia="Courier New" w:hAnsi="Courier New"/>
          <w:sz w:val="16"/>
          <w:szCs w:val="16"/>
          <w:color w:val="auto"/>
        </w:rPr>
        <w:t>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US$1.61-US$1.64</w:t>
      </w:r>
      <w:r>
        <w:rPr>
          <w:sz w:val="20"/>
          <w:szCs w:val="20"/>
          <w:color w:val="auto"/>
        </w:rPr>
        <w:tab/>
      </w:r>
      <w:r>
        <w:rPr>
          <w:rFonts w:ascii="Courier New" w:cs="Courier New" w:eastAsia="Courier New" w:hAnsi="Courier New"/>
          <w:sz w:val="16"/>
          <w:szCs w:val="16"/>
          <w:color w:val="auto"/>
        </w:rPr>
        <w:t>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US$1.65-US$1.69</w:t>
      </w:r>
      <w:r>
        <w:rPr>
          <w:sz w:val="20"/>
          <w:szCs w:val="20"/>
          <w:color w:val="auto"/>
        </w:rPr>
        <w:tab/>
      </w:r>
      <w:r>
        <w:rPr>
          <w:rFonts w:ascii="Courier New" w:cs="Courier New" w:eastAsia="Courier New" w:hAnsi="Courier New"/>
          <w:sz w:val="16"/>
          <w:szCs w:val="16"/>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Table 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EPS for FY 2004</w:t>
      </w:r>
      <w:r>
        <w:rPr>
          <w:sz w:val="20"/>
          <w:szCs w:val="20"/>
          <w:color w:val="auto"/>
        </w:rPr>
        <w:tab/>
      </w:r>
      <w:r>
        <w:rPr>
          <w:rFonts w:ascii="Courier New" w:cs="Courier New" w:eastAsia="Courier New" w:hAnsi="Courier New"/>
          <w:sz w:val="16"/>
          <w:szCs w:val="16"/>
          <w:color w:val="auto"/>
        </w:rPr>
        <w:t>% of US$9,000,000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&lt; US$1.75</w:t>
      </w:r>
      <w:r>
        <w:rPr>
          <w:sz w:val="20"/>
          <w:szCs w:val="20"/>
          <w:color w:val="auto"/>
        </w:rPr>
        <w:tab/>
      </w: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US$1.75-US$1.78</w:t>
      </w:r>
      <w:r>
        <w:rPr>
          <w:sz w:val="20"/>
          <w:szCs w:val="20"/>
          <w:color w:val="auto"/>
        </w:rPr>
        <w:tab/>
      </w:r>
      <w:r>
        <w:rPr>
          <w:rFonts w:ascii="Courier New" w:cs="Courier New" w:eastAsia="Courier New" w:hAnsi="Courier New"/>
          <w:sz w:val="16"/>
          <w:szCs w:val="16"/>
          <w:color w:val="auto"/>
        </w:rPr>
        <w:t>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US$1.79-US$1.82</w:t>
      </w:r>
      <w:r>
        <w:rPr>
          <w:sz w:val="20"/>
          <w:szCs w:val="20"/>
          <w:color w:val="auto"/>
        </w:rPr>
        <w:tab/>
      </w:r>
      <w:r>
        <w:rPr>
          <w:rFonts w:ascii="Courier New" w:cs="Courier New" w:eastAsia="Courier New" w:hAnsi="Courier New"/>
          <w:sz w:val="16"/>
          <w:szCs w:val="16"/>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US$1.83-US$1.86</w:t>
      </w:r>
      <w:r>
        <w:rPr>
          <w:sz w:val="20"/>
          <w:szCs w:val="20"/>
          <w:color w:val="auto"/>
        </w:rPr>
        <w:tab/>
      </w:r>
      <w:r>
        <w:rPr>
          <w:rFonts w:ascii="Courier New" w:cs="Courier New" w:eastAsia="Courier New" w:hAnsi="Courier New"/>
          <w:sz w:val="16"/>
          <w:szCs w:val="16"/>
          <w:color w:val="auto"/>
        </w:rPr>
        <w:t>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US$1.87-US$1.90</w:t>
      </w:r>
      <w:r>
        <w:rPr>
          <w:sz w:val="20"/>
          <w:szCs w:val="20"/>
          <w:color w:val="auto"/>
        </w:rPr>
        <w:tab/>
      </w:r>
      <w:r>
        <w:rPr>
          <w:rFonts w:ascii="Courier New" w:cs="Courier New" w:eastAsia="Courier New" w:hAnsi="Courier New"/>
          <w:sz w:val="16"/>
          <w:szCs w:val="16"/>
          <w:color w:val="auto"/>
        </w:rPr>
        <w:t>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US$1.91-US$1.94</w:t>
      </w:r>
      <w:r>
        <w:rPr>
          <w:sz w:val="20"/>
          <w:szCs w:val="20"/>
          <w:color w:val="auto"/>
        </w:rPr>
        <w:tab/>
      </w:r>
      <w:r>
        <w:rPr>
          <w:rFonts w:ascii="Courier New" w:cs="Courier New" w:eastAsia="Courier New" w:hAnsi="Courier New"/>
          <w:sz w:val="16"/>
          <w:szCs w:val="16"/>
          <w:color w:val="auto"/>
        </w:rPr>
        <w:t>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US$1.95-US$1.99</w:t>
      </w:r>
      <w:r>
        <w:rPr>
          <w:sz w:val="20"/>
          <w:szCs w:val="20"/>
          <w:color w:val="auto"/>
        </w:rPr>
        <w:tab/>
      </w:r>
      <w:r>
        <w:rPr>
          <w:rFonts w:ascii="Courier New" w:cs="Courier New" w:eastAsia="Courier New" w:hAnsi="Courier New"/>
          <w:sz w:val="16"/>
          <w:szCs w:val="16"/>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both"/>
        <w:ind w:left="540" w:right="1779" w:firstLine="521"/>
        <w:spacing w:after="0" w:line="237"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Gentner is acquired or there is otherwise a change in the control of the organisation, the obligation to pay Earn-Out as described in Section 2.3(e) above, including the methodology described therein, shall continue.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81" w:name="page82"/>
    <w:bookmarkEnd w:id="81"/>
    <w:p>
      <w:pPr>
        <w:jc w:val="both"/>
        <w:ind w:left="540" w:right="1779" w:firstLine="521"/>
        <w:spacing w:after="0" w:line="237"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to the contrary, the maximum number of shares that will be issued by Gentner in the transactions contemplated by this Agreement, including the "July Shares" and the "Earn-Out Shares", will not exceed 1,600,000 shares. In the event that the Sellers desire Earn-Out to be paid in shares of Gentner which would exceed 1,600,000 shares, then such amounts will be paid in cash rather than shares and will not be subject to interest as described in 2.3(e)(ii), above, provided that the cash is paid at the same time that the shares are issued.</w:t>
      </w:r>
    </w:p>
    <w:p>
      <w:pPr>
        <w:spacing w:after="0" w:line="213"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equivalent amount of cash using the formulas described in section 2.3(e)(i) for purposes of share conversion will be withheld from the July Shares and the Earn-Out for the payment of any taxes which may be assessed by any taxing authorities against the Company, the Purchaser, or other affiliated company, in connection with the payment of the Earn-Out, the July Shares, or any Optionee Payment (as defined below) or bonus pursuant to the Waivers.</w:t>
      </w: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2.4 Waivers.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transactions contemplated by this Agreement, the Company and the Purchaser have entered into a waiver instrument (the "Waivers") with each of the Optionees, in consideration for a payment to be made by the Company from funds delivered by the Purchaser (the "Optionee Payment"), and, in consideration for participation in the Earn-Out, pursuant to which each Optionee has waived any rights it may have under any existing option or similar plans of the Company. Funds for purposes of the Optionee Payment will be transferred by the Purchaser to the Company in trust for the Optionees prior to the payment date. Gentner will cause the Purchaser to honor the obligations of the Company set forth in the Waivers.</w:t>
      </w:r>
    </w:p>
    <w:p>
      <w:pPr>
        <w:spacing w:after="0" w:line="20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3. and 4.</w:t>
      </w:r>
      <w:r>
        <w:rPr>
          <w:sz w:val="20"/>
          <w:szCs w:val="20"/>
          <w:color w:val="auto"/>
        </w:rPr>
        <w:tab/>
      </w:r>
      <w:r>
        <w:rPr>
          <w:rFonts w:ascii="Courier New" w:cs="Courier New" w:eastAsia="Courier New" w:hAnsi="Courier New"/>
          <w:sz w:val="16"/>
          <w:szCs w:val="16"/>
          <w:color w:val="auto"/>
        </w:rPr>
        <w:t>[Intentionally Omitted]</w:t>
      </w:r>
    </w:p>
    <w:p>
      <w:pPr>
        <w:spacing w:after="0" w:line="200" w:lineRule="exact"/>
        <w:rPr>
          <w:sz w:val="20"/>
          <w:szCs w:val="20"/>
          <w:color w:val="auto"/>
        </w:rPr>
      </w:pPr>
    </w:p>
    <w:p>
      <w:pPr>
        <w:spacing w:after="0" w:line="209" w:lineRule="exact"/>
        <w:rPr>
          <w:sz w:val="20"/>
          <w:szCs w:val="20"/>
          <w:color w:val="auto"/>
        </w:rPr>
      </w:pPr>
    </w:p>
    <w:p>
      <w:pPr>
        <w:ind w:right="6419" w:firstLine="8"/>
        <w:spacing w:after="0" w:line="470" w:lineRule="auto"/>
        <w:tabs>
          <w:tab w:leader="none" w:pos="52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SALE AND PURCHASE 5.1 Time and Place</w:t>
      </w:r>
    </w:p>
    <w:p>
      <w:pPr>
        <w:spacing w:after="0" w:line="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Completion of the sale and purchase referred to in clause 2 shall take place at the executive offices of the Purchaser in Salt Lake city, UT, on or about October 3, 2001, at 3:00 P.M..</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Documents and other items to be delivered by the Seller</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At Completion the Seller shall deliver to the Purchaser (or make available to the Purchaser at the Company):</w:t>
      </w:r>
    </w:p>
    <w:p>
      <w:pPr>
        <w:spacing w:after="0" w:line="208" w:lineRule="exact"/>
        <w:rPr>
          <w:sz w:val="20"/>
          <w:szCs w:val="20"/>
          <w:color w:val="auto"/>
        </w:rPr>
      </w:pPr>
    </w:p>
    <w:p>
      <w:pPr>
        <w:jc w:val="both"/>
        <w:ind w:right="1779" w:firstLine="535"/>
        <w:spacing w:after="0" w:line="236"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consents of applicable governmental, regulatory, or other third parties, which the Purchaser deems reasonably necessary and appropriate, and of which Sellers shall have been advised;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82" w:name="page83"/>
    <w:bookmarkEnd w:id="82"/>
    <w:p>
      <w:pPr>
        <w:jc w:val="both"/>
        <w:ind w:left="-535" w:right="1779" w:firstLine="535"/>
        <w:spacing w:after="0" w:line="236" w:lineRule="auto"/>
        <w:tabs>
          <w:tab w:leader="none" w:pos="51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the authority of any person or persons executing or attesting the execution of this Agreement and any other document on its behalf to do so;</w:t>
      </w:r>
    </w:p>
    <w:p>
      <w:pPr>
        <w:spacing w:after="0" w:line="208" w:lineRule="exact"/>
        <w:rPr>
          <w:rFonts w:ascii="Courier New" w:cs="Courier New" w:eastAsia="Courier New" w:hAnsi="Courier New"/>
          <w:sz w:val="18"/>
          <w:szCs w:val="18"/>
          <w:color w:val="auto"/>
        </w:rPr>
      </w:pPr>
    </w:p>
    <w:p>
      <w:pPr>
        <w:jc w:val="both"/>
        <w:ind w:left="-535" w:right="1779" w:firstLine="535"/>
        <w:spacing w:after="0" w:line="237" w:lineRule="auto"/>
        <w:tabs>
          <w:tab w:leader="none" w:pos="41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duly executed Stock Transfer Forms in respect of the Shares and the Nominee Shares in favour of the Purchaser or such person as it may nominate, together with Share Certificates relative thereto or, in the case of share certificates found to be missing, an indemnity in a form satisfactory to the Purchaser;</w:t>
      </w:r>
    </w:p>
    <w:p>
      <w:pPr>
        <w:spacing w:after="0" w:line="208" w:lineRule="exact"/>
        <w:rPr>
          <w:rFonts w:ascii="Courier New" w:cs="Courier New" w:eastAsia="Courier New" w:hAnsi="Courier New"/>
          <w:sz w:val="18"/>
          <w:szCs w:val="18"/>
          <w:color w:val="auto"/>
        </w:rPr>
      </w:pPr>
    </w:p>
    <w:p>
      <w:pPr>
        <w:ind w:left="-535" w:right="1779" w:firstLine="535"/>
        <w:spacing w:after="0" w:line="235" w:lineRule="auto"/>
        <w:tabs>
          <w:tab w:leader="none" w:pos="51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minutes of meetings of the Boards of Directors of the Company which reflect the following:-</w:t>
      </w:r>
    </w:p>
    <w:p>
      <w:pPr>
        <w:spacing w:after="0" w:line="208" w:lineRule="exact"/>
        <w:rPr>
          <w:sz w:val="20"/>
          <w:szCs w:val="20"/>
          <w:color w:val="auto"/>
        </w:rPr>
      </w:pPr>
    </w:p>
    <w:p>
      <w:pPr>
        <w:ind w:left="5" w:right="1779" w:hanging="5"/>
        <w:spacing w:after="0" w:line="235" w:lineRule="auto"/>
        <w:tabs>
          <w:tab w:leader="none" w:pos="42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 transfers referred to at (c) are approved (subject only to stamping);</w:t>
      </w:r>
    </w:p>
    <w:p>
      <w:pPr>
        <w:spacing w:after="0" w:line="208" w:lineRule="exact"/>
        <w:rPr>
          <w:rFonts w:ascii="Courier New" w:cs="Courier New" w:eastAsia="Courier New" w:hAnsi="Courier New"/>
          <w:sz w:val="18"/>
          <w:szCs w:val="18"/>
          <w:color w:val="auto"/>
        </w:rPr>
      </w:pPr>
    </w:p>
    <w:p>
      <w:pPr>
        <w:jc w:val="both"/>
        <w:ind w:left="5" w:right="1779" w:hanging="5"/>
        <w:spacing w:after="0" w:line="236" w:lineRule="auto"/>
        <w:tabs>
          <w:tab w:leader="none" w:pos="53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persons as the Purchaser may nominate are appointed as directors, secretary, auditors and solicitors of each Group Company with immediate effect;</w:t>
      </w:r>
    </w:p>
    <w:p>
      <w:pPr>
        <w:spacing w:after="0" w:line="208" w:lineRule="exact"/>
        <w:rPr>
          <w:rFonts w:ascii="Courier New" w:cs="Courier New" w:eastAsia="Courier New" w:hAnsi="Courier New"/>
          <w:sz w:val="18"/>
          <w:szCs w:val="18"/>
          <w:color w:val="auto"/>
        </w:rPr>
      </w:pPr>
    </w:p>
    <w:p>
      <w:pPr>
        <w:ind w:left="5" w:right="1779" w:hanging="5"/>
        <w:spacing w:after="0" w:line="235" w:lineRule="auto"/>
        <w:tabs>
          <w:tab w:leader="none" w:pos="63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resignations referred to in the succeeding paragraphs of this sub-clause 5.2 are accepted;</w:t>
      </w:r>
    </w:p>
    <w:p>
      <w:pPr>
        <w:spacing w:after="0" w:line="208" w:lineRule="exact"/>
        <w:rPr>
          <w:rFonts w:ascii="Courier New" w:cs="Courier New" w:eastAsia="Courier New" w:hAnsi="Courier New"/>
          <w:sz w:val="18"/>
          <w:szCs w:val="18"/>
          <w:color w:val="auto"/>
        </w:rPr>
      </w:pPr>
    </w:p>
    <w:p>
      <w:pPr>
        <w:ind w:left="5" w:right="1779" w:hanging="5"/>
        <w:spacing w:after="0" w:line="235" w:lineRule="auto"/>
        <w:tabs>
          <w:tab w:leader="none" w:pos="53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of the Deed of Indemnity by the Shareholders is approved and authorised;</w:t>
      </w:r>
    </w:p>
    <w:p>
      <w:pPr>
        <w:spacing w:after="0" w:line="208" w:lineRule="exact"/>
        <w:rPr>
          <w:rFonts w:ascii="Courier New" w:cs="Courier New" w:eastAsia="Courier New" w:hAnsi="Courier New"/>
          <w:sz w:val="18"/>
          <w:szCs w:val="18"/>
          <w:color w:val="auto"/>
        </w:rPr>
      </w:pPr>
    </w:p>
    <w:p>
      <w:pPr>
        <w:jc w:val="both"/>
        <w:ind w:left="5" w:right="1779" w:hanging="5"/>
        <w:spacing w:after="0" w:line="236" w:lineRule="auto"/>
        <w:tabs>
          <w:tab w:leader="none" w:pos="42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letter of resignation by Messrs KPMG as Auditors of the Company confirming that such Auditors have no claim of any kind against the Company; and</w:t>
      </w:r>
    </w:p>
    <w:p>
      <w:pPr>
        <w:spacing w:after="0" w:line="208" w:lineRule="exact"/>
        <w:rPr>
          <w:rFonts w:ascii="Courier New" w:cs="Courier New" w:eastAsia="Courier New" w:hAnsi="Courier New"/>
          <w:sz w:val="18"/>
          <w:szCs w:val="18"/>
          <w:color w:val="auto"/>
        </w:rPr>
      </w:pPr>
    </w:p>
    <w:p>
      <w:pPr>
        <w:jc w:val="both"/>
        <w:ind w:left="5" w:right="1779" w:hanging="5"/>
        <w:spacing w:after="0" w:line="237" w:lineRule="auto"/>
        <w:tabs>
          <w:tab w:leader="none" w:pos="53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notice in the form required by section 185 of the Companies Act 1990 stating that there are no circumstances connected with such resignation that the said Auditors consider should be brought to the notice of the members or creditors of such Group Company.</w:t>
      </w:r>
    </w:p>
    <w:p>
      <w:pPr>
        <w:spacing w:after="0" w:line="207" w:lineRule="exact"/>
        <w:rPr>
          <w:rFonts w:ascii="Courier New" w:cs="Courier New" w:eastAsia="Courier New" w:hAnsi="Courier New"/>
          <w:sz w:val="18"/>
          <w:szCs w:val="18"/>
          <w:color w:val="auto"/>
        </w:rPr>
      </w:pPr>
    </w:p>
    <w:p>
      <w:pPr>
        <w:jc w:val="both"/>
        <w:ind w:left="5" w:right="1779" w:hanging="5"/>
        <w:spacing w:after="0" w:line="236" w:lineRule="auto"/>
        <w:tabs>
          <w:tab w:leader="none" w:pos="63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written resignations under seal of those Directors agreed to resign effective as of Completion of each Group Company in a form satisfactory to the Purchaser;;</w:t>
      </w:r>
    </w:p>
    <w:p>
      <w:pPr>
        <w:spacing w:after="0" w:line="208" w:lineRule="exact"/>
        <w:rPr>
          <w:rFonts w:ascii="Courier New" w:cs="Courier New" w:eastAsia="Courier New" w:hAnsi="Courier New"/>
          <w:sz w:val="18"/>
          <w:szCs w:val="18"/>
          <w:color w:val="auto"/>
        </w:rPr>
      </w:pPr>
    </w:p>
    <w:p>
      <w:pPr>
        <w:jc w:val="both"/>
        <w:ind w:left="5" w:right="1779" w:hanging="5"/>
        <w:spacing w:after="0" w:line="236" w:lineRule="auto"/>
        <w:tabs>
          <w:tab w:leader="none" w:pos="74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waiver instrument ("Waiver") in a form mutually acceptable to the parties pursuant to which each existing optionee under any existing stock option plan of Company agrees to waive its rights thereunder;</w:t>
      </w:r>
    </w:p>
    <w:p>
      <w:pPr>
        <w:spacing w:after="0" w:line="209" w:lineRule="exact"/>
        <w:rPr>
          <w:sz w:val="20"/>
          <w:szCs w:val="20"/>
          <w:color w:val="auto"/>
        </w:rPr>
      </w:pPr>
    </w:p>
    <w:p>
      <w:pPr>
        <w:jc w:val="both"/>
        <w:ind w:left="-535" w:right="1779" w:firstLine="535"/>
        <w:spacing w:after="0" w:line="290" w:lineRule="auto"/>
        <w:tabs>
          <w:tab w:leader="none" w:pos="41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the following items are to be delivered or retained in the records of each Group Company, as requested by the Purchaser:</w:t>
      </w:r>
    </w:p>
    <w:p>
      <w:pPr>
        <w:spacing w:after="0" w:line="170" w:lineRule="exact"/>
        <w:rPr>
          <w:sz w:val="20"/>
          <w:szCs w:val="20"/>
          <w:color w:val="auto"/>
        </w:rPr>
      </w:pPr>
    </w:p>
    <w:p>
      <w:pPr>
        <w:ind w:left="5" w:right="1779" w:hanging="5"/>
        <w:spacing w:after="0" w:line="235" w:lineRule="auto"/>
        <w:tabs>
          <w:tab w:leader="none" w:pos="53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confirmation from KPMG that a CG50A Clearance Certificate is not required:</w:t>
      </w:r>
    </w:p>
    <w:p>
      <w:pPr>
        <w:spacing w:after="0" w:line="208" w:lineRule="exact"/>
        <w:rPr>
          <w:rFonts w:ascii="Courier New" w:cs="Courier New" w:eastAsia="Courier New" w:hAnsi="Courier New"/>
          <w:sz w:val="18"/>
          <w:szCs w:val="18"/>
          <w:color w:val="auto"/>
        </w:rPr>
      </w:pPr>
    </w:p>
    <w:p>
      <w:pPr>
        <w:jc w:val="both"/>
        <w:ind w:left="5" w:right="1779" w:hanging="5"/>
        <w:spacing w:after="0" w:line="236" w:lineRule="auto"/>
        <w:tabs>
          <w:tab w:leader="none" w:pos="53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Memorandum and Articles of Association of each Group Company certified by the Secretary of each Group Company as a true, complete and accurate copy as at Completion;</w:t>
      </w:r>
    </w:p>
    <w:p>
      <w:pPr>
        <w:spacing w:after="0" w:line="203" w:lineRule="exact"/>
        <w:rPr>
          <w:rFonts w:ascii="Courier New" w:cs="Courier New" w:eastAsia="Courier New" w:hAnsi="Courier New"/>
          <w:sz w:val="18"/>
          <w:szCs w:val="18"/>
          <w:color w:val="auto"/>
        </w:rPr>
      </w:pPr>
    </w:p>
    <w:p>
      <w:pPr>
        <w:ind w:left="625" w:hanging="625"/>
        <w:spacing w:after="0"/>
        <w:tabs>
          <w:tab w:leader="none" w:pos="62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Deed of Indemnity duly executed by the Seller;</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Disclosure Letter duly executed by the Sellers</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84"/>
          </w:cols>
          <w:pgMar w:left="775" w:top="722" w:right="1440" w:bottom="1440" w:gutter="0" w:footer="0" w:header="0"/>
        </w:sectPr>
      </w:pPr>
    </w:p>
    <w:bookmarkStart w:id="83" w:name="page84"/>
    <w:bookmarkEnd w:id="83"/>
    <w:p>
      <w:pPr>
        <w:jc w:val="both"/>
        <w:ind w:left="540" w:right="1779" w:hanging="5"/>
        <w:spacing w:after="0" w:line="237" w:lineRule="auto"/>
        <w:tabs>
          <w:tab w:leader="none" w:pos="96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statutory books, records and registers (complete and duly written up to date), common seal, certificate of incorporation, certificates of incorporation on change of name, if any, and all documents, contracts, licences, agreements, insurance policies, records, papers, correspondence files and books of trading and accounts of each Group Company;</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left="540" w:right="1779" w:hanging="5"/>
        <w:spacing w:after="0" w:line="235" w:lineRule="auto"/>
        <w:tabs>
          <w:tab w:leader="none" w:pos="127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satisfactory to the Purchaser of the fulfillment by the Seller of its obligations referred to in clause 5.3 below; and</w:t>
      </w:r>
    </w:p>
    <w:p>
      <w:pPr>
        <w:spacing w:after="0" w:line="208" w:lineRule="exact"/>
        <w:rPr>
          <w:rFonts w:ascii="Courier New" w:cs="Courier New" w:eastAsia="Courier New" w:hAnsi="Courier New"/>
          <w:sz w:val="18"/>
          <w:szCs w:val="18"/>
          <w:color w:val="auto"/>
        </w:rPr>
      </w:pPr>
    </w:p>
    <w:p>
      <w:pPr>
        <w:ind w:left="540" w:right="1779" w:hanging="5"/>
        <w:spacing w:after="0" w:line="235" w:lineRule="auto"/>
        <w:tabs>
          <w:tab w:leader="none" w:pos="127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documents or property of the Group Companies as may be specified by the Purchaser.</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Release/Discharge of Existing Debts and Obligations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Completion the Seller shall procure:-</w:t>
      </w:r>
    </w:p>
    <w:p>
      <w:pPr>
        <w:spacing w:after="0" w:line="207" w:lineRule="exact"/>
        <w:rPr>
          <w:sz w:val="20"/>
          <w:szCs w:val="20"/>
          <w:color w:val="auto"/>
        </w:rPr>
      </w:pPr>
    </w:p>
    <w:p>
      <w:pPr>
        <w:jc w:val="both"/>
        <w:ind w:left="1060" w:right="1779" w:hanging="525"/>
        <w:spacing w:after="0" w:line="236" w:lineRule="auto"/>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discharge of all monies owing to each Group Company (whether then due for payment or not) by the Sellers, or the Directors or by any of them or by any Connected Person;</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off of the current loan from Mentor Capital in the amount of US$725,000 together with accrued interest, and the release of the charge (which may be done post-Completion);</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any existing stock option plan or other similar plans of any Group Company such that Purchaser will have no liability for such plans upon completion;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of any tax filings previously due or due in the normal course of business prior to or at the date of Completion, provided that in the event the Sellers have failed to do so then they shall promptly reimburse the Purchaser for any costs, penalties, or expenses arising from the failure to make such filings.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Issuances of July Shares and Earn-Out Shares.</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July Shares and Earn-Out Shares will be issued in a private placement pursuant to Section 4(2) of the Securities Act of 1933 to the Sellers. As soon as practicable following the issuance of the July Shares, such shares will be registered for resale on an applicable registration form, under the Securities Act of 1933, currently contemplated to be Form S-3, as set forth in that certain Declaration of Registration Rights of even date herewith executed by Gentner in favor of the Sellers.</w:t>
      </w:r>
    </w:p>
    <w:p>
      <w:pPr>
        <w:spacing w:after="0" w:line="205"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Earn-Out Shares will not be registered for re-sale.</w:t>
      </w:r>
    </w:p>
    <w:p>
      <w:pPr>
        <w:spacing w:after="0" w:line="200" w:lineRule="exact"/>
        <w:rPr>
          <w:sz w:val="20"/>
          <w:szCs w:val="20"/>
          <w:color w:val="auto"/>
        </w:rPr>
      </w:pP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5.5</w:t>
        <w:tab/>
        <w:t>Documents and other items to be delivered in connection with the Transaction.</w:t>
      </w:r>
    </w:p>
    <w:p>
      <w:pPr>
        <w:spacing w:after="0" w:line="208" w:lineRule="exact"/>
        <w:rPr>
          <w:sz w:val="20"/>
          <w:szCs w:val="20"/>
          <w:color w:val="auto"/>
        </w:rPr>
      </w:pPr>
    </w:p>
    <w:p>
      <w:pPr>
        <w:ind w:left="4120" w:right="3679" w:hanging="3585"/>
        <w:spacing w:after="0" w:line="708" w:lineRule="auto"/>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board minutes of Gentner and the Purchaser. 13</w:t>
      </w:r>
    </w:p>
    <w:p>
      <w:pPr>
        <w:sectPr>
          <w:pgSz w:w="11900" w:h="16838" w:orient="portrait"/>
          <w:cols w:equalWidth="0" w:num="1">
            <w:col w:w="10219"/>
          </w:cols>
          <w:pgMar w:left="240" w:top="722" w:right="1440" w:bottom="1440" w:gutter="0" w:footer="0" w:header="0"/>
        </w:sectPr>
      </w:pPr>
    </w:p>
    <w:bookmarkStart w:id="84" w:name="page85"/>
    <w:bookmarkEnd w:id="84"/>
    <w:p>
      <w:pPr>
        <w:ind w:right="8099" w:firstLine="8"/>
        <w:spacing w:after="0" w:line="536" w:lineRule="auto"/>
        <w:tabs>
          <w:tab w:leader="none" w:pos="52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 COMPLETION 6.1 Stamping</w:t>
      </w:r>
    </w:p>
    <w:p>
      <w:pPr>
        <w:spacing w:after="0" w:line="1"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Purchaser shall, as soon as practicable following Completion, deliver to the Revenue Commissioners the share transfer forms referred to in Section 5 for assessment of stamp duty and shall pay the duty thus assessed. Prior to registration of such duly stamped share transfer forms in the register of members of the Company, the Seller shall co-operate in any manner required by the Purchaser for the convening, holding at short notice and conduct of general meetings of the Company and/or of each of the Subsidiaries, shall execute promptly on request all proxy forms, appointments of a representative, documents of consent to short notice and such like that the Purchaser may require and generally shall act in all respects as the nominee and at the direction of the Purchaser in relation to the Shares and the Nominee Shares and all rights and interests attaching thereto.</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Companies Act Notices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Seller and the Purchaser shall, within five days of Completion, give to each Group Company such notice as is required by Section 53 of the Companies Act 1990.</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WARRANTIES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General Warranty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Seller:-</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 represents and undertakes to the Purchaser and its successors in title in relation to the Group in the terms of the Warranties, provided however that the Purchaser will not be entitled to claim that any fact constitutes a breach of any of the Warranties if and to the extent that such fact has been fairly disclosed in the Disclosure Letter;</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undertakes to disclose immediately to the Purchaser anything which comes to its notice which is or may be a breach of any of the Warranties.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Accounts of Company</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At the time of the Completion, the Accounts of the Company will contain an equivalent of US$300,000</w:t>
      </w:r>
    </w:p>
    <w:p>
      <w:pPr>
        <w:spacing w:after="0" w:line="200" w:lineRule="exact"/>
        <w:rPr>
          <w:sz w:val="20"/>
          <w:szCs w:val="20"/>
          <w:color w:val="auto"/>
        </w:rPr>
      </w:pP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Effect of Completion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Warranties shall not in any respect by extinguished or affection by Completion, and the benefits thereof may be assigned in whole or in part by the Purchaser and Gentner, only in the case of the following events with respect to the Purchaser and/or Gentner: (i) a sale of all of the share capital, or (ii) a merger, or acquisition of either of them.</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85" w:name="page86"/>
    <w:bookmarkEnd w:id="85"/>
    <w:p>
      <w:pPr>
        <w:spacing w:after="0"/>
        <w:tabs>
          <w:tab w:leader="none" w:pos="52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Claims against the Group</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information supplied by or on behalf of any Group Company, its professional advisers or employees prior to Completion to the Seller or their respective agents representatives or advisers in connection with the Warranties and the Disclosure Letter and otherwise in relation to the business or affairs of the Group or any Group Company shall not be regarded as a representation, warranty or guarantee of its accuracy by any Group Company to the Seller and shall not constitute a defence or the basis of any claim for indemnity or contribution to any claim by the Purchaser hereunder;</w:t>
      </w:r>
    </w:p>
    <w:p>
      <w:pPr>
        <w:spacing w:after="0" w:line="21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avoidance of doubt, the Seller will not make any claim against:</w:t>
      </w:r>
    </w:p>
    <w:p>
      <w:pPr>
        <w:spacing w:after="0" w:line="224" w:lineRule="exact"/>
        <w:rPr>
          <w:sz w:val="20"/>
          <w:szCs w:val="20"/>
          <w:color w:val="auto"/>
        </w:rPr>
      </w:pPr>
    </w:p>
    <w:p>
      <w:pPr>
        <w:jc w:val="both"/>
        <w:ind w:left="540" w:right="1779" w:hanging="5"/>
        <w:spacing w:after="0" w:line="237" w:lineRule="auto"/>
        <w:tabs>
          <w:tab w:leader="none" w:pos="96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director or employee of a Group Company on whom the Seller may have relied before agreeing to any term of this Agreement or any of the documents to be executed or delivered pursuant to and in compliance with its terms or before making any statement in the Disclosure Letter;</w:t>
      </w:r>
    </w:p>
    <w:p>
      <w:pPr>
        <w:spacing w:after="0" w:line="207" w:lineRule="exact"/>
        <w:rPr>
          <w:rFonts w:ascii="Courier New" w:cs="Courier New" w:eastAsia="Courier New" w:hAnsi="Courier New"/>
          <w:sz w:val="18"/>
          <w:szCs w:val="18"/>
          <w:color w:val="auto"/>
        </w:rPr>
      </w:pPr>
    </w:p>
    <w:p>
      <w:pPr>
        <w:jc w:val="both"/>
        <w:ind w:left="540" w:right="1779" w:hanging="5"/>
        <w:spacing w:after="0" w:line="236" w:lineRule="auto"/>
        <w:tabs>
          <w:tab w:leader="none" w:pos="106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Group Company in respect of the information supplied or not supplied or opinions or advice given or not given by any such director or employee as aforesaid; or</w:t>
      </w:r>
    </w:p>
    <w:p>
      <w:pPr>
        <w:spacing w:after="0" w:line="208" w:lineRule="exact"/>
        <w:rPr>
          <w:rFonts w:ascii="Courier New" w:cs="Courier New" w:eastAsia="Courier New" w:hAnsi="Courier New"/>
          <w:sz w:val="18"/>
          <w:szCs w:val="18"/>
          <w:color w:val="auto"/>
        </w:rPr>
      </w:pPr>
    </w:p>
    <w:p>
      <w:pPr>
        <w:jc w:val="both"/>
        <w:ind w:left="540" w:right="1779" w:hanging="5"/>
        <w:spacing w:after="0" w:line="236" w:lineRule="auto"/>
        <w:tabs>
          <w:tab w:leader="none" w:pos="117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agrees that any Group Company, director, employee or professional adviser may rely on the provisions of this sub-clause although not a party to this Agreement.</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Notification to Purchaser</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 Seller shall forthwith disclose to the Purchaser in writing any matter or thing which may become known to it which is or could be a breach of or is inconsistent with or may render inaccurate or misleading any of the Warranties.</w:t>
      </w:r>
    </w:p>
    <w:p>
      <w:pPr>
        <w:spacing w:after="0" w:line="17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Separate Warranties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Each of the Warranties will be construed as a separate Warranty and will not be limited or restricted by reference to, or inference from, the terms of any other Warranty or other term of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7.7 Waivers etc</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rights and remedies of the Purchaser in respect of any breach of the Warranties shall not be affected by Completion, by any investigation made by it or on its behalf into the affairs of any Group Company, by its failing to exercise or by its delaying to exercise any right or remedy or by any other event or matter whatsoever, except a specific and duly authorised written waiver or release, and no single or partial exercise of any right or remedy shall preclude any further or other exercise.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7.8 No other warranties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Purchaser acknowledges and agrees that it has not entered into this Agreement in reliance upon any representation, warranty, covenant, promise,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86" w:name="page87"/>
    <w:bookmarkEnd w:id="86"/>
    <w:p>
      <w:pPr>
        <w:jc w:val="both"/>
        <w:ind w:right="1779"/>
        <w:spacing w:after="0" w:line="236" w:lineRule="auto"/>
        <w:rPr>
          <w:sz w:val="20"/>
          <w:szCs w:val="20"/>
          <w:color w:val="auto"/>
        </w:rPr>
      </w:pPr>
      <w:r>
        <w:rPr>
          <w:rFonts w:ascii="Courier New" w:cs="Courier New" w:eastAsia="Courier New" w:hAnsi="Courier New"/>
          <w:sz w:val="18"/>
          <w:szCs w:val="18"/>
          <w:color w:val="auto"/>
        </w:rPr>
        <w:t>undertaking or statement not contained in this Agreement or the Deed of Indemnity or any document scheduled or annexed to either such document or referred to in either of them.</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7.9 Limitations</w:t>
      </w:r>
    </w:p>
    <w:p>
      <w:pPr>
        <w:spacing w:after="0" w:line="207"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liability of the Seller (if any) under the Warranties shall be limited to the total amount that may be paid hereunder as the Purchase Price, including any Earn-Out Shares (whether paid or unpaid) and the value of the July Shares. For purposes of this limitation, the value of such shares at the time of issuance shall be used to determine their extent of the limitation on liability.</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7.10 Right of Set-Off</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satisfying the indemnification obligations of the Sellers set forth in Clause 13.1, Purchaser shall have the right to set-off against amounts or shares owing pursuant to the July Shares or the Earn-Out, allocated against each Shareholder in accordance with his/her/its pro-rata interest in the July Shares and Earn-Out Shares.</w:t>
      </w:r>
    </w:p>
    <w:p>
      <w:pPr>
        <w:spacing w:after="0" w:line="208" w:lineRule="exact"/>
        <w:rPr>
          <w:rFonts w:ascii="Courier New" w:cs="Courier New" w:eastAsia="Courier New" w:hAnsi="Courier New"/>
          <w:sz w:val="18"/>
          <w:szCs w:val="18"/>
          <w:color w:val="auto"/>
        </w:rPr>
      </w:pPr>
    </w:p>
    <w:p>
      <w:pPr>
        <w:jc w:val="both"/>
        <w:ind w:right="1779" w:firstLine="535"/>
        <w:spacing w:after="0" w:line="238"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shall have the option of recouping all or any part of any Adverse Consequences it may suffer by notifying the Sellers in writing of such Adverse Consequences (the "Set-Off Claim") stating (i) the amount of such Adverse Consequences, and (ii) the basis for such claim of Adverse Consequences in sufficient details for Sellers to evaluate the Set-Off Claim; Sellers shall have ten (10) days to evaluate and respond to Buyer's Set-Off Claim in writing. If the Sellers do not dispute Purchaser's Set-Off Claim, Purchaser shall be entitled to set off such claim against the July Shares, and, if no July Shares remain unissued, then the Earn-Out. In the event of a dispute regarding a Set-Off Claim, the parties will agree on an a mutually acceptable independent firm of chartered accountants who shall act as an expert and not an arbitrator and whose decision shall be final and binding (save in the case of manifest error). The number of July Shares and Earn-Out Shares shall be determined using a quotient, the numerator of which is the amount of the Set-Off Claim, and the denominator of which is the average closing price for the ten trading days prior to the date of the Set-Off Claim.</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6"/>
          <w:szCs w:val="16"/>
          <w:color w:val="auto"/>
        </w:rPr>
        <w:t>Warranties of Gentner And the Purchaser</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representations and warranties of Gentner and the Purchaser are as set forth on Schedules 5.1 and 5.2.</w:t>
      </w:r>
    </w:p>
    <w:p>
      <w:pPr>
        <w:spacing w:after="0" w:line="203" w:lineRule="exact"/>
        <w:rPr>
          <w:sz w:val="20"/>
          <w:szCs w:val="20"/>
          <w:color w:val="auto"/>
        </w:rPr>
      </w:pPr>
    </w:p>
    <w:p>
      <w:pPr>
        <w:ind w:left="1060" w:hanging="525"/>
        <w:spacing w:after="0"/>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Gentner:</w:t>
      </w:r>
    </w:p>
    <w:p>
      <w:pPr>
        <w:spacing w:after="0" w:line="206"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 represents and undertakes to each Seller and their successors in title in relation the warranties set out in Schedule 5.1;</w:t>
      </w:r>
    </w:p>
    <w:p>
      <w:pPr>
        <w:spacing w:after="0" w:line="208"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indemnify each Seller against costs or expenses (including reasonable legal costs) which it may incur, either before or after the commencement of any action, directly, or indirectly as a result of any intentional breach of any of the warranties referred to in paragraph (i), above;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87" w:name="page88"/>
    <w:bookmarkEnd w:id="87"/>
    <w:p>
      <w:pPr>
        <w:jc w:val="both"/>
        <w:ind w:left="1580" w:right="1779" w:hanging="526"/>
        <w:spacing w:after="0"/>
        <w:rPr>
          <w:sz w:val="20"/>
          <w:szCs w:val="20"/>
          <w:color w:val="auto"/>
        </w:rPr>
      </w:pPr>
      <w:r>
        <w:rPr>
          <w:rFonts w:ascii="Courier New" w:cs="Courier New" w:eastAsia="Courier New" w:hAnsi="Courier New"/>
          <w:sz w:val="18"/>
          <w:szCs w:val="18"/>
          <w:color w:val="auto"/>
        </w:rPr>
        <w:t>(iii)Undertakes to disclose</w:t>
      </w:r>
      <w:r>
        <w:rPr>
          <w:sz w:val="20"/>
          <w:szCs w:val="20"/>
          <w:color w:val="auto"/>
        </w:rPr>
        <w:t xml:space="preserve"> </w:t>
      </w:r>
      <w:r>
        <w:rPr>
          <w:rFonts w:ascii="Courier New" w:cs="Courier New" w:eastAsia="Courier New" w:hAnsi="Courier New"/>
          <w:sz w:val="18"/>
          <w:szCs w:val="18"/>
          <w:color w:val="auto"/>
        </w:rPr>
        <w:t>immediately to each Seller anything which comes to the notice of its officers or directors which is or may be a breach of any of the warranties referred to in paragraph (i), above.</w:t>
      </w:r>
    </w:p>
    <w:p>
      <w:pPr>
        <w:spacing w:after="0" w:line="396" w:lineRule="exact"/>
        <w:rPr>
          <w:sz w:val="20"/>
          <w:szCs w:val="20"/>
          <w:color w:val="auto"/>
        </w:rPr>
      </w:pPr>
    </w:p>
    <w:p>
      <w:pPr>
        <w:ind w:left="1060" w:hanging="525"/>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w:t>
      </w:r>
    </w:p>
    <w:p>
      <w:pPr>
        <w:spacing w:after="0" w:line="206"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 represents and undertakes to each Seller and their successors in title in relation the warranties set out in Schedule 5.2;</w:t>
      </w:r>
    </w:p>
    <w:p>
      <w:pPr>
        <w:spacing w:after="0" w:line="208"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indemnify each Seller against costs or expenses (including reasonable legal costs) which it may incur, either before or after the commencement of any action, directly, or indirectly as a result of any intentional breach of any of the warranties referred to in paragraph (i), above; and</w:t>
      </w:r>
    </w:p>
    <w:p>
      <w:pPr>
        <w:spacing w:after="0" w:line="209" w:lineRule="exact"/>
        <w:rPr>
          <w:sz w:val="20"/>
          <w:szCs w:val="20"/>
          <w:color w:val="auto"/>
        </w:rPr>
      </w:pPr>
    </w:p>
    <w:p>
      <w:pPr>
        <w:jc w:val="both"/>
        <w:ind w:left="1580" w:right="1779" w:hanging="526"/>
        <w:spacing w:after="0"/>
        <w:rPr>
          <w:sz w:val="20"/>
          <w:szCs w:val="20"/>
          <w:color w:val="auto"/>
        </w:rPr>
      </w:pPr>
      <w:r>
        <w:rPr>
          <w:rFonts w:ascii="Courier New" w:cs="Courier New" w:eastAsia="Courier New" w:hAnsi="Courier New"/>
          <w:sz w:val="18"/>
          <w:szCs w:val="18"/>
          <w:color w:val="auto"/>
        </w:rPr>
        <w:t>(iii)Undertakes to disclose</w:t>
      </w:r>
      <w:r>
        <w:rPr>
          <w:sz w:val="20"/>
          <w:szCs w:val="20"/>
          <w:color w:val="auto"/>
        </w:rPr>
        <w:t xml:space="preserve"> </w:t>
      </w:r>
      <w:r>
        <w:rPr>
          <w:rFonts w:ascii="Courier New" w:cs="Courier New" w:eastAsia="Courier New" w:hAnsi="Courier New"/>
          <w:sz w:val="18"/>
          <w:szCs w:val="18"/>
          <w:color w:val="auto"/>
        </w:rPr>
        <w:t>immediately to each Seller anything which comes to the notice of its officers or directors which is or may be a breach of any of the warranties referred to in paragraph (i),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7.12 Survival of Warranties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representations and warranties of the parties made in this Agreement shall survive the Completion for a period of three (3) years from the date of Completion, except that those representations and warranties in connection with taxes shall survive for seven (7) years. In addition, the indemnities set forth in section 13 (b) shall survive for a period of seven years from the date of the Completion.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7.13 Gentner Covenant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 consideration of each Seller entering into this Agreement, Gentner guarantees the full and punctual performance of all the obligations of the Purchaser under this Agreement.</w:t>
      </w:r>
    </w:p>
    <w:p>
      <w:pPr>
        <w:spacing w:after="0" w:line="209" w:lineRule="exact"/>
        <w:rPr>
          <w:sz w:val="20"/>
          <w:szCs w:val="20"/>
          <w:color w:val="auto"/>
        </w:rPr>
      </w:pPr>
    </w:p>
    <w:p>
      <w:pPr>
        <w:ind w:right="7579" w:firstLine="8"/>
        <w:spacing w:after="0" w:line="470" w:lineRule="auto"/>
        <w:tabs>
          <w:tab w:leader="none" w:pos="52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BY SELLER 8.1 Restrictive Covenant</w:t>
      </w:r>
    </w:p>
    <w:p>
      <w:pPr>
        <w:spacing w:after="0" w:line="12"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For the purpose of assuring to the Purchaser the full benefit of the Group and in consideration of the Purchaser agreeing to buy the Shares on the terms of this Agreement, each Seller covenants and undertakes with the Purchaser that it will not, without the prior written consent of the Purchaser, whether directly or indirectly and whether alone or in conjunction with or on behalf of any other person and whether as principal, agent, director, officer, shareholder, debenture holder, partner, joint venturer, consultant or otherwise:</w:t>
      </w:r>
    </w:p>
    <w:p>
      <w:pPr>
        <w:spacing w:after="0" w:line="188" w:lineRule="exact"/>
        <w:rPr>
          <w:sz w:val="20"/>
          <w:szCs w:val="20"/>
          <w:color w:val="auto"/>
        </w:rPr>
      </w:pPr>
    </w:p>
    <w:p>
      <w:pPr>
        <w:jc w:val="both"/>
        <w:ind w:right="1779" w:firstLine="535"/>
        <w:spacing w:after="0" w:line="279" w:lineRule="auto"/>
        <w:tabs>
          <w:tab w:leader="none" w:pos="94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two years immediately following the date hereof solicit or entice away from any Group Company any employee of any Group Company employed at the date of Completion whether as employee or as consultant;</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88" w:name="page89"/>
    <w:bookmarkEnd w:id="88"/>
    <w:p>
      <w:pPr>
        <w:jc w:val="both"/>
        <w:ind w:right="1779" w:firstLine="535"/>
        <w:spacing w:after="0" w:line="237" w:lineRule="auto"/>
        <w:tabs>
          <w:tab w:leader="none" w:pos="94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save as permitted by law, use or reveal to any person any secret or confidential information concerning any Group Company until such time as the same falls into the public domain otherwise than by reason of a breach of this covenant and undertaking;</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any one or more of the following names or any colourable imitation of any of them in the course of a business being carried on by the Company at Completion (or any name which is capable of being confused with such names): "Ivron", "Ivron Systems", or any other trademark owned by or previously used by the Company</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two years immediately after Completion solely or jointly, directly or indirectly engage in the Relevant Business in the Territory or become involved or connected with or carry on, participate, assist, be engaged or concerned or interested (except as the holder or beneficial holder for investment purposes of not more than 5% nominal value of any class of securities listed or dealt in on a recognised stock exchange) in the Territory during this said period in any company or firm carrying on any such business whether as employee, director, partner, consultant, agent, shareholder or sole proprietor or otherwise howsoever; and</w:t>
      </w:r>
    </w:p>
    <w:p>
      <w:pPr>
        <w:spacing w:after="0" w:line="213" w:lineRule="exact"/>
        <w:rPr>
          <w:rFonts w:ascii="Courier New" w:cs="Courier New" w:eastAsia="Courier New" w:hAnsi="Courier New"/>
          <w:sz w:val="18"/>
          <w:szCs w:val="18"/>
          <w:color w:val="auto"/>
        </w:rPr>
      </w:pPr>
    </w:p>
    <w:p>
      <w:pPr>
        <w:jc w:val="both"/>
        <w:ind w:right="1779" w:firstLine="535"/>
        <w:spacing w:after="0" w:line="273" w:lineRule="auto"/>
        <w:tabs>
          <w:tab w:leader="none" w:pos="948"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interfere either directly or indirectly or take any such steps as may interfere with the continuance of supplies to any Group Company (or the terms relating to such supplies) from any suppliers who are at the Completion or who have been at any time during [one] year immediately preceding Completion supply materials, components, products, goods or services to any Group Company.</w:t>
      </w:r>
    </w:p>
    <w:p>
      <w:pPr>
        <w:spacing w:after="0" w:line="38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Separate restrictions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Each covenant and undertaking contained in clause 8.1 shall be construed as a separate covenant and undertaking and:</w:t>
      </w:r>
    </w:p>
    <w:p>
      <w:pPr>
        <w:spacing w:after="0" w:line="208" w:lineRule="exact"/>
        <w:rPr>
          <w:sz w:val="20"/>
          <w:szCs w:val="20"/>
          <w:color w:val="auto"/>
        </w:rPr>
      </w:pPr>
    </w:p>
    <w:p>
      <w:pPr>
        <w:jc w:val="both"/>
        <w:ind w:right="1779" w:firstLine="535"/>
        <w:spacing w:after="0" w:line="237" w:lineRule="auto"/>
        <w:tabs>
          <w:tab w:leader="none" w:pos="948"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one or more of such covenants and undertakings or any part of such covenant and undertaking is held to be against the public interest or unlawful or in any way unreasonable (for example, by reason of the area, duration or type or scope of the covenant and undertaking) the remaining covenants and undertakings, or, as the case may be, the remaining part of the covenants and undertakings shall continue in full force and effect and shall bind the Seller; and</w:t>
      </w:r>
    </w:p>
    <w:p>
      <w:pPr>
        <w:spacing w:after="0" w:line="211"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consent to a court giving effect to such covenant and undertaking in such reduced form as may be decided by any Court of competent jurisdiction in order that it be held thereby to be reasonable.</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9.1 Subject to clause 9.2, no announcement concerning the sale or purchase of the Shares or any ancillary matter shall be made by any party without the prior written approval of the other of the content and timing of such announcement.</w:t>
      </w:r>
    </w:p>
    <w:p>
      <w:pPr>
        <w:spacing w:after="0" w:line="17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9.2 Any party may make an announcement concerning the sale or purchase of the Shares or any ancillary matter if required by:-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1440" w:gutter="0" w:footer="0" w:header="0"/>
        </w:sectPr>
      </w:pPr>
    </w:p>
    <w:bookmarkStart w:id="89" w:name="page90"/>
    <w:bookmarkEnd w:id="89"/>
    <w:p>
      <w:pPr>
        <w:ind w:left="960" w:hanging="425"/>
        <w:spacing w:after="0"/>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law of any relevant jurisdiction; and/or</w:t>
      </w:r>
    </w:p>
    <w:p>
      <w:pPr>
        <w:spacing w:after="0" w:line="206"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exchange or regulatory or Governmental body to which any party is subject or submits, wherever situated, whether or not the requirement has the force of law;</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case the party concerned shall take all steps as may be reasonable and practicable in the circumstances to agree the contents of such announcement with the other party before making such announcement and provided that any such announcement shall be made only after notice to the other party.</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9.3 The restrictions contained in this clause shall continue to apply after termination of this Agreement without limit in time.</w:t>
      </w:r>
    </w:p>
    <w:p>
      <w:pPr>
        <w:spacing w:after="0" w:line="203" w:lineRule="exact"/>
        <w:rPr>
          <w:sz w:val="20"/>
          <w:szCs w:val="20"/>
          <w:color w:val="auto"/>
        </w:rPr>
      </w:pPr>
    </w:p>
    <w:p>
      <w:pPr>
        <w:ind w:left="540" w:hanging="532"/>
        <w:spacing w:after="0"/>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 Mode of service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Notices and other communications to any party to this Agreement required or permitted hereunder or any proceedings relating hereto shall be in writing and will be sufficiently served:</w:t>
      </w:r>
    </w:p>
    <w:p>
      <w:pPr>
        <w:spacing w:after="0" w:line="203" w:lineRule="exact"/>
        <w:rPr>
          <w:sz w:val="20"/>
          <w:szCs w:val="20"/>
          <w:color w:val="auto"/>
        </w:rPr>
      </w:pPr>
    </w:p>
    <w:p>
      <w:pPr>
        <w:ind w:left="1060" w:hanging="525"/>
        <w:spacing w:after="0"/>
        <w:tabs>
          <w:tab w:leader="none" w:pos="10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delivered by hand, or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sent by fax (where a fax number has been set out below), or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sent by prepaid registered post,</w:t>
      </w:r>
    </w:p>
    <w:p>
      <w:pPr>
        <w:spacing w:after="0" w:line="207" w:lineRule="exact"/>
        <w:rPr>
          <w:sz w:val="20"/>
          <w:szCs w:val="20"/>
          <w:color w:val="auto"/>
        </w:rPr>
      </w:pPr>
    </w:p>
    <w:p>
      <w:pPr>
        <w:jc w:val="both"/>
        <w:ind w:left="540" w:right="1779"/>
        <w:spacing w:after="0" w:line="236" w:lineRule="auto"/>
        <w:rPr>
          <w:sz w:val="20"/>
          <w:szCs w:val="20"/>
          <w:color w:val="auto"/>
        </w:rPr>
      </w:pPr>
      <w:r>
        <w:rPr>
          <w:rFonts w:ascii="Courier New" w:cs="Courier New" w:eastAsia="Courier New" w:hAnsi="Courier New"/>
          <w:sz w:val="18"/>
          <w:szCs w:val="18"/>
          <w:color w:val="auto"/>
        </w:rPr>
        <w:t>to the address specified below in this clause or to such other address as is from time to time notified to the other party in accordance with the provisions of this clause: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Seller: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each Seller may direct from time to time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Purchaser: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Gentner Ventures Inc.</w:t>
      </w:r>
    </w:p>
    <w:p>
      <w:pPr>
        <w:ind w:left="540"/>
        <w:spacing w:after="0" w:line="238" w:lineRule="auto"/>
        <w:rPr>
          <w:sz w:val="20"/>
          <w:szCs w:val="20"/>
          <w:color w:val="auto"/>
        </w:rPr>
      </w:pPr>
      <w:r>
        <w:rPr>
          <w:rFonts w:ascii="Courier New" w:cs="Courier New" w:eastAsia="Courier New" w:hAnsi="Courier New"/>
          <w:sz w:val="18"/>
          <w:szCs w:val="18"/>
          <w:color w:val="auto"/>
        </w:rPr>
        <w:t>1825 Research Way</w:t>
      </w: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ind w:left="540"/>
        <w:spacing w:after="0" w:line="237" w:lineRule="auto"/>
        <w:rPr>
          <w:sz w:val="20"/>
          <w:szCs w:val="20"/>
          <w:color w:val="auto"/>
        </w:rPr>
      </w:pPr>
      <w:r>
        <w:rPr>
          <w:rFonts w:ascii="Courier New" w:cs="Courier New" w:eastAsia="Courier New" w:hAnsi="Courier New"/>
          <w:sz w:val="18"/>
          <w:szCs w:val="18"/>
          <w:color w:val="auto"/>
        </w:rPr>
        <w:t>Fax: (801) 974-3742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Gentner: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Gentner Communications Corporation</w:t>
      </w:r>
    </w:p>
    <w:p>
      <w:pPr>
        <w:ind w:left="540"/>
        <w:spacing w:after="0" w:line="238" w:lineRule="auto"/>
        <w:rPr>
          <w:sz w:val="20"/>
          <w:szCs w:val="20"/>
          <w:color w:val="auto"/>
        </w:rPr>
      </w:pPr>
      <w:r>
        <w:rPr>
          <w:rFonts w:ascii="Courier New" w:cs="Courier New" w:eastAsia="Courier New" w:hAnsi="Courier New"/>
          <w:sz w:val="18"/>
          <w:szCs w:val="18"/>
          <w:color w:val="auto"/>
        </w:rPr>
        <w:t>1825 Research Way</w:t>
      </w: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ind w:left="540"/>
        <w:spacing w:after="0" w:line="237" w:lineRule="auto"/>
        <w:rPr>
          <w:sz w:val="20"/>
          <w:szCs w:val="20"/>
          <w:color w:val="auto"/>
        </w:rPr>
      </w:pPr>
      <w:r>
        <w:rPr>
          <w:rFonts w:ascii="Courier New" w:cs="Courier New" w:eastAsia="Courier New" w:hAnsi="Courier New"/>
          <w:sz w:val="18"/>
          <w:szCs w:val="18"/>
          <w:color w:val="auto"/>
        </w:rPr>
        <w:t>Fax: (801) 974-3742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90" w:name="page91"/>
    <w:bookmarkEnd w:id="90"/>
    <w:p>
      <w:pPr>
        <w:ind w:left="540" w:right="1779" w:hanging="526"/>
        <w:spacing w:after="0"/>
        <w:rPr>
          <w:sz w:val="20"/>
          <w:szCs w:val="20"/>
          <w:color w:val="auto"/>
        </w:rPr>
      </w:pPr>
      <w:r>
        <w:rPr>
          <w:rFonts w:ascii="Courier New" w:cs="Courier New" w:eastAsia="Courier New" w:hAnsi="Courier New"/>
          <w:sz w:val="18"/>
          <w:szCs w:val="18"/>
          <w:color w:val="auto"/>
        </w:rPr>
        <w:t>10.2 Time of service.</w:t>
      </w:r>
      <w:r>
        <w:rPr>
          <w:sz w:val="20"/>
          <w:szCs w:val="20"/>
          <w:color w:val="auto"/>
        </w:rPr>
        <w:t xml:space="preserve"> </w:t>
      </w:r>
      <w:r>
        <w:rPr>
          <w:rFonts w:ascii="Courier New" w:cs="Courier New" w:eastAsia="Courier New" w:hAnsi="Courier New"/>
          <w:sz w:val="18"/>
          <w:szCs w:val="18"/>
          <w:color w:val="auto"/>
        </w:rPr>
        <w:t>Any such notice or communication shall be deemed to have been served:</w:t>
      </w:r>
    </w:p>
    <w:p>
      <w:pPr>
        <w:spacing w:after="0" w:line="398" w:lineRule="exact"/>
        <w:rPr>
          <w:sz w:val="20"/>
          <w:szCs w:val="20"/>
          <w:color w:val="auto"/>
        </w:rPr>
      </w:pPr>
    </w:p>
    <w:p>
      <w:pPr>
        <w:ind w:left="960" w:hanging="425"/>
        <w:spacing w:after="0"/>
        <w:tabs>
          <w:tab w:leader="none" w:pos="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delivered by hand, on delivery;</w:t>
      </w:r>
    </w:p>
    <w:p>
      <w:pPr>
        <w:spacing w:after="0" w:line="206"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sent by fax, when the sender's facsimile machine issues confirmation that the relevant pages have been transmitted to the recipient's facsimile machine; and</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sent by pre-paid registered post, on the third Business Day after the date of posting;</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provided that, if in accordance with the above provisions, any such notice or communication is delivered by hand or received by facsimile outside Working Hours on any day, such notice or communication shall be deemed to have been served at the start of Working Hours on the next Business Day thereafter.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 Fax notices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Each person giving a notice or making a communication hereunder by facsimile shall promptly confirm such notice or communication by post to the person to whom such notice or communication was addressed but the absence of any such confirmation shall not affect the validity of any such notice or communication or the time upon which it is deemed to have been served.</w:t>
      </w:r>
    </w:p>
    <w:p>
      <w:pPr>
        <w:spacing w:after="0" w:line="203" w:lineRule="exact"/>
        <w:rPr>
          <w:sz w:val="20"/>
          <w:szCs w:val="20"/>
          <w:color w:val="auto"/>
        </w:rPr>
      </w:pPr>
    </w:p>
    <w:p>
      <w:pPr>
        <w:ind w:left="540" w:hanging="532"/>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 Further assurance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 the request of the Purchaser from time to time, each Seller shall, (and shall procure that any other necessary party shall) at Purchaser's cost and expense (other than for legal counsel) execute and do all such documents, acts and things as may be reasonably required subsequent to Completion for assuring to or vesting in the Purchaser (including its nominee or nominees) the beneficial ownership of the Shares free from Encumbrances or otherwise in order to perfect the right, title and interest of the Purchaser to the Shares or of any Group Company to any asset or as otherwise may be reasonably necessary or desirable in order to grant to the Purchaser the full benefit and effect of this Agreement.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 Successors and assigns</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may assign its rights and/or obligations hereunder without the consent of the other parties hereto, provided that the Purchaser shall after such assignment notify the other parties hereto of such assignment. Each Seller must obtain the prior consent of the Purchaser to assign its rights and/or obligations under this Agreement, which consent will not be unreasonably withheld.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91" w:name="page92"/>
    <w:bookmarkEnd w:id="91"/>
    <w:p>
      <w:pPr>
        <w:jc w:val="both"/>
        <w:ind w:right="1779" w:firstLine="535"/>
        <w:spacing w:after="0" w:line="236"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enure to the benefit of and be binding upon the respective parties hereto and their respective successors, personal representatives and permitted assigns.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 Costs and Expenses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Each party shall bear any costs, fees or expenses incurred by it in connection with the drafting, negotiation and entering into of this Agreement and the documents referred to in 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 Termination or Rescission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the Purchaser terminates or rescinds this Agreement under any of its provisions or under general law then, in addition to any right or remedy which it may have against the Seller for breach of this Agreement or the Warranties, the Seller shall indemnify the Purchaser on demand for all costs, charges and expenses incurred by it in connection with the negotiation, preparation and determination or rescission of this Agreement and all matters which it contemplates.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11.5 Waiver</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waiver by the Purchaser of any breach by any party hereto of any of the terms, provisions or conditions of this Agreement or the acquiescence of the Purchaser in any act (whether commission or omission) which, but for such acquiescence, would be a breach as aforesaid, shall not constitute a general waiver of such term, provision or condition or an acquiescence to any subsequent act contrary thereto.</w:t>
      </w:r>
    </w:p>
    <w:p>
      <w:pPr>
        <w:spacing w:after="0" w:line="209"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remedy or right conferred upon the Purchaser for breach of this agreement shall be in addition to and without prejudice to all other rights and remedies available to it whether pursuant to this Agreement or provided for by law.</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the Purchaser in exercising any claim, remedy, right, power or privilege under this Agreement shall operate as a waiver nor shall a single or partial exercise of any claim, remedy, right, power or privilege preclude any further exercise thereof or exercise of any other claim, right, power or privilege.</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any provision of this Agreement transpire not to be enforceable against any of the parties hereto, such non-enforceability shall not render such provision unenforceable against any other party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 Counterparts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Agreement may be executed in any number of counterparts and by the different parties hereto on separate counterpart, each of which when executed and delivered shall constitute an original, all such counterparts together constituting but one and the same instrument.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 Law and Jurisdiction</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Ireland and each of the parties hereto submits to the non-exclusive jurisdiction of the Courts of Ireland for any of the purposes of this Agreement.</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8"/>
          <w:szCs w:val="18"/>
          <w:color w:val="auto"/>
        </w:rPr>
        <w:t>11.8 Survival of Obligations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provisions of this Agreement which shall not have been performed on Completion shall remain in full force and effect notwithstanding Completion.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 Post-Completion Information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Seller shall provide or procure the provision to the Purchaser of all information in its possession or under its control which the Purchaser shall from time to time reasonably require subsequent to Completion relating to the business and affairs of any Group Company and will give, or procure to be given to the Purchaser, its advisors and agents, such access to (including the right to take copies of) any documents in its possession or under its control containing such information as the Purchaser may from time to time reasonably require.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11.10 Whole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Agreement, the documents to be executed pursuant to the provisions hereof, and the Disclosure Letter constitute the whole agreement between the parties hereto in relation to the transactions provided for in this Agreement and supersede all previous agreements (if any) between such parties in respect of such matters and each of the parties to this Agreement acknowledges that in agreeing to enter into this Agreement it has not relied on any representations or warranties except for those contained in this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11.11 Severability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Each of the provisions of this Agreement is separate and severable and enforceable accordingly and if at any time any provision is adjudged by any Court of competent jurisdiction to be void or unenforceable, the validity, legality and enforceability of the remaining provisions hereof or of that provision in any other jurisdiction shall not in any way be affected or impaired thereby.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11.12 Variation</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No variation of this Agreement shall be valid unless it is in writing and signed by or on behalf of each of the parties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11.13 Confidentiality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existence and terms and conditions of this Agreement are strictly confidential and may not be disclosed to anyone other than to the directors, officers, critical employees, and advisers of Purchaser, Seller, and Company Group, who have fiduciary or legal responsibilities to the Company to keep such information confidential. The parties acknowledge and agree that they are parties to a mutual non-disclosure agreement, and continue to be bound by the terms thereof.</w:t>
      </w:r>
    </w:p>
    <w:p>
      <w:pPr>
        <w:spacing w:after="0" w:line="205"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INDEMNITIES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Each of the Sellers hereby covenants with and to the Purchaser (the Purchaser receiving and taking the indemnity for itself and for the owners for the time being of the Shares) to indemnify the Purchaser (as aforesaid) from and against all and 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93" w:name="page94"/>
    <w:bookmarkEnd w:id="93"/>
    <w:p>
      <w:pPr>
        <w:ind w:left="960" w:hanging="425"/>
        <w:spacing w:after="0"/>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Consequences arising from the breach of any Warranty;</w:t>
      </w:r>
    </w:p>
    <w:p>
      <w:pPr>
        <w:spacing w:after="0" w:line="206"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proceedings, costs, damages, expenses, claims and demands; arising by reason of or on account of:</w:t>
      </w:r>
    </w:p>
    <w:p>
      <w:pPr>
        <w:spacing w:after="0" w:line="208" w:lineRule="exact"/>
        <w:rPr>
          <w:sz w:val="20"/>
          <w:szCs w:val="20"/>
          <w:color w:val="auto"/>
        </w:rPr>
      </w:pPr>
    </w:p>
    <w:p>
      <w:pPr>
        <w:jc w:val="both"/>
        <w:ind w:right="1779" w:firstLine="535"/>
        <w:spacing w:after="0" w:line="275" w:lineRule="auto"/>
        <w:tabs>
          <w:tab w:leader="none" w:pos="948"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loss, claim, or damage, including reasonable attorneys' fees and costs, in connection with any claim or assertion by Viseon, Inc. (formerly, RSI Systems, Inc.) that any product or intellectual property of the Group Companies infringes any intellectual property right or claim of Viseon, Inc.; and</w:t>
      </w:r>
    </w:p>
    <w:p>
      <w:pPr>
        <w:spacing w:after="0" w:line="182" w:lineRule="exact"/>
        <w:rPr>
          <w:rFonts w:ascii="Courier New" w:cs="Courier New" w:eastAsia="Courier New" w:hAnsi="Courier New"/>
          <w:sz w:val="16"/>
          <w:szCs w:val="16"/>
          <w:color w:val="auto"/>
        </w:rPr>
      </w:pPr>
    </w:p>
    <w:p>
      <w:pPr>
        <w:jc w:val="both"/>
        <w:ind w:right="1779" w:firstLine="535"/>
        <w:spacing w:after="0" w:line="236"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claim, or damage, including reasonable attorneys' fees and costs, in connection with any claim or assertion by "MSL, a supplier of goods to the Company.</w:t>
      </w:r>
    </w:p>
    <w:p>
      <w:pPr>
        <w:spacing w:after="0" w:line="209"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Notwithstanding the other provisions of this Agreement or the Disclosure Letter, the indemnities set forth in (b), above, shall not be reduced or limited by any disclosures or limitations made herein or in the Disclosure Letter.</w:t>
      </w:r>
    </w:p>
    <w:p>
      <w:pPr>
        <w:spacing w:after="0" w:line="200" w:lineRule="exact"/>
        <w:rPr>
          <w:sz w:val="20"/>
          <w:szCs w:val="20"/>
          <w:color w:val="auto"/>
        </w:rPr>
      </w:pPr>
    </w:p>
    <w:p>
      <w:pPr>
        <w:spacing w:after="0" w:line="383"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 WITNESS of which the parties have caused this Agreement to be executed under seal on the date specified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94" w:name="page95"/>
    <w:bookmarkEnd w:id="94"/>
    <w:p>
      <w:pPr>
        <w:ind w:left="3700"/>
        <w:spacing w:after="0"/>
        <w:rPr>
          <w:sz w:val="20"/>
          <w:szCs w:val="20"/>
          <w:color w:val="auto"/>
        </w:rPr>
      </w:pPr>
      <w:r>
        <w:rPr>
          <w:rFonts w:ascii="Courier New" w:cs="Courier New" w:eastAsia="Courier New" w:hAnsi="Courier New"/>
          <w:sz w:val="18"/>
          <w:szCs w:val="18"/>
          <w:color w:val="auto"/>
        </w:rPr>
        <w:t>SCHEDULE 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PARTICULARS OF THE COMPANY AND THE SUBSIDIARIES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Part 1 -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Company: Ivron systems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Number: 276380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Office: 30 Herbert Street, Dublin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Incorporation: 01 December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Place of Incorporation: Dublin, Ireland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Status: Private Company Limited by Shares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Authorised Share Capital: US$20,000,000 divided into 19,850,000 ordinary and 150,000 "A" Ordinary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Issued Share Capital: US$5,350,181</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Registered Shareholders and number of shares held by each: see Shareholder Matrix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Full Names: See Disclosure Letter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Secretary's Full Name: David Smyth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Last Accounts Date: 31 December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Auditors: KPMG (prior to Completion)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Description of Business: Development, design, manufacturing and sale of videoconferencing equipment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95" w:name="page96"/>
    <w:bookmarkEnd w:id="95"/>
    <w:p>
      <w:pPr>
        <w:ind w:left="2960"/>
        <w:spacing w:after="0"/>
        <w:rPr>
          <w:sz w:val="20"/>
          <w:szCs w:val="20"/>
          <w:color w:val="auto"/>
        </w:rPr>
      </w:pPr>
      <w:r>
        <w:rPr>
          <w:rFonts w:ascii="Courier New" w:cs="Courier New" w:eastAsia="Courier New" w:hAnsi="Courier New"/>
          <w:sz w:val="18"/>
          <w:szCs w:val="18"/>
          <w:color w:val="auto"/>
        </w:rPr>
        <w:t>Part 2 - the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Company: Ivron Systems,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Number: Delaware file number: 2794479</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Registered Office: Corporation Service Company, 1013 Center Street, Wilmington, 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Incorporation: September 11,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Place of Incorporation: The state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Status: Active, and current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Authorised Share Capital: $1,000.00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Issued Share Capital: $1,000.00</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Beneficially Owned By:</w:t>
      </w:r>
      <w:r>
        <w:rPr>
          <w:sz w:val="20"/>
          <w:szCs w:val="20"/>
          <w:color w:val="auto"/>
        </w:rPr>
        <w:tab/>
      </w:r>
      <w:r>
        <w:rPr>
          <w:rFonts w:ascii="Courier New" w:cs="Courier New" w:eastAsia="Courier New" w:hAnsi="Courier New"/>
          <w:sz w:val="16"/>
          <w:szCs w:val="16"/>
          <w:color w:val="auto"/>
        </w:rPr>
        <w:t>Ivron Systems, Ltd.</w:t>
      </w:r>
    </w:p>
    <w:p>
      <w:pPr>
        <w:spacing w:after="0" w:line="20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Registered Shareholders:</w:t>
      </w:r>
      <w:r>
        <w:rPr>
          <w:sz w:val="20"/>
          <w:szCs w:val="20"/>
          <w:color w:val="auto"/>
        </w:rPr>
        <w:tab/>
      </w:r>
      <w:r>
        <w:rPr>
          <w:rFonts w:ascii="Courier New" w:cs="Courier New" w:eastAsia="Courier New" w:hAnsi="Courier New"/>
          <w:sz w:val="16"/>
          <w:szCs w:val="16"/>
          <w:color w:val="auto"/>
        </w:rPr>
        <w:t>Ivron systems,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Full Names: Michael Pierce, Joe Stockton, and David Smyth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Secretary's Full Name: David Smyth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Last Accounts Date: December 31,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Auditors: United States tax preparation done by Johnson &amp; Conti, P.C.</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Description of Business: Sales and service of computer software and related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96" w:name="page97"/>
    <w:bookmarkEnd w:id="96"/>
    <w:p>
      <w:pPr>
        <w:ind w:left="2500"/>
        <w:spacing w:after="0"/>
        <w:rPr>
          <w:sz w:val="20"/>
          <w:szCs w:val="20"/>
          <w:color w:val="auto"/>
        </w:rPr>
      </w:pPr>
      <w:r>
        <w:rPr>
          <w:rFonts w:ascii="Courier New" w:cs="Courier New" w:eastAsia="Courier New" w:hAnsi="Courier New"/>
          <w:sz w:val="18"/>
          <w:szCs w:val="18"/>
          <w:color w:val="auto"/>
        </w:rPr>
        <w:t>SCHEDULE 2</w:t>
      </w:r>
    </w:p>
    <w:p>
      <w:pPr>
        <w:spacing w:after="0" w:line="207"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DEED OF INDEMNITY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019"/>
          </w:cols>
          <w:pgMar w:left="1440" w:top="919" w:right="1440" w:bottom="1440" w:gutter="0" w:footer="0" w:header="0"/>
        </w:sectPr>
      </w:pPr>
    </w:p>
    <w:bookmarkStart w:id="97" w:name="page98"/>
    <w:bookmarkEnd w:id="97"/>
    <w:p>
      <w:pPr>
        <w:ind w:left="2500"/>
        <w:spacing w:after="0"/>
        <w:rPr>
          <w:sz w:val="20"/>
          <w:szCs w:val="20"/>
          <w:color w:val="auto"/>
        </w:rPr>
      </w:pPr>
      <w:r>
        <w:rPr>
          <w:rFonts w:ascii="Courier New" w:cs="Courier New" w:eastAsia="Courier New" w:hAnsi="Courier New"/>
          <w:sz w:val="18"/>
          <w:szCs w:val="18"/>
          <w:color w:val="auto"/>
        </w:rPr>
        <w:t>SCHEUDULE 3</w:t>
      </w: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[INTENTIONALLY OMITED]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019"/>
          </w:cols>
          <w:pgMar w:left="1440" w:top="717" w:right="1440" w:bottom="144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SCHEDULE 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WARRANTIES REPRESENTATIONS AND UNDERTAKINGS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 this Schedule the expression "Company" shall</w:t>
      </w:r>
    </w:p>
    <w:p>
      <w:pPr>
        <w:ind w:left="2000"/>
        <w:spacing w:after="0" w:line="238" w:lineRule="auto"/>
        <w:rPr>
          <w:sz w:val="20"/>
          <w:szCs w:val="20"/>
          <w:color w:val="auto"/>
        </w:rPr>
      </w:pPr>
      <w:r>
        <w:rPr>
          <w:rFonts w:ascii="Courier New" w:cs="Courier New" w:eastAsia="Courier New" w:hAnsi="Courier New"/>
          <w:sz w:val="18"/>
          <w:szCs w:val="18"/>
          <w:color w:val="auto"/>
        </w:rPr>
        <w:t>be deemed to mean any Member of the Group.</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Part 1: General</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ACCURACY OF INFORMATION</w:t>
      </w:r>
    </w:p>
    <w:p>
      <w:pPr>
        <w:spacing w:after="0" w:line="201" w:lineRule="exact"/>
        <w:rPr>
          <w:sz w:val="20"/>
          <w:szCs w:val="20"/>
          <w:color w:val="auto"/>
        </w:rPr>
      </w:pPr>
    </w:p>
    <w:p>
      <w:pPr>
        <w:ind w:left="540" w:hanging="532"/>
        <w:spacing w:after="0"/>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Furnished.</w:t>
      </w:r>
    </w:p>
    <w:p>
      <w:pPr>
        <w:spacing w:after="0" w:line="4"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given by or on behalf of the Seller or the Company to the Purchaser or any shareholder, accountant, lawyer or agent thereof the due diligence process leading to this Agreement was, when given, and is at the date hereof, to our knowledge, true, accurate and complete in all material respects.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Information.</w:t>
      </w:r>
    </w:p>
    <w:p>
      <w:pPr>
        <w:spacing w:after="0" w:line="4"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fact or matter which, to the knowledge of each Seller, has not been disclosed in writing to the Purchaser which renders the information referred to in paragraph 1 untrue or misleading at the date of this Agreement or which, on the basis of good faith, ought to be disclosed to any intending purchaser of the Shares or the disclosure of which might reasonably affect the willingness of a purchaser to purchase the Shares on the terms (including the consideration) contained herein.</w:t>
      </w: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4"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representations or warranties made by the Seller in this Agreement or in any document to be delivered by it pursuant hereto contains or will contain any untrue statement of a fact, or omits or will omit to state a fact necessary to make any statement or fact contained herein or therein not misleading.</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Letter.</w:t>
      </w:r>
    </w:p>
    <w:p>
      <w:pPr>
        <w:spacing w:after="0" w:line="4"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or attached to the Disclosure Letter is true, complete and accurate in all respects.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Recitals and Schedules.</w:t>
      </w:r>
    </w:p>
    <w:p>
      <w:pPr>
        <w:spacing w:after="0" w:line="4"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out in the recitals and Schedules hereto is true, complete and accurate in all respects.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CAPACITY</w:t>
      </w:r>
    </w:p>
    <w:p>
      <w:pPr>
        <w:spacing w:after="0" w:line="201"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4" w:lineRule="exact"/>
        <w:rPr>
          <w:sz w:val="20"/>
          <w:szCs w:val="20"/>
          <w:color w:val="auto"/>
        </w:rPr>
      </w:pPr>
    </w:p>
    <w:p>
      <w:pPr>
        <w:jc w:val="both"/>
        <w:ind w:left="540" w:right="1779" w:hanging="532"/>
        <w:spacing w:after="0" w:line="236"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Seller is the sole beneficial owner of the number of Shares listed opposite his name in Part 1 Schedule 1 free and clear of all liens, encumbrances, restrictions and claims of every kind.</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will transfer to the Purchaser on Completion good and marketable title to the Shares, free and clear of all liens, encumbrances, restrictions, trusts and claims of every kind.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19" w:right="1440" w:bottom="1440" w:gutter="0" w:footer="0" w:header="0"/>
        </w:sectPr>
      </w:pPr>
    </w:p>
    <w:bookmarkStart w:id="99" w:name="page100"/>
    <w:bookmarkEnd w:id="99"/>
    <w:p>
      <w:pPr>
        <w:ind w:left="532" w:hanging="532"/>
        <w:spacing w:after="0"/>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acquired and holds the Shares in compliance with law.</w:t>
      </w:r>
    </w:p>
    <w:p>
      <w:pPr>
        <w:spacing w:after="0" w:line="206"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constitute the whole of the allotted and issued share capital of the Company and are fully paid.</w:t>
      </w:r>
    </w:p>
    <w:p>
      <w:pPr>
        <w:spacing w:after="0" w:line="208"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Group Companies listed in Schedule 1 Part 2 are all the present subsidiaries (within the meaning of Section 155 Companies Act 1963) of the Company.</w:t>
      </w:r>
    </w:p>
    <w:p>
      <w:pPr>
        <w:spacing w:after="0" w:line="208"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the sole beneficial owner of the shares in each Group Company listed in Part 2 Schedule 1 free from any lien, encumbrance, restriction, trust or claim of any kind.</w:t>
      </w:r>
    </w:p>
    <w:p>
      <w:pPr>
        <w:spacing w:after="0" w:line="203" w:lineRule="exact"/>
        <w:rPr>
          <w:sz w:val="20"/>
          <w:szCs w:val="20"/>
          <w:color w:val="auto"/>
        </w:rPr>
      </w:pPr>
    </w:p>
    <w:p>
      <w:pPr>
        <w:ind w:left="532" w:hanging="532"/>
        <w:spacing w:after="0"/>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Authorisation.</w:t>
      </w:r>
    </w:p>
    <w:p>
      <w:pPr>
        <w:spacing w:after="0" w:line="4" w:lineRule="exact"/>
        <w:rPr>
          <w:sz w:val="20"/>
          <w:szCs w:val="20"/>
          <w:color w:val="auto"/>
        </w:rPr>
      </w:pPr>
    </w:p>
    <w:p>
      <w:pPr>
        <w:jc w:val="both"/>
        <w:ind w:left="532" w:right="1779" w:hanging="532"/>
        <w:spacing w:after="0" w:line="236" w:lineRule="auto"/>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has the full legal right, power and authority to enter into and perform this Agreement and the Deed of Indemnity and all transactions referred to herein and therein.</w:t>
      </w:r>
    </w:p>
    <w:p>
      <w:pPr>
        <w:spacing w:after="0" w:line="208" w:lineRule="exact"/>
        <w:rPr>
          <w:rFonts w:ascii="Courier New" w:cs="Courier New" w:eastAsia="Courier New" w:hAnsi="Courier New"/>
          <w:sz w:val="18"/>
          <w:szCs w:val="18"/>
          <w:color w:val="auto"/>
        </w:rPr>
      </w:pPr>
    </w:p>
    <w:p>
      <w:pPr>
        <w:jc w:val="both"/>
        <w:ind w:left="532" w:right="1779" w:hanging="532"/>
        <w:spacing w:after="0" w:line="279" w:lineRule="auto"/>
        <w:tabs>
          <w:tab w:leader="none" w:pos="53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has the absolute right to sell, assign, transfer and convey the Shares pursuant to this Agreement without obtaining the consent or approval of any other person, governmental authority or other third party.</w:t>
      </w:r>
    </w:p>
    <w:p>
      <w:pPr>
        <w:spacing w:after="0" w:line="178" w:lineRule="exact"/>
        <w:rPr>
          <w:rFonts w:ascii="Courier New" w:cs="Courier New" w:eastAsia="Courier New" w:hAnsi="Courier New"/>
          <w:sz w:val="16"/>
          <w:szCs w:val="16"/>
          <w:color w:val="auto"/>
        </w:rPr>
      </w:pPr>
    </w:p>
    <w:p>
      <w:pPr>
        <w:jc w:val="both"/>
        <w:ind w:left="532" w:right="1779" w:hanging="532"/>
        <w:spacing w:after="0" w:line="237" w:lineRule="auto"/>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and all other instruments and agreements of the Seller provided for herein will be on Completion, duly executed and delivered by the Seller and this Agreement constitutes, and all such other instruments and agreements will constitute on Completion, the valid and binding obligations of the Seller, enforceable against it in accordance with their respective terms.</w:t>
      </w:r>
    </w:p>
    <w:p>
      <w:pPr>
        <w:spacing w:after="0" w:line="210" w:lineRule="exact"/>
        <w:rPr>
          <w:sz w:val="20"/>
          <w:szCs w:val="20"/>
          <w:color w:val="auto"/>
        </w:rPr>
      </w:pPr>
    </w:p>
    <w:p>
      <w:pPr>
        <w:jc w:val="both"/>
        <w:ind w:left="532" w:right="1779" w:hanging="532"/>
        <w:spacing w:after="0" w:line="237" w:lineRule="auto"/>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Conflicts with Other Agreements. The execution and delivery by the Seller of this Agreement and the performance by the Seller of its obligations hereunder will not, or with the giving of notice or the lapse of time or both, would not:-</w:t>
      </w:r>
    </w:p>
    <w:p>
      <w:pPr>
        <w:spacing w:after="0" w:line="207"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 with or result in a breach of or constitute a default under any provision of the memorandum and articles of association of the Company or of any contract, license, indenture, lease, sublease, loan agreement, restriction, lien, encumbrance or other obligation or liability to which the Company, or the Seller are a party or by which the Company, or the Seller are affected or bound or result in or create in any party the right to accelerate, terminate, modify or cancel any such contract, license, indenture, lease, sublease or loan agreement;</w:t>
      </w:r>
    </w:p>
    <w:p>
      <w:pPr>
        <w:spacing w:after="0" w:line="213"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order, writ, injunction, decree, law, statute, rule or regulation; or</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creation or imposition of any lien, claim, restriction, charge or encumbrance upon the assets or property of the Company or the Shares.</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Organization.</w:t>
      </w:r>
    </w:p>
    <w:p>
      <w:pPr>
        <w:spacing w:after="0" w:line="4" w:lineRule="exact"/>
        <w:rPr>
          <w:sz w:val="20"/>
          <w:szCs w:val="20"/>
          <w:color w:val="auto"/>
        </w:rPr>
      </w:pPr>
    </w:p>
    <w:p>
      <w:pPr>
        <w:jc w:val="both"/>
        <w:ind w:left="532" w:right="1779" w:hanging="532"/>
        <w:spacing w:after="0" w:line="279" w:lineRule="auto"/>
        <w:tabs>
          <w:tab w:leader="none" w:pos="53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validly existing and in good standing under the laws of its jurisdiction of incorporation, with all requisite corporate power and authority to own, lease and operate its Properties and assets</w:t>
      </w:r>
    </w:p>
    <w:p>
      <w:pPr>
        <w:spacing w:after="0" w:line="37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1"/>
          </w:cols>
          <w:pgMar w:left="248" w:top="717" w:right="1440" w:bottom="1440" w:gutter="0" w:footer="0" w:header="0"/>
        </w:sectPr>
      </w:pPr>
    </w:p>
    <w:bookmarkStart w:id="100" w:name="page101"/>
    <w:bookmarkEnd w:id="100"/>
    <w:p>
      <w:pPr>
        <w:ind w:left="540" w:right="1779"/>
        <w:spacing w:after="0" w:line="235" w:lineRule="auto"/>
        <w:rPr>
          <w:sz w:val="20"/>
          <w:szCs w:val="20"/>
          <w:color w:val="auto"/>
        </w:rPr>
      </w:pPr>
      <w:r>
        <w:rPr>
          <w:rFonts w:ascii="Courier New" w:cs="Courier New" w:eastAsia="Courier New" w:hAnsi="Courier New"/>
          <w:sz w:val="18"/>
          <w:szCs w:val="18"/>
          <w:color w:val="auto"/>
        </w:rPr>
        <w:t>used in connection therewith, to carry on its business as presently conducted by it, and to consummate the transactions contemplated hereby.</w:t>
      </w:r>
    </w:p>
    <w:p>
      <w:pPr>
        <w:spacing w:after="0" w:line="208" w:lineRule="exact"/>
        <w:rPr>
          <w:sz w:val="20"/>
          <w:szCs w:val="20"/>
          <w:color w:val="auto"/>
        </w:rPr>
      </w:pPr>
    </w:p>
    <w:p>
      <w:pPr>
        <w:ind w:left="540" w:right="1779" w:hanging="532"/>
        <w:spacing w:after="0" w:line="235" w:lineRule="auto"/>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required to be licensed or qualified to conduct its business or own its property in any jurisdiction.</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outside Ireland any branch, agency or place of business, or any permanent establishment (as that expression is defined in the relevant double taxation relief orders current at the date of this Agreement), other than as set forth on Schedule 12, part 2.</w:t>
      </w:r>
    </w:p>
    <w:p>
      <w:pPr>
        <w:spacing w:after="0" w:line="202" w:lineRule="exact"/>
        <w:rPr>
          <w:sz w:val="20"/>
          <w:szCs w:val="20"/>
          <w:color w:val="auto"/>
        </w:rPr>
      </w:pPr>
    </w:p>
    <w:p>
      <w:pPr>
        <w:ind w:left="540" w:hanging="532"/>
        <w:spacing w:after="0"/>
        <w:tabs>
          <w:tab w:leader="none" w:pos="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w:t>
      </w:r>
    </w:p>
    <w:p>
      <w:pPr>
        <w:spacing w:after="0" w:line="4" w:lineRule="exact"/>
        <w:rPr>
          <w:sz w:val="20"/>
          <w:szCs w:val="20"/>
          <w:color w:val="auto"/>
        </w:rPr>
      </w:pPr>
    </w:p>
    <w:p>
      <w:pPr>
        <w:jc w:val="both"/>
        <w:ind w:left="540" w:right="1779" w:hanging="532"/>
        <w:spacing w:after="0" w:line="236"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Part 1 contains a true and complete list of the authorised, issued and outstanding shares of the Company including the respective number of Shares owned nominally and beneficially by the Seller.</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constitute all of the issued and outstanding shares of the Company.</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Shares have been duly authorised and validly issued and are fully paid and not subject to any actual or contingent call and are not subject to any lien or encumbrance.</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outstanding right, subscription, warrant, call, pre-emptive right, option or other agreement or commitment of any kind to purchase or otherwise to receive from the Company any of the authorised but unissued capital stock or treasury shares of the Company and there is no outstanding security of any kind convertible into such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w w:val="96"/>
              </w:rPr>
              <w:t>11.  Memorandum</w:t>
            </w:r>
          </w:p>
        </w:tc>
        <w:tc>
          <w:tcPr>
            <w:tcW w:w="32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and  Articles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 copy</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the</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memorandum and</w:t>
            </w:r>
          </w:p>
        </w:tc>
        <w:tc>
          <w:tcPr>
            <w:tcW w:w="48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articles of association of each Group Company</w:t>
            </w:r>
          </w:p>
        </w:tc>
      </w:tr>
      <w:tr>
        <w:trPr>
          <w:trHeight w:val="203"/>
        </w:trPr>
        <w:tc>
          <w:tcPr>
            <w:tcW w:w="15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has been</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furnished</w:t>
            </w:r>
          </w:p>
        </w:tc>
        <w:tc>
          <w:tcPr>
            <w:tcW w:w="1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to the Purchaser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on behalf</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Seller and each</w:t>
            </w:r>
          </w:p>
        </w:tc>
      </w:tr>
      <w:tr>
        <w:trPr>
          <w:trHeight w:val="203"/>
        </w:trPr>
        <w:tc>
          <w:tcPr>
            <w:tcW w:w="15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said copy</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which has</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been</w:t>
            </w:r>
          </w:p>
        </w:tc>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certified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 true copy is true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complete as</w:t>
            </w: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date of this</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Agreement</w:t>
            </w:r>
          </w:p>
        </w:tc>
        <w:tc>
          <w:tcPr>
            <w:tcW w:w="48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and has embodied therein or annexed thereto a</w:t>
            </w:r>
          </w:p>
        </w:tc>
      </w:tr>
      <w:tr>
        <w:trPr>
          <w:trHeight w:val="203"/>
        </w:trPr>
        <w:tc>
          <w:tcPr>
            <w:tcW w:w="19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5"/>
              </w:rPr>
              <w:t>copy of every</w:t>
            </w: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resolution</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agreement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amending or</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modifying the same and</w:t>
            </w: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fully</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sets out all</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rights</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to each</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class  of the</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capital  of the</w:t>
            </w:r>
          </w:p>
        </w:tc>
      </w:tr>
      <w:tr>
        <w:trPr>
          <w:trHeight w:val="203"/>
        </w:trPr>
        <w:tc>
          <w:tcPr>
            <w:tcW w:w="15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Company.</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Shares or Businesses</w:t>
      </w:r>
    </w:p>
    <w:p>
      <w:pPr>
        <w:spacing w:after="0" w:line="4"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exception of shares in the subsidiaries, the Company is not and never has been the holder or beneficial owner of any class of shares in, or other capital of, any company or corporation where ever incorporated, is not a member of any joint venture, partnership, consortium, joint development or other incorporated association, does not have any branch, place of business or any assets outside Ireland and is not and has not agreed to be a party to any profit sharing arrangement or shareholders or similar agreement.</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 Options or Similar Arrangements</w:t>
      </w:r>
    </w:p>
    <w:p>
      <w:pPr>
        <w:spacing w:after="0" w:line="4" w:lineRule="exact"/>
        <w:rPr>
          <w:rFonts w:ascii="Courier New" w:cs="Courier New" w:eastAsia="Courier New" w:hAnsi="Courier New"/>
          <w:sz w:val="18"/>
          <w:szCs w:val="18"/>
          <w:color w:val="auto"/>
        </w:rPr>
      </w:pPr>
    </w:p>
    <w:p>
      <w:pPr>
        <w:jc w:val="both"/>
        <w:ind w:left="540"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There are no options or other agreements (including conversion rights) in force which call or may call for the present or future issue of or accord to any person the right to call for the issue of any share or loan capital</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101" w:name="page102"/>
    <w:bookmarkEnd w:id="101"/>
    <w:p>
      <w:pPr>
        <w:jc w:val="both"/>
        <w:ind w:left="532" w:right="1779"/>
        <w:spacing w:after="0" w:line="236" w:lineRule="auto"/>
        <w:rPr>
          <w:sz w:val="20"/>
          <w:szCs w:val="20"/>
          <w:color w:val="auto"/>
        </w:rPr>
      </w:pPr>
      <w:r>
        <w:rPr>
          <w:rFonts w:ascii="Courier New" w:cs="Courier New" w:eastAsia="Courier New" w:hAnsi="Courier New"/>
          <w:sz w:val="18"/>
          <w:szCs w:val="18"/>
          <w:color w:val="auto"/>
        </w:rPr>
        <w:t>of the Company and there has been no exercise or purported exercise, or claim of any charge, lien, encumbrance or equity over any of the issued or unissued shares or loan capital of the Company.</w:t>
      </w:r>
    </w:p>
    <w:p>
      <w:pPr>
        <w:spacing w:after="0" w:line="203" w:lineRule="exact"/>
        <w:rPr>
          <w:sz w:val="20"/>
          <w:szCs w:val="20"/>
          <w:color w:val="auto"/>
        </w:rPr>
      </w:pPr>
    </w:p>
    <w:p>
      <w:pPr>
        <w:ind w:left="532" w:hanging="532"/>
        <w:spacing w:after="0"/>
        <w:tabs>
          <w:tab w:leader="none" w:pos="532"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Repayment Redemption Capitalization. The Company has not at any time:</w:t>
      </w:r>
    </w:p>
    <w:p>
      <w:pPr>
        <w:spacing w:after="0" w:line="206"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repaid or redeemed or agreed to repay or redeem any shares of any class of its share capital or otherwise reduced or agreed to reduce its issued share capital or any class thereof; or</w:t>
      </w:r>
    </w:p>
    <w:p>
      <w:pPr>
        <w:spacing w:after="0" w:line="208" w:lineRule="exact"/>
        <w:rPr>
          <w:rFonts w:ascii="Courier New" w:cs="Courier New" w:eastAsia="Courier New" w:hAnsi="Courier New"/>
          <w:sz w:val="18"/>
          <w:szCs w:val="18"/>
          <w:color w:val="auto"/>
        </w:rPr>
      </w:pPr>
    </w:p>
    <w:p>
      <w:pPr>
        <w:jc w:val="both"/>
        <w:ind w:left="1572" w:right="1779" w:hanging="519"/>
        <w:spacing w:after="0" w:line="237" w:lineRule="auto"/>
        <w:tabs>
          <w:tab w:leader="none" w:pos="1572"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capitalised or agreed to capitalise in the form of shares, debentures, other securities or otherwise any profits or reserves of any class or description or passed or agreed to pass any resolution to do so; or</w:t>
      </w:r>
    </w:p>
    <w:p>
      <w:pPr>
        <w:spacing w:after="0" w:line="207" w:lineRule="exact"/>
        <w:rPr>
          <w:rFonts w:ascii="Courier New" w:cs="Courier New" w:eastAsia="Courier New" w:hAnsi="Courier New"/>
          <w:sz w:val="18"/>
          <w:szCs w:val="18"/>
          <w:color w:val="auto"/>
        </w:rPr>
      </w:pPr>
    </w:p>
    <w:p>
      <w:pPr>
        <w:jc w:val="both"/>
        <w:ind w:left="1572" w:right="1779" w:hanging="519"/>
        <w:spacing w:after="0" w:line="237" w:lineRule="auto"/>
        <w:tabs>
          <w:tab w:leader="none" w:pos="1572"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capital to any company on terms whereby the company so capitalized has in consideration thereof issued shares, loan stock or other securities where the terms of any such capitalization were otherwise than by way of a bargain made at arms length or where the shares, loan stock or other securities acquired are shown in the Principal Accounts at a value in excess of their market value at the time of acquisition.</w:t>
      </w:r>
    </w:p>
    <w:p>
      <w:pPr>
        <w:spacing w:after="0" w:line="205"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BANKING</w:t>
      </w:r>
    </w:p>
    <w:p>
      <w:pPr>
        <w:spacing w:after="0" w:line="201" w:lineRule="exact"/>
        <w:rPr>
          <w:sz w:val="20"/>
          <w:szCs w:val="20"/>
          <w:color w:val="auto"/>
        </w:rPr>
      </w:pPr>
    </w:p>
    <w:p>
      <w:pPr>
        <w:ind w:left="532" w:hanging="532"/>
        <w:spacing w:after="0"/>
        <w:tabs>
          <w:tab w:leader="none" w:pos="53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Accounts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 bank account or deposit account other than those disclosed in a list supplied to the Purchaser as at the day prior to the execution of this Agreement with the credit and debit balances thereon and since such statement there have been no payments out of any such accounts save for routine payments in the ordinary and usual of business and the present balances on such accounts are not substantially different from the balances shown on such statements.</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Borrowings</w:t>
      </w:r>
    </w:p>
    <w:p>
      <w:pPr>
        <w:spacing w:after="0" w:line="206"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bank accounts mentioned in the Disclosure Letter, the Company does not have any outstanding loan capital and has not borrowed any money which it has not repaid and has not lent any money which has not been repaid to it and does not own the benefit of any debt (whether present or future) other than debts due to it in the ordinary and usual of business.</w:t>
      </w:r>
    </w:p>
    <w:p>
      <w:pPr>
        <w:spacing w:after="0" w:line="209"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amount borrowed by the Company from its bankers does not exceed its approved facilities and the total amount borrowed by the Company from whatever source does not exceed any limitation on its borrowing contained in its Memorandum and Articles of Association or in any debenture or loan stock deed or other deed or document executed by it.</w:t>
      </w:r>
    </w:p>
    <w:p>
      <w:pPr>
        <w:spacing w:after="0" w:line="209" w:lineRule="exact"/>
        <w:rPr>
          <w:rFonts w:ascii="Courier New" w:cs="Courier New" w:eastAsia="Courier New" w:hAnsi="Courier New"/>
          <w:sz w:val="18"/>
          <w:szCs w:val="18"/>
          <w:color w:val="auto"/>
        </w:rPr>
      </w:pPr>
    </w:p>
    <w:p>
      <w:pPr>
        <w:jc w:val="both"/>
        <w:ind w:left="1052" w:right="1779" w:hanging="525"/>
        <w:spacing w:after="0" w:line="275" w:lineRule="auto"/>
        <w:tabs>
          <w:tab w:leader="none" w:pos="1052"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and accurate details of all overdrafts, loans or other financial facilities outstanding or available to the Company at Completion are contained in the Disclosure Letter and true and correct copies of all documents relating thereto are annexed to the Disclosure Letter and</w:t>
      </w:r>
    </w:p>
    <w:p>
      <w:pPr>
        <w:spacing w:after="0" w:line="37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1"/>
          </w:cols>
          <w:pgMar w:left="248" w:top="723" w:right="1440" w:bottom="1440" w:gutter="0" w:footer="0" w:header="0"/>
        </w:sectPr>
      </w:pPr>
    </w:p>
    <w:bookmarkStart w:id="102" w:name="page103"/>
    <w:bookmarkEnd w:id="102"/>
    <w:p>
      <w:pPr>
        <w:jc w:val="both"/>
        <w:ind w:left="1052" w:right="1779"/>
        <w:spacing w:after="0" w:line="237" w:lineRule="auto"/>
        <w:rPr>
          <w:sz w:val="20"/>
          <w:szCs w:val="20"/>
          <w:color w:val="auto"/>
        </w:rPr>
      </w:pPr>
      <w:r>
        <w:rPr>
          <w:rFonts w:ascii="Courier New" w:cs="Courier New" w:eastAsia="Courier New" w:hAnsi="Courier New"/>
          <w:sz w:val="18"/>
          <w:szCs w:val="18"/>
          <w:color w:val="auto"/>
        </w:rPr>
        <w:t>the Company has not done anything whereby the continuance of any such overdrafts, loans or other financial facilities might be affected or prejudiced and the Company is not in default under any instrument constituting any indebtedness or under any guarantee of, or security or indemnity for, any indebtedness and there is no reason why such indebtedness, guarantee, security or indemnity should be called or the liabilities thereunder accelerated or why any such overdrafts, loans or other financial facilities should be terminated and no person who provides any such facility has given any indication that it may be withdrawn or its terms altered.</w:t>
      </w:r>
    </w:p>
    <w:p>
      <w:pPr>
        <w:spacing w:after="0" w:line="209" w:lineRule="exact"/>
        <w:rPr>
          <w:sz w:val="20"/>
          <w:szCs w:val="20"/>
          <w:color w:val="auto"/>
        </w:rPr>
      </w:pPr>
    </w:p>
    <w:p>
      <w:pPr>
        <w:ind w:left="532" w:hanging="532"/>
        <w:spacing w:after="0"/>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by Third Parties</w:t>
      </w:r>
    </w:p>
    <w:p>
      <w:pPr>
        <w:spacing w:after="0" w:line="4" w:lineRule="exact"/>
        <w:rPr>
          <w:rFonts w:ascii="Courier New" w:cs="Courier New" w:eastAsia="Courier New" w:hAnsi="Courier New"/>
          <w:sz w:val="18"/>
          <w:szCs w:val="18"/>
          <w:color w:val="auto"/>
        </w:rPr>
      </w:pPr>
    </w:p>
    <w:p>
      <w:pPr>
        <w:ind w:left="532"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 person other than the Company has given any guarantee of or security for any overdraft, loan or other financial facility granted to the Company.</w:t>
      </w:r>
    </w:p>
    <w:p>
      <w:pPr>
        <w:spacing w:after="0" w:line="16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Generally.</w:t>
      </w:r>
    </w:p>
    <w:p>
      <w:pPr>
        <w:spacing w:after="0" w:line="4"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Disclosure Letter sets forth a true, correct and complete list of all bank accounts and safe deposit boxes of the Company and all persons who are signatories thereunder or who have access thereto.</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Security Enforceable</w:t>
      </w:r>
    </w:p>
    <w:p>
      <w:pPr>
        <w:spacing w:after="0" w:line="4"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indebtedness of the Company is due and payable and no security over any of the assets of the Company is now enforceable, whether by virtue of the stated maturity date at the indebtedness having been reached or otherwise, and the Company has not received any formal or informal notice from any creditor of the Company, requiring any payment to be made and/or intimating the enforcement of any security which it may hold over any of the assets of the Company.</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Sufficient Working Capital</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 Closure, the Company will have the equivalent of US$300,000.</w:t>
      </w:r>
    </w:p>
    <w:p>
      <w:pPr>
        <w:spacing w:after="0" w:line="202"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ASSETS</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Assets</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assets (including all the assets, fixtures, fittings, equipment and vehicles) included in the Principal Accounts and all the assets used in connection with the business of the Company</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the absolute property of the Company save such as are subject to leasing agreements in respect of which the primary leasing periods have now expired;</w:t>
      </w:r>
    </w:p>
    <w:p>
      <w:pPr>
        <w:spacing w:after="0" w:line="203"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 the possession and under the control of the Company;</w:t>
      </w:r>
    </w:p>
    <w:p>
      <w:pPr>
        <w:spacing w:after="0" w:line="206"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comprise all the assets reasonably necessary to enable the Company to currently carry on its business fully and effectively in the ordinary and usual; and</w:t>
      </w:r>
    </w:p>
    <w:p>
      <w:pPr>
        <w:spacing w:after="0" w:line="203"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to any extent, surplus to requirements.</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1"/>
          </w:cols>
          <w:pgMar w:left="248" w:top="722" w:right="1440" w:bottom="1440" w:gutter="0" w:footer="0" w:header="0"/>
        </w:sectPr>
      </w:pPr>
    </w:p>
    <w:bookmarkStart w:id="103" w:name="page104"/>
    <w:bookmarkEnd w:id="103"/>
    <w:p>
      <w:pPr>
        <w:ind w:left="532" w:hanging="532"/>
        <w:spacing w:after="0"/>
        <w:tabs>
          <w:tab w:leader="none" w:pos="53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 of Assets</w:t>
      </w:r>
    </w:p>
    <w:p>
      <w:pPr>
        <w:spacing w:after="0" w:line="4" w:lineRule="exact"/>
        <w:rPr>
          <w:rFonts w:ascii="Courier New" w:cs="Courier New" w:eastAsia="Courier New" w:hAnsi="Courier New"/>
          <w:sz w:val="18"/>
          <w:szCs w:val="18"/>
          <w:color w:val="auto"/>
        </w:rPr>
      </w:pPr>
    </w:p>
    <w:p>
      <w:pPr>
        <w:ind w:left="532"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All the fixtures, fittings, vehicles and computer equipment of the Company are in good condition and working order, normal wear and tear excepted.</w:t>
      </w:r>
    </w:p>
    <w:p>
      <w:pPr>
        <w:spacing w:after="0" w:line="16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and Documentation relating to Assets</w:t>
      </w:r>
    </w:p>
    <w:p>
      <w:pPr>
        <w:spacing w:after="0" w:line="4" w:lineRule="exact"/>
        <w:rPr>
          <w:rFonts w:ascii="Courier New" w:cs="Courier New" w:eastAsia="Courier New" w:hAnsi="Courier New"/>
          <w:sz w:val="18"/>
          <w:szCs w:val="18"/>
          <w:color w:val="auto"/>
        </w:rPr>
      </w:pPr>
    </w:p>
    <w:p>
      <w:pPr>
        <w:jc w:val="both"/>
        <w:ind w:left="532"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There is no option, right to acquire, mortgage, charge, pledge, lien or other form of security, encumbrance or equity on or over or affecting the whole or any part of the undertaking or assets of the Company and there is no agreement or commitment to give or create any of the foregoing and no claim has been made by any person to be entitled to any of the foregoing.</w:t>
      </w:r>
    </w:p>
    <w:p>
      <w:pPr>
        <w:spacing w:after="0" w:line="184"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agreed to acquire any asset on terms that the property in it does not pass until full payment is made</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blank]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206"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now held by the Company and not written off in the Principal Accounts of the Company:-</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obsolete, slow moving, out of date or likely to realise less than its book value and does not include goods returned by customers of the Company;</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stock comprising finished goods, is capable of being sold by the Company in the ordinary and usual of its business;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fit for its intended purpose and has satisfactory quality and accords with any other representation, condition, warranty or contractual term, express or implied, which has been given, or which would in the normal course of its business be given, by the Company in respect of it;</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complies fully and will on sale by the Company in the ordinary and usual of its business comply fully with all applicable laws, regulations, standards (including, without limitation Irish and/or European standards), customer specifications and specifications laid down by the Company;</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and will not when put to its intended use be faulty, defective or dangerous; and</w:t>
      </w:r>
    </w:p>
    <w:p>
      <w:pPr>
        <w:spacing w:after="0" w:line="208" w:lineRule="exact"/>
        <w:rPr>
          <w:sz w:val="20"/>
          <w:szCs w:val="20"/>
          <w:color w:val="auto"/>
        </w:rPr>
      </w:pPr>
    </w:p>
    <w:p>
      <w:pPr>
        <w:ind w:left="532" w:right="1779"/>
        <w:spacing w:after="0" w:line="290" w:lineRule="auto"/>
        <w:rPr>
          <w:sz w:val="20"/>
          <w:szCs w:val="20"/>
          <w:color w:val="auto"/>
        </w:rPr>
      </w:pPr>
      <w:r>
        <w:rPr>
          <w:rFonts w:ascii="Courier New" w:cs="Courier New" w:eastAsia="Courier New" w:hAnsi="Courier New"/>
          <w:sz w:val="16"/>
          <w:szCs w:val="16"/>
          <w:color w:val="auto"/>
        </w:rPr>
        <w:t>the Company has, and on the date of Completion will have, the proper amount of stock necessary to conduct its business consistent with past practice.</w:t>
      </w:r>
    </w:p>
    <w:p>
      <w:pPr>
        <w:spacing w:after="0" w:line="164" w:lineRule="exact"/>
        <w:rPr>
          <w:sz w:val="20"/>
          <w:szCs w:val="20"/>
          <w:color w:val="auto"/>
        </w:rPr>
      </w:pPr>
    </w:p>
    <w:p>
      <w:pPr>
        <w:ind w:left="532" w:hanging="532"/>
        <w:spacing w:after="0"/>
        <w:tabs>
          <w:tab w:leader="none" w:pos="53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Plant and Machinery.</w:t>
      </w:r>
    </w:p>
    <w:p>
      <w:pPr>
        <w:spacing w:after="0" w:line="4"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plant and machinery, apparatus, implements, computers, vehicles and other chattels and equipment used in connection with the business of the Company:</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 a good and proper state of repair and condition and in satisfactory working order as of the Closure and have been regularly and properly maintained;</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1"/>
          </w:cols>
          <w:pgMar w:left="248" w:top="717" w:right="1440" w:bottom="1440" w:gutter="0" w:footer="0" w:header="0"/>
        </w:sectPr>
      </w:pPr>
    </w:p>
    <w:bookmarkStart w:id="104" w:name="page105"/>
    <w:bookmarkEnd w:id="104"/>
    <w:p>
      <w:pPr>
        <w:jc w:val="both"/>
        <w:ind w:left="1052" w:right="1779" w:hanging="525"/>
        <w:spacing w:after="0" w:line="237"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all capable and (subject to normal wear and tear) will remain capable throughout the respective periods of time during which they are each written down to a nil value in the accounts of the Company (in accordance with generally accepted accountancy principles consistently applied prior to the date hereof) of doing the works for which they were designed or acquired; and</w:t>
      </w:r>
    </w:p>
    <w:p>
      <w:pPr>
        <w:spacing w:after="0" w:line="209"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reasonably expected to require replacements or additions outside the ordinary and usual of business within a period of twelve months immediately after Completion.</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charge in favour of the Company is void or voidable.</w:t>
      </w:r>
    </w:p>
    <w:p>
      <w:pPr>
        <w:spacing w:after="0" w:line="202" w:lineRule="exact"/>
        <w:rPr>
          <w:sz w:val="20"/>
          <w:szCs w:val="20"/>
          <w:color w:val="auto"/>
        </w:rPr>
      </w:pPr>
    </w:p>
    <w:p>
      <w:pPr>
        <w:ind w:left="3372"/>
        <w:spacing w:after="0"/>
        <w:rPr>
          <w:sz w:val="20"/>
          <w:szCs w:val="20"/>
          <w:color w:val="auto"/>
        </w:rPr>
      </w:pPr>
      <w:r>
        <w:rPr>
          <w:rFonts w:ascii="Courier New" w:cs="Courier New" w:eastAsia="Courier New" w:hAnsi="Courier New"/>
          <w:sz w:val="18"/>
          <w:szCs w:val="18"/>
          <w:color w:val="auto"/>
        </w:rPr>
        <w:t>CORPORATE RECORDS</w:t>
      </w:r>
    </w:p>
    <w:p>
      <w:pPr>
        <w:spacing w:after="0" w:line="201" w:lineRule="exact"/>
        <w:rPr>
          <w:sz w:val="20"/>
          <w:szCs w:val="20"/>
          <w:color w:val="auto"/>
        </w:rPr>
      </w:pPr>
    </w:p>
    <w:p>
      <w:pPr>
        <w:ind w:left="532" w:hanging="532"/>
        <w:spacing w:after="0"/>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of Documents</w:t>
      </w:r>
    </w:p>
    <w:p>
      <w:pPr>
        <w:spacing w:after="0" w:line="4"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and resolutions relating to the Company required to be filed by any applicable legislation or regulation with the Registrar of Companies have been duly filed, all statutory records required to be kept by the Company have been properly kept and will be so kept until Completion and the Company has complied with all provisions of the Companies Acts 1963 to 2001.</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of Members</w:t>
      </w:r>
    </w:p>
    <w:p>
      <w:pPr>
        <w:spacing w:after="0" w:line="4"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Register of Members of the Company accurately and sufficiently records the Members from time to time of the Company and the Company has received no notice of any intended application or proceedings to rectify the said Register.</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Books and Records</w:t>
      </w:r>
    </w:p>
    <w:p>
      <w:pPr>
        <w:spacing w:after="0" w:line="4"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hereof the books and records of the Company accurately present and reflect in accordance with generally accepted accounting principles and standards in relation to businesses similar to that of the Company all of the transactions entered into by the Company or to which it has been a party together with the assets of the Company and such books and records will be maintained in the same manner until Completion.</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Minute Books and Registers.</w:t>
      </w:r>
    </w:p>
    <w:p>
      <w:pPr>
        <w:spacing w:after="0" w:line="4" w:lineRule="exact"/>
        <w:rPr>
          <w:rFonts w:ascii="Courier New" w:cs="Courier New" w:eastAsia="Courier New" w:hAnsi="Courier New"/>
          <w:sz w:val="18"/>
          <w:szCs w:val="18"/>
          <w:color w:val="auto"/>
        </w:rPr>
      </w:pPr>
    </w:p>
    <w:p>
      <w:pPr>
        <w:jc w:val="both"/>
        <w:ind w:left="532"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minute books and registers of the Company are accurate and up to date, with all necessary signatures, and set forth all meetings and actions taken by the shareholders, directors and any committees thereof, and properly record all corporate action required by law to be reflected therein and no notice or allegation that anything contained in the said minute books and registers is incorrect or should be rectified has been received.</w:t>
      </w:r>
    </w:p>
    <w:p>
      <w:pPr>
        <w:spacing w:after="0" w:line="17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Possession of Books and Records</w:t>
      </w:r>
    </w:p>
    <w:p>
      <w:pPr>
        <w:spacing w:after="0" w:line="4"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Completion the Company will be in possession of all its books, records, papers and deeds (including agreements to which it is a party) and documents of title.</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1"/>
          </w:cols>
          <w:pgMar w:left="248" w:top="723" w:right="1440" w:bottom="1440" w:gutter="0" w:footer="0" w:header="0"/>
        </w:sectPr>
      </w:pPr>
    </w:p>
    <w:bookmarkStart w:id="105" w:name="page106"/>
    <w:bookmarkEnd w:id="105"/>
    <w:p>
      <w:pPr>
        <w:ind w:left="532" w:hanging="532"/>
        <w:spacing w:after="0"/>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Books, and Records</w:t>
      </w:r>
    </w:p>
    <w:p>
      <w:pPr>
        <w:spacing w:after="0" w:line="206"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the accounts, books, ledgers, financial and other records, of whatsoever kind of the Company:-</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fully, properly and accurately kept and completed;</w:t>
      </w:r>
    </w:p>
    <w:p>
      <w:pPr>
        <w:spacing w:after="0" w:line="206"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not contain any material inaccuracies or discrepancies of any kind;</w:t>
      </w:r>
    </w:p>
    <w:p>
      <w:pPr>
        <w:spacing w:after="0" w:line="223" w:lineRule="exact"/>
        <w:rPr>
          <w:rFonts w:ascii="Courier New" w:cs="Courier New" w:eastAsia="Courier New" w:hAnsi="Courier New"/>
          <w:sz w:val="16"/>
          <w:szCs w:val="16"/>
          <w:color w:val="auto"/>
        </w:rPr>
      </w:pPr>
    </w:p>
    <w:p>
      <w:pPr>
        <w:ind w:left="1052" w:right="1779" w:hanging="525"/>
        <w:spacing w:after="0" w:line="235" w:lineRule="auto"/>
        <w:tabs>
          <w:tab w:leader="none" w:pos="1052"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and reflect a true and fair view of its trading transactions and its financial, contractual and trading position.</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w:t>
      </w:r>
    </w:p>
    <w:p>
      <w:pPr>
        <w:spacing w:after="0" w:line="4"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reports commissioned by or on behalf of the Company concerning the Company by financial or management consultants within the period of [two] years prior to this Agreement.</w:t>
      </w:r>
    </w:p>
    <w:p>
      <w:pPr>
        <w:spacing w:after="0" w:line="203"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INSOLVENCY</w:t>
      </w:r>
    </w:p>
    <w:p>
      <w:pPr>
        <w:spacing w:after="0" w:line="201" w:lineRule="exact"/>
        <w:rPr>
          <w:sz w:val="20"/>
          <w:szCs w:val="20"/>
          <w:color w:val="auto"/>
        </w:rPr>
      </w:pPr>
    </w:p>
    <w:p>
      <w:pPr>
        <w:ind w:left="532" w:hanging="532"/>
        <w:spacing w:after="0"/>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Winding-Up or Execution or Similar Process</w:t>
      </w:r>
    </w:p>
    <w:p>
      <w:pPr>
        <w:spacing w:after="0" w:line="206" w:lineRule="exact"/>
        <w:rPr>
          <w:rFonts w:ascii="Courier New" w:cs="Courier New" w:eastAsia="Courier New" w:hAnsi="Courier New"/>
          <w:sz w:val="18"/>
          <w:szCs w:val="18"/>
          <w:color w:val="auto"/>
        </w:rPr>
      </w:pPr>
    </w:p>
    <w:p>
      <w:pPr>
        <w:jc w:val="both"/>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 order has been made or petition presented or resolution passed for the winding-up of the Company, or to have an Examiner appointed thereto, no distress, execution, sequestration, attachment or other process has been levied on any of its assets, it has not stopped payment and is not insolvent, or unable to pay its debts for the purposes of Section 214 of the Companies Act, 1963 or Section 2 of the Companies (Amendment) Act 1990, no encumbrancer has taken possession or attempted to take possession or exercised or attempted to exercise any power of sale in respect of the whole or any part of the undertaking, property, assets or revenue of the Company, no receiver has been appointed or could be appointed by any person over its business or assets or any part thereof, there is no unfulfilled or unsatisfied judgment or court order outstanding against it and there has been no delay by it in the payment of any obligation due for payment.</w:t>
      </w:r>
    </w:p>
    <w:p>
      <w:pPr>
        <w:spacing w:after="0" w:line="384"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INSURANCES</w:t>
      </w:r>
    </w:p>
    <w:p>
      <w:pPr>
        <w:spacing w:after="0" w:line="201" w:lineRule="exact"/>
        <w:rPr>
          <w:sz w:val="20"/>
          <w:szCs w:val="20"/>
          <w:color w:val="auto"/>
        </w:rPr>
      </w:pPr>
    </w:p>
    <w:p>
      <w:pPr>
        <w:ind w:left="532" w:hanging="532"/>
        <w:spacing w:after="0"/>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Insurances</w:t>
      </w:r>
    </w:p>
    <w:p>
      <w:pPr>
        <w:spacing w:after="0" w:line="207" w:lineRule="exact"/>
        <w:rPr>
          <w:sz w:val="20"/>
          <w:szCs w:val="20"/>
          <w:color w:val="auto"/>
        </w:rPr>
      </w:pPr>
    </w:p>
    <w:p>
      <w:pPr>
        <w:jc w:val="both"/>
        <w:ind w:left="532" w:right="1779" w:hanging="532"/>
        <w:spacing w:after="0" w:line="238" w:lineRule="auto"/>
        <w:tabs>
          <w:tab w:leader="none" w:pos="53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fixtures, fittings, equipment, vehicles, stock in trade and assets of the Company of an insurable nature are and have at all times been insured against at least such risks and in at least such amounts normally insured against by persons carrying on business similar to that of the Company and in particular, but without limitation, the Company has in place policies of insurance which adequately insure it against employer's liability and third party public liability (including, without limitation, product liability and professional indemnity liability) and insure the assets of the Company against fire and other usual risks in their full replacement value (including professional fees) and all such insurances are currently in force and effect and full details thereof are enclosed in or attached to the Disclosure Letter.</w:t>
      </w:r>
    </w:p>
    <w:p>
      <w:pPr>
        <w:spacing w:after="0" w:line="207"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maintains at the date hereof and has at all times maintained liability insurances in respect of such amounts and against such risks as are normal and prudent in relation to the Company's business.</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1"/>
          </w:cols>
          <w:pgMar w:left="248" w:top="717" w:right="1440" w:bottom="1440" w:gutter="0" w:footer="0" w:header="0"/>
        </w:sectPr>
      </w:pPr>
    </w:p>
    <w:bookmarkStart w:id="106" w:name="page107"/>
    <w:bookmarkEnd w:id="106"/>
    <w:p>
      <w:pPr>
        <w:jc w:val="both"/>
        <w:ind w:left="532" w:right="1779" w:hanging="532"/>
        <w:spacing w:after="0" w:line="237"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premiums due in relation to the Company's insurances have been paid and nothing has been done or omitted to be done which would make any policy of insurance void or voidable or which is likely to result in an increase in premiums or which would release any insurer from any of its obligations under any policy of insurance of the Company and there is no claim outstanding pending or threatened against the Company by any person in respect of death or injury or loss or damage to property which is not covered by the insurance disclosed.</w:t>
      </w:r>
    </w:p>
    <w:p>
      <w:pPr>
        <w:spacing w:after="0" w:line="212"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insurance claim by or on behalf of the Company pending or outstanding and, as far as the Seller is aware, there are no circumstances likely to give rise to any such claim.</w:t>
      </w:r>
    </w:p>
    <w:p>
      <w:pPr>
        <w:spacing w:after="0" w:line="203" w:lineRule="exact"/>
        <w:rPr>
          <w:sz w:val="20"/>
          <w:szCs w:val="20"/>
          <w:color w:val="auto"/>
        </w:rPr>
      </w:pPr>
    </w:p>
    <w:p>
      <w:pPr>
        <w:ind w:left="3052"/>
        <w:spacing w:after="0"/>
        <w:rPr>
          <w:sz w:val="20"/>
          <w:szCs w:val="20"/>
          <w:color w:val="auto"/>
        </w:rPr>
      </w:pPr>
      <w:r>
        <w:rPr>
          <w:rFonts w:ascii="Courier New" w:cs="Courier New" w:eastAsia="Courier New" w:hAnsi="Courier New"/>
          <w:sz w:val="18"/>
          <w:szCs w:val="18"/>
          <w:color w:val="auto"/>
        </w:rPr>
        <w:t>DIRECTORS AND EMPLOYEES</w:t>
      </w:r>
    </w:p>
    <w:p>
      <w:pPr>
        <w:spacing w:after="0" w:line="207" w:lineRule="exact"/>
        <w:rPr>
          <w:sz w:val="20"/>
          <w:szCs w:val="20"/>
          <w:color w:val="auto"/>
        </w:rPr>
      </w:pPr>
    </w:p>
    <w:p>
      <w:pPr>
        <w:ind w:left="532" w:right="1779" w:hanging="532"/>
        <w:spacing w:after="0" w:line="235" w:lineRule="auto"/>
        <w:tabs>
          <w:tab w:leader="none" w:pos="53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Officers and Employees. Contained in or attached to the Disclosure Letter:</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true and complete list as of the date of this Agreement of the names of all directors and officers of the Company;</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true and complete list as of the date of this Agreement of the names, job descriptions, dates of hiring and particulars of remuneration (including participation in any bonus or commission scheme) of all employees;</w:t>
      </w:r>
    </w:p>
    <w:p>
      <w:pPr>
        <w:spacing w:after="0" w:line="207"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details of the terms of employment of each employee stated to include all details to satisfy the Minimum Notice and Terms of Employment Act 1973, the Terms of Employment (Information) Act 1994 and such other legislation as may be applicable thereto together with copies of all written service agreements and/or contracts of employment to which the Company is, at the date hereof, a party or pursuant to which any obligations are outstanding;</w:t>
      </w:r>
    </w:p>
    <w:p>
      <w:pPr>
        <w:spacing w:after="0" w:line="211"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true and complete list as of the date of this Agreement of any debts owed to the Company by any officer, director, employee or member of the Company; and</w:t>
      </w:r>
    </w:p>
    <w:p>
      <w:pPr>
        <w:spacing w:after="0" w:line="208" w:lineRule="exact"/>
        <w:rPr>
          <w:rFonts w:ascii="Courier New" w:cs="Courier New" w:eastAsia="Courier New" w:hAnsi="Courier New"/>
          <w:sz w:val="18"/>
          <w:szCs w:val="18"/>
          <w:color w:val="auto"/>
        </w:rPr>
      </w:pPr>
    </w:p>
    <w:p>
      <w:pPr>
        <w:jc w:val="both"/>
        <w:ind w:left="1052" w:right="1779" w:hanging="525"/>
        <w:spacing w:after="0" w:line="275" w:lineRule="auto"/>
        <w:tabs>
          <w:tab w:leader="none" w:pos="1052"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copies of any contracts or other arrangements between the Company and any corporation, partnership or other entity in which any officer, director, employee or shareholder of the Company has an interest, directly or indirectly, or serves as an officer or director.</w:t>
      </w:r>
    </w:p>
    <w:p>
      <w:pPr>
        <w:spacing w:after="0" w:line="182" w:lineRule="exact"/>
        <w:rPr>
          <w:rFonts w:ascii="Courier New" w:cs="Courier New" w:eastAsia="Courier New" w:hAnsi="Courier New"/>
          <w:sz w:val="16"/>
          <w:szCs w:val="16"/>
          <w:color w:val="auto"/>
        </w:rPr>
      </w:pPr>
    </w:p>
    <w:p>
      <w:pPr>
        <w:jc w:val="both"/>
        <w:ind w:left="532" w:right="1779" w:hanging="532"/>
        <w:spacing w:after="0" w:line="236" w:lineRule="auto"/>
        <w:tabs>
          <w:tab w:leader="none" w:pos="53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Governing Directors There are no permanent or Governing Directors of the Company and the Company is not under any liability to pay any sum whatsoever to any former Director or Governing Director.</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Terms</w:t>
      </w:r>
    </w:p>
    <w:p>
      <w:pPr>
        <w:spacing w:after="0" w:line="207" w:lineRule="exact"/>
        <w:rPr>
          <w:sz w:val="20"/>
          <w:szCs w:val="20"/>
          <w:color w:val="auto"/>
        </w:rPr>
      </w:pPr>
    </w:p>
    <w:p>
      <w:pPr>
        <w:jc w:val="both"/>
        <w:ind w:left="532" w:right="1779" w:hanging="532"/>
        <w:spacing w:after="0" w:line="237" w:lineRule="auto"/>
        <w:tabs>
          <w:tab w:leader="none" w:pos="5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 party to, and does not operate, any bonus, pension, profit sharing, share option, deferred compensation, retirement, hospitalization insurance, medical insurance or similar plan or practice, formal or informal, with respect to any directors, officers, or employees</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1"/>
          </w:cols>
          <w:pgMar w:left="248" w:top="723" w:right="1440" w:bottom="1440" w:gutter="0" w:footer="0" w:header="0"/>
        </w:sectPr>
      </w:pPr>
    </w:p>
    <w:bookmarkStart w:id="107" w:name="page108"/>
    <w:bookmarkEnd w:id="107"/>
    <w:p>
      <w:pPr>
        <w:jc w:val="both"/>
        <w:ind w:left="532" w:right="1779"/>
        <w:spacing w:after="0" w:line="237" w:lineRule="auto"/>
        <w:rPr>
          <w:sz w:val="20"/>
          <w:szCs w:val="20"/>
          <w:color w:val="auto"/>
        </w:rPr>
      </w:pPr>
      <w:r>
        <w:rPr>
          <w:rFonts w:ascii="Courier New" w:cs="Courier New" w:eastAsia="Courier New" w:hAnsi="Courier New"/>
          <w:sz w:val="18"/>
          <w:szCs w:val="18"/>
          <w:color w:val="auto"/>
        </w:rPr>
        <w:t>or others and, is not bound by any agreement whether written or oral with any director, officer or employee providing for a specified period of notice of termination or providing for any fixed term of employment, and the employment of each employee of the Company can be terminated by the Company without notice and without liability for any severance or termination pay or other similar payment.</w:t>
      </w:r>
    </w:p>
    <w:p>
      <w:pPr>
        <w:spacing w:after="0" w:line="210" w:lineRule="exact"/>
        <w:rPr>
          <w:sz w:val="20"/>
          <w:szCs w:val="20"/>
          <w:color w:val="auto"/>
        </w:rPr>
      </w:pPr>
    </w:p>
    <w:p>
      <w:pPr>
        <w:jc w:val="both"/>
        <w:ind w:left="532" w:right="1779" w:hanging="532"/>
        <w:spacing w:after="0" w:line="237" w:lineRule="auto"/>
        <w:tabs>
          <w:tab w:leader="none" w:pos="5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not in existence any service agreements with Directors or employees of the Company which cannot be terminated by three months notice or less or (where not recorded in writing) by reasonable notice without giving rise to any claim for damages or compensation (other than the statutory redundancy payment or statutory compensation for unfair dismissals).</w:t>
      </w:r>
    </w:p>
    <w:p>
      <w:pPr>
        <w:spacing w:after="0" w:line="209"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maintained adequate and suitable records regarding the service of each of its employees and officers.</w:t>
      </w:r>
    </w:p>
    <w:p>
      <w:pPr>
        <w:spacing w:after="0" w:line="203" w:lineRule="exact"/>
        <w:rPr>
          <w:sz w:val="20"/>
          <w:szCs w:val="20"/>
          <w:color w:val="auto"/>
        </w:rPr>
      </w:pPr>
    </w:p>
    <w:p>
      <w:pPr>
        <w:ind w:left="532" w:hanging="532"/>
        <w:spacing w:after="0"/>
        <w:tabs>
          <w:tab w:leader="none" w:pos="5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Collective Agreements and Labour Relations.</w:t>
      </w:r>
    </w:p>
    <w:p>
      <w:pPr>
        <w:spacing w:after="0" w:line="206"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Disclosure Letter gives full particulars of all collective agreements.</w:t>
      </w:r>
    </w:p>
    <w:p>
      <w:pPr>
        <w:spacing w:after="0" w:line="21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Disputes with Employees.</w:t>
      </w:r>
    </w:p>
    <w:p>
      <w:pPr>
        <w:spacing w:after="0" w:line="207" w:lineRule="exact"/>
        <w:rPr>
          <w:sz w:val="20"/>
          <w:szCs w:val="20"/>
          <w:color w:val="auto"/>
        </w:rPr>
      </w:pPr>
    </w:p>
    <w:p>
      <w:pPr>
        <w:jc w:val="both"/>
        <w:ind w:left="532" w:right="1779" w:hanging="532"/>
        <w:spacing w:after="0" w:line="237" w:lineRule="auto"/>
        <w:tabs>
          <w:tab w:leader="none" w:pos="5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Disclosure Letter sets out complete particulars of negotiations and of present and former disputes between the Company and its employees and of negotiations and of present and former disputes between such employees and the Seller.</w:t>
      </w:r>
    </w:p>
    <w:p>
      <w:pPr>
        <w:spacing w:after="0" w:line="207" w:lineRule="exact"/>
        <w:rPr>
          <w:rFonts w:ascii="Courier New" w:cs="Courier New" w:eastAsia="Courier New" w:hAnsi="Courier New"/>
          <w:sz w:val="18"/>
          <w:szCs w:val="18"/>
          <w:color w:val="auto"/>
        </w:rPr>
      </w:pPr>
    </w:p>
    <w:p>
      <w:pPr>
        <w:jc w:val="both"/>
        <w:ind w:left="532" w:right="1779" w:hanging="532"/>
        <w:spacing w:after="0" w:line="237" w:lineRule="auto"/>
        <w:tabs>
          <w:tab w:leader="none" w:pos="5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and has not within the past three years been, involved in any labour, industrial or trade dispute or any dispute or negotiation with any trade union or association of trade unions or organisations or body of employees.</w:t>
      </w:r>
    </w:p>
    <w:p>
      <w:pPr>
        <w:spacing w:after="0" w:line="207"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complied with all collective agreements, customs and practices for the time being dealing with relations between it and its employees and/or any trade union.</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complied in all respects with the conditions of service of each of its employees.</w:t>
      </w:r>
    </w:p>
    <w:p>
      <w:pPr>
        <w:spacing w:after="0" w:line="203" w:lineRule="exact"/>
        <w:rPr>
          <w:sz w:val="20"/>
          <w:szCs w:val="20"/>
          <w:color w:val="auto"/>
        </w:rPr>
      </w:pPr>
    </w:p>
    <w:p>
      <w:pPr>
        <w:ind w:left="532" w:hanging="532"/>
        <w:spacing w:after="0"/>
        <w:tabs>
          <w:tab w:leader="none" w:pos="53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Commissions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schemes in operation by or in relation to the Company whereunder any officer or employee of the Company is entitled to a commission or remuneration of any sort calculated by reference to the whole or part of the turnover of profits or sales of the Company.</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Sums due</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amounts owing to any present or former officers or employees of the Company, other than remuneration accrued (but not yet due for payment) in respect of the calendar month in which this agreement is executed or for reimbursement of business expenses incurred during such month, and none of them is entitled to accrued holiday pay other than in respect of the Company's current holiday year.</w:t>
      </w:r>
    </w:p>
    <w:p>
      <w:pPr>
        <w:spacing w:after="0" w:line="200" w:lineRule="exact"/>
        <w:rPr>
          <w:sz w:val="20"/>
          <w:szCs w:val="20"/>
          <w:color w:val="auto"/>
        </w:rPr>
      </w:pP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1"/>
          </w:cols>
          <w:pgMar w:left="248" w:top="723" w:right="1440" w:bottom="1440" w:gutter="0" w:footer="0" w:header="0"/>
        </w:sectPr>
      </w:pPr>
    </w:p>
    <w:bookmarkStart w:id="108" w:name="page109"/>
    <w:bookmarkEnd w:id="108"/>
    <w:p>
      <w:pPr>
        <w:ind w:left="532" w:hanging="532"/>
        <w:spacing w:after="0"/>
        <w:tabs>
          <w:tab w:leader="none" w:pos="532"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in Kind</w:t>
      </w:r>
    </w:p>
    <w:p>
      <w:pPr>
        <w:spacing w:after="0" w:line="207" w:lineRule="exact"/>
        <w:rPr>
          <w:sz w:val="20"/>
          <w:szCs w:val="20"/>
          <w:color w:val="auto"/>
        </w:rPr>
      </w:pPr>
    </w:p>
    <w:p>
      <w:pPr>
        <w:jc w:val="both"/>
        <w:ind w:left="532" w:right="1779" w:hanging="532"/>
        <w:spacing w:after="0" w:line="236" w:lineRule="auto"/>
        <w:tabs>
          <w:tab w:leader="none" w:pos="532"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moneys other than in respect of remuneration or emoluments of employment are payable by the Company to or for the benefit of any officer or executive of the Company.</w:t>
      </w:r>
    </w:p>
    <w:p>
      <w:pPr>
        <w:spacing w:after="0" w:line="208" w:lineRule="exact"/>
        <w:rPr>
          <w:rFonts w:ascii="Courier New" w:cs="Courier New" w:eastAsia="Courier New" w:hAnsi="Courier New"/>
          <w:sz w:val="18"/>
          <w:szCs w:val="18"/>
          <w:color w:val="auto"/>
        </w:rPr>
      </w:pPr>
    </w:p>
    <w:p>
      <w:pPr>
        <w:jc w:val="both"/>
        <w:ind w:left="532" w:right="1779" w:hanging="532"/>
        <w:spacing w:after="0" w:line="237" w:lineRule="auto"/>
        <w:tabs>
          <w:tab w:leader="none" w:pos="532"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or agreed to make any payment to or provided or agreed to provide any benefit for any present or former officer or employee or any dependent of any of them which was not allowable as a deduction for the purposes of Taxation.</w:t>
      </w:r>
    </w:p>
    <w:p>
      <w:pPr>
        <w:spacing w:after="0" w:line="202" w:lineRule="exact"/>
        <w:rPr>
          <w:sz w:val="20"/>
          <w:szCs w:val="20"/>
          <w:color w:val="auto"/>
        </w:rPr>
      </w:pPr>
    </w:p>
    <w:p>
      <w:pPr>
        <w:ind w:left="532" w:hanging="532"/>
        <w:spacing w:after="0"/>
        <w:tabs>
          <w:tab w:leader="none" w:pos="53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Breach of Employment Terms</w:t>
      </w:r>
    </w:p>
    <w:p>
      <w:pPr>
        <w:spacing w:after="0" w:line="206" w:lineRule="exact"/>
        <w:rPr>
          <w:rFonts w:ascii="Courier New" w:cs="Courier New" w:eastAsia="Courier New" w:hAnsi="Courier New"/>
          <w:sz w:val="18"/>
          <w:szCs w:val="18"/>
          <w:color w:val="auto"/>
        </w:rPr>
      </w:pPr>
    </w:p>
    <w:p>
      <w:pPr>
        <w:jc w:val="both"/>
        <w:ind w:left="532"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 liability has been incurred by the Company for breach of any contract of service or for services or for compensation for wrongful or unfair dismissal or discrimination or for failure to comply with an order for the reinstatement or re-engagement of any employee or for failure to comply with a tribunal or court order relating to an employee or former employee.</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Gratuitous Payments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gratuitous payments have been made or promised by the Company in connection with the actual or proposed termination or suspension of employment or variation of any contract of employment of any present or former director or employee.</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Labour Court</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Employment Regulation Order affecting the terms of employment of any employees of the Company has been made by the Labour Court under the Industrial Relations Acts, 1946 to 1990 or otherwise.</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Redundancies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Within a period of one year preceding the date of this Agreement, the Company has not given notice of any redundancies to the Minister for Enterprise and Employment, or started consultations with any trade union under Part II of the Protection of Employment Act 1977 or Regulation 7 of the European Communities (Safeguarding of Employees' Rights on Transfer of Undertakings) Regulations 1980.</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complied in all material respects, with all:</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obligations;</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codes of conduct or practice; and</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collective agreements, customs and practices,</w:t>
      </w:r>
    </w:p>
    <w:p>
      <w:pPr>
        <w:spacing w:after="0" w:line="207" w:lineRule="exact"/>
        <w:rPr>
          <w:sz w:val="20"/>
          <w:szCs w:val="20"/>
          <w:color w:val="auto"/>
        </w:rPr>
      </w:pPr>
    </w:p>
    <w:p>
      <w:pPr>
        <w:ind w:left="532" w:right="1779"/>
        <w:spacing w:after="0" w:line="235" w:lineRule="auto"/>
        <w:rPr>
          <w:sz w:val="20"/>
          <w:szCs w:val="20"/>
          <w:color w:val="auto"/>
        </w:rPr>
      </w:pPr>
      <w:r>
        <w:rPr>
          <w:rFonts w:ascii="Courier New" w:cs="Courier New" w:eastAsia="Courier New" w:hAnsi="Courier New"/>
          <w:sz w:val="18"/>
          <w:szCs w:val="18"/>
          <w:color w:val="auto"/>
        </w:rPr>
        <w:t>relevant to its employees, and has maintained current, adequate and suitable records regarding service.</w:t>
      </w:r>
    </w:p>
    <w:p>
      <w:pPr>
        <w:spacing w:after="0" w:line="203" w:lineRule="exact"/>
        <w:rPr>
          <w:sz w:val="20"/>
          <w:szCs w:val="20"/>
          <w:color w:val="auto"/>
        </w:rPr>
      </w:pPr>
    </w:p>
    <w:p>
      <w:pPr>
        <w:ind w:left="1052" w:hanging="525"/>
        <w:spacing w:after="0"/>
        <w:tabs>
          <w:tab w:leader="none" w:pos="1052"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Recommendations and Claims</w:t>
      </w:r>
    </w:p>
    <w:p>
      <w:pPr>
        <w:spacing w:after="0" w:line="207" w:lineRule="exact"/>
        <w:rPr>
          <w:sz w:val="20"/>
          <w:szCs w:val="20"/>
          <w:color w:val="auto"/>
        </w:rPr>
      </w:pPr>
    </w:p>
    <w:p>
      <w:pPr>
        <w:jc w:val="both"/>
        <w:ind w:left="1052" w:right="1779" w:hanging="525"/>
        <w:spacing w:after="0" w:line="236" w:lineRule="auto"/>
        <w:tabs>
          <w:tab w:leader="none" w:pos="1052"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complied with all recommendations made by Industrial Relations Officers of the Labour Relations Commission, by Equality Officers or by the Labour Court.</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1"/>
          </w:cols>
          <w:pgMar w:left="248" w:top="717" w:right="1440" w:bottom="1440" w:gutter="0" w:footer="0" w:header="0"/>
        </w:sectPr>
      </w:pPr>
    </w:p>
    <w:bookmarkStart w:id="109" w:name="page110"/>
    <w:bookmarkEnd w:id="109"/>
    <w:p>
      <w:pPr>
        <w:jc w:val="both"/>
        <w:ind w:left="532" w:right="1779" w:hanging="532"/>
        <w:spacing w:after="0" w:line="237" w:lineRule="auto"/>
        <w:tabs>
          <w:tab w:leader="none" w:pos="532"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involved in any material industrial or trade dispute, or negotiation regarding a claim, with any trade union or other group or organisation representing employees, and there are no facts known, or which would, on reasonable enquiry be known to the Seller which might indicate that such a dispute or claim may exist.</w:t>
      </w:r>
    </w:p>
    <w:p>
      <w:pPr>
        <w:spacing w:after="0" w:line="209" w:lineRule="exact"/>
        <w:rPr>
          <w:sz w:val="20"/>
          <w:szCs w:val="20"/>
          <w:color w:val="auto"/>
        </w:rPr>
      </w:pPr>
    </w:p>
    <w:p>
      <w:pPr>
        <w:jc w:val="both"/>
        <w:ind w:left="532" w:right="1779" w:hanging="532"/>
        <w:spacing w:after="0" w:line="236" w:lineRule="auto"/>
        <w:tabs>
          <w:tab w:leader="none" w:pos="53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return There is no person previously employed by the Company who now has or may have a right to return to work or a right to be re-instated or be re-engaged by the Company.</w:t>
      </w:r>
    </w:p>
    <w:p>
      <w:pPr>
        <w:spacing w:after="0" w:line="208" w:lineRule="exact"/>
        <w:rPr>
          <w:rFonts w:ascii="Courier New" w:cs="Courier New" w:eastAsia="Courier New" w:hAnsi="Courier New"/>
          <w:sz w:val="18"/>
          <w:szCs w:val="18"/>
          <w:color w:val="auto"/>
        </w:rPr>
      </w:pPr>
    </w:p>
    <w:p>
      <w:pPr>
        <w:jc w:val="both"/>
        <w:ind w:left="532" w:right="1779" w:hanging="532"/>
        <w:spacing w:after="0" w:line="237" w:lineRule="auto"/>
        <w:tabs>
          <w:tab w:leader="none" w:pos="53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Flexible arrangements There are no job share arrangements, flexi-time arrangements or early retirement schemes applicable to any employees of the Company. There are no schemes or programmes for the employment or training of people by the Company other than such schemes or progammes as are under the Company's full control.</w:t>
      </w:r>
    </w:p>
    <w:p>
      <w:pPr>
        <w:spacing w:after="0" w:line="208"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schemes The Company neither has introduced nor intends to introduce any short time working scheme or any redundancy scheme or any similar scheme.</w:t>
      </w:r>
    </w:p>
    <w:p>
      <w:pPr>
        <w:spacing w:after="0" w:line="208"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Outsourcing None of the products or services supplied by the Company are produced or provided by out-workers, agency or other self-employed persons, contracted labour or agents.</w:t>
      </w:r>
    </w:p>
    <w:p>
      <w:pPr>
        <w:spacing w:after="0" w:line="203"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PENSIONS</w:t>
      </w:r>
    </w:p>
    <w:p>
      <w:pPr>
        <w:spacing w:after="0" w:line="201" w:lineRule="exact"/>
        <w:rPr>
          <w:sz w:val="20"/>
          <w:szCs w:val="20"/>
          <w:color w:val="auto"/>
        </w:rPr>
      </w:pPr>
    </w:p>
    <w:p>
      <w:pPr>
        <w:ind w:left="532" w:hanging="532"/>
        <w:spacing w:after="0"/>
        <w:tabs>
          <w:tab w:leader="none" w:pos="532"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Schemes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does not and has never had any Pension Scheme (to include any retirement, death or disability benefit schemes) for officers or employees or their dependents nor are there any obligations to or in respect of present or former officers or employees or any dependent of any of them with regard to retirement, death or disability pursuant to which the Company is or may become liable to make payments and no pension or retirement or sickness gratuity is currently being paid or has been passed by the Company to or in respect of any former director, former employee or any dependent of any of them.</w:t>
      </w:r>
    </w:p>
    <w:p>
      <w:pPr>
        <w:spacing w:after="0" w:line="208" w:lineRule="exact"/>
        <w:rPr>
          <w:sz w:val="20"/>
          <w:szCs w:val="20"/>
          <w:color w:val="auto"/>
        </w:rPr>
      </w:pPr>
    </w:p>
    <w:p>
      <w:pPr>
        <w:ind w:left="3052"/>
        <w:spacing w:after="0"/>
        <w:rPr>
          <w:sz w:val="20"/>
          <w:szCs w:val="20"/>
          <w:color w:val="auto"/>
        </w:rPr>
      </w:pPr>
      <w:r>
        <w:rPr>
          <w:rFonts w:ascii="Courier New" w:cs="Courier New" w:eastAsia="Courier New" w:hAnsi="Courier New"/>
          <w:sz w:val="18"/>
          <w:szCs w:val="18"/>
          <w:color w:val="auto"/>
        </w:rPr>
        <w:t>LITIGATION AND OFFENCES</w:t>
      </w:r>
    </w:p>
    <w:p>
      <w:pPr>
        <w:spacing w:after="0" w:line="201" w:lineRule="exact"/>
        <w:rPr>
          <w:sz w:val="20"/>
          <w:szCs w:val="20"/>
          <w:color w:val="auto"/>
        </w:rPr>
      </w:pPr>
    </w:p>
    <w:p>
      <w:pPr>
        <w:ind w:left="532" w:hanging="532"/>
        <w:spacing w:after="0"/>
        <w:tabs>
          <w:tab w:leader="none" w:pos="532"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Litigation or Similar Process</w:t>
      </w:r>
    </w:p>
    <w:p>
      <w:pPr>
        <w:spacing w:after="0" w:line="206"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person for whose acts or defaults the Company may be contractually or vicariously liable is engaged in any litigation as plaintiff or defendant or in any criminal or arbitration proceedings or any proceedings before any tribunal and there are no proceedings of any of the aforesaid kinds pending or threatened either by or against the Company and there are no facts which are likely to give rise thereto nor is there any dispute with any revenue authority in relation to the affairs of the Company.</w:t>
      </w:r>
    </w:p>
    <w:p>
      <w:pPr>
        <w:spacing w:after="0" w:line="212" w:lineRule="exact"/>
        <w:rPr>
          <w:rFonts w:ascii="Courier New" w:cs="Courier New" w:eastAsia="Courier New" w:hAnsi="Courier New"/>
          <w:sz w:val="18"/>
          <w:szCs w:val="18"/>
          <w:color w:val="auto"/>
        </w:rPr>
      </w:pPr>
    </w:p>
    <w:p>
      <w:pPr>
        <w:jc w:val="both"/>
        <w:ind w:left="1052" w:right="1779" w:hanging="525"/>
        <w:spacing w:after="0" w:line="290" w:lineRule="auto"/>
        <w:tabs>
          <w:tab w:leader="none" w:pos="1052"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unsatisfied judgment or unfulfilled order outstanding against the Company and the Company is not party to any undertaking or</w:t>
      </w:r>
    </w:p>
    <w:p>
      <w:pPr>
        <w:spacing w:after="0" w:line="36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1"/>
          </w:cols>
          <w:pgMar w:left="248" w:top="722" w:right="1440" w:bottom="1440" w:gutter="0" w:footer="0" w:header="0"/>
        </w:sectPr>
      </w:pPr>
    </w:p>
    <w:bookmarkStart w:id="110" w:name="page111"/>
    <w:bookmarkEnd w:id="110"/>
    <w:p>
      <w:pPr>
        <w:jc w:val="both"/>
        <w:ind w:left="1052" w:right="1779"/>
        <w:spacing w:after="0" w:line="236" w:lineRule="auto"/>
        <w:rPr>
          <w:sz w:val="20"/>
          <w:szCs w:val="20"/>
          <w:color w:val="auto"/>
        </w:rPr>
      </w:pPr>
      <w:r>
        <w:rPr>
          <w:rFonts w:ascii="Courier New" w:cs="Courier New" w:eastAsia="Courier New" w:hAnsi="Courier New"/>
          <w:sz w:val="18"/>
          <w:szCs w:val="18"/>
          <w:color w:val="auto"/>
        </w:rPr>
        <w:t>assistance given to a court, tribunal or any other person in connection with the determination or settlement of any claim or proceedings.</w:t>
      </w:r>
    </w:p>
    <w:p>
      <w:pPr>
        <w:spacing w:after="0" w:line="203" w:lineRule="exact"/>
        <w:rPr>
          <w:sz w:val="20"/>
          <w:szCs w:val="20"/>
          <w:color w:val="auto"/>
        </w:rPr>
      </w:pPr>
    </w:p>
    <w:p>
      <w:pPr>
        <w:ind w:left="532" w:hanging="532"/>
        <w:spacing w:after="0"/>
        <w:tabs>
          <w:tab w:leader="none" w:pos="53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conducted its business in compliance with all applicable laws and regulations of Ireland and of any other relevant foreign country. There is no order, decree or judgement of any court or governmental agency of Ireland or of any other country which is outstanding against the Company or which may have an adverse effect upon the assets or business of the Company.</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Contravention</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officers agents or employees has committed or omitted to do any act or thing the commission or omission of which is or could be in contravention of any national or local statutes or enactments or of any legally binding instruments, rules, orders, regulations, ordinances, codes or directions made thereunder or of any European Union Directives or of any legally binding instruments, rules, orders, regulations, ordinances, codes or directions made thereunder.</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Breaches</w:t>
      </w:r>
    </w:p>
    <w:p>
      <w:pPr>
        <w:spacing w:after="0" w:line="206" w:lineRule="exact"/>
        <w:rPr>
          <w:rFonts w:ascii="Courier New" w:cs="Courier New" w:eastAsia="Courier New" w:hAnsi="Courier New"/>
          <w:sz w:val="18"/>
          <w:szCs w:val="18"/>
          <w:color w:val="auto"/>
        </w:rPr>
      </w:pPr>
    </w:p>
    <w:p>
      <w:pPr>
        <w:jc w:val="both"/>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Neither the Company nor any of its officers or employees has committed any offence likely to affect prejudicially the business of the Company and none of the activities or contracts or rights of the Company are ultra vires, unauthorised, invalid or unenforceable or in breach of any contract or covenant and none of the activities or business of the Company requires any licence authorisation or consent which has not been obtained on a basis which enables the Company properly to carry on its business and the Company has not committed any breach of contract or statutory duty or any law, or any tortious or other unlawful act which could lead to a successful claim or an injunction being made or granted against it and no event has occurred as regards the Company which would entitle any third party to terminate any contract or call in any money before the normal due date thereof.</w:t>
      </w:r>
    </w:p>
    <w:p>
      <w:pPr>
        <w:spacing w:after="0" w:line="38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Conflicts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entitled to carry on the business now carried on by it without conflict with any valid rights of any other person and the Company is not a party to any joint venture, consortium or other joint partnership arrangement or agreement, and there are no claims against the Company for breach of any such agreement.</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Product/Service</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sold, supplied or provided any product or service which did not, does not, or will not comply fully with all applicable laws, regulations standards (including Irish and/or European Union standards) and customer specifications or which was, is or will be faulty, defective or dangerous or not in accordance with any representation, condition, warranty or contractual term, express or implied given in respect of or relating to it.</w:t>
      </w: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1"/>
          </w:cols>
          <w:pgMar w:left="248" w:top="722" w:right="1440" w:bottom="1440" w:gutter="0" w:footer="0" w:header="0"/>
        </w:sectPr>
      </w:pPr>
    </w:p>
    <w:bookmarkStart w:id="111" w:name="page112"/>
    <w:bookmarkEnd w:id="111"/>
    <w:p>
      <w:pPr>
        <w:ind w:left="3152"/>
        <w:spacing w:after="0"/>
        <w:rPr>
          <w:sz w:val="20"/>
          <w:szCs w:val="20"/>
          <w:color w:val="auto"/>
        </w:rPr>
      </w:pPr>
      <w:r>
        <w:rPr>
          <w:rFonts w:ascii="Courier New" w:cs="Courier New" w:eastAsia="Courier New" w:hAnsi="Courier New"/>
          <w:sz w:val="18"/>
          <w:szCs w:val="18"/>
          <w:color w:val="auto"/>
        </w:rPr>
        <w:t>BUSINESS / AGREEMENTS</w:t>
      </w:r>
    </w:p>
    <w:p>
      <w:pPr>
        <w:spacing w:after="0" w:line="201" w:lineRule="exact"/>
        <w:rPr>
          <w:sz w:val="20"/>
          <w:szCs w:val="20"/>
          <w:color w:val="auto"/>
        </w:rPr>
      </w:pPr>
    </w:p>
    <w:p>
      <w:pPr>
        <w:ind w:left="532" w:hanging="532"/>
        <w:spacing w:after="0"/>
        <w:tabs>
          <w:tab w:leader="none" w:pos="53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of Business.</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business has been conducted solely by the Company and not through any subsidiary (other than Ivron Systems, Inc.), affiliate, joint venture, partnership or other entity or person.</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Authorisations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approval or agreement of any person, party, court, government or entity is required to be obtained by the Seller or the Company in connection with the execution and delivery of this Agreement or the consummation of the transactions contemplated hereby.</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w:t>
      </w:r>
    </w:p>
    <w:p>
      <w:pPr>
        <w:spacing w:after="0" w:line="207" w:lineRule="exact"/>
        <w:rPr>
          <w:sz w:val="20"/>
          <w:szCs w:val="20"/>
          <w:color w:val="auto"/>
        </w:rPr>
      </w:pPr>
    </w:p>
    <w:p>
      <w:pPr>
        <w:jc w:val="both"/>
        <w:ind w:left="532" w:right="1779" w:hanging="532"/>
        <w:spacing w:after="0" w:line="237" w:lineRule="auto"/>
        <w:tabs>
          <w:tab w:leader="none" w:pos="532"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neither a party to nor has any liability (present or future, actual or contingent) under any deed, debenture, instrument, guarantee, warranty, indemnity, contract or agreement or commitment of any sort other than (in the ordinary and usual course of business) as specified in the Disclosure Letter (full details of which are therein disclosed to the Purchaser).</w:t>
      </w:r>
    </w:p>
    <w:p>
      <w:pPr>
        <w:spacing w:after="0" w:line="209"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in default under or in respect of any such deed, debenture, instrument, guarantee, warranty, indemnity, contract, agreement or commitment.</w:t>
      </w:r>
    </w:p>
    <w:p>
      <w:pPr>
        <w:spacing w:after="0" w:line="203" w:lineRule="exact"/>
        <w:rPr>
          <w:sz w:val="20"/>
          <w:szCs w:val="20"/>
          <w:color w:val="auto"/>
        </w:rPr>
      </w:pPr>
    </w:p>
    <w:p>
      <w:pPr>
        <w:ind w:left="532" w:hanging="532"/>
        <w:spacing w:after="0"/>
        <w:tabs>
          <w:tab w:leader="none" w:pos="532"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on Freedom</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agreements or arrangements are in force which in any way restrict the freedom of the Company to conduct its day to day business in a normal and businesslike manner or which provide for the furnishing, receipt or exchange of information or assistance in relation to the conduct of the Company's business or which contain or create any abnormal onerous or long-term contractual obligations or commitments to be complied with or met by the Company.</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agent, broker, person or firm acting on behalf of the Company or the Seller or under their authority is or will be entitled to a financial advisory fee, brokerage commission, finder's fee or like payment in connection with any of the transactions contemplated hereby</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Share Sale</w:t>
      </w:r>
    </w:p>
    <w:p>
      <w:pPr>
        <w:spacing w:after="0" w:line="207" w:lineRule="exact"/>
        <w:rPr>
          <w:sz w:val="20"/>
          <w:szCs w:val="20"/>
          <w:color w:val="auto"/>
        </w:rPr>
      </w:pPr>
    </w:p>
    <w:p>
      <w:pPr>
        <w:jc w:val="both"/>
        <w:ind w:left="532" w:right="1779" w:hanging="532"/>
        <w:spacing w:after="0" w:line="237" w:lineRule="auto"/>
        <w:tabs>
          <w:tab w:leader="none" w:pos="532"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contracts, agreements or arrangements to which the Company is a party will be terminated or affected by reason of the change in the shareholding in, or in the ownership or control of, the Company or in the business or undertaking of the Company or which will result or may result from the implementation of the provisions of this Agreement.</w:t>
      </w:r>
    </w:p>
    <w:p>
      <w:pPr>
        <w:spacing w:after="0" w:line="208" w:lineRule="exact"/>
        <w:rPr>
          <w:rFonts w:ascii="Courier New" w:cs="Courier New" w:eastAsia="Courier New" w:hAnsi="Courier New"/>
          <w:sz w:val="18"/>
          <w:szCs w:val="18"/>
          <w:color w:val="auto"/>
        </w:rPr>
      </w:pPr>
    </w:p>
    <w:p>
      <w:pPr>
        <w:jc w:val="both"/>
        <w:ind w:left="532" w:right="1779" w:hanging="532"/>
        <w:spacing w:after="0" w:line="237" w:lineRule="auto"/>
        <w:tabs>
          <w:tab w:leader="none" w:pos="532"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to any such contract agreement or arrangement will be entitled to terminate its obligations thereunder by reason of the execution delivery or performance of this Agreement or any of the transactions contemplated thereby.</w:t>
      </w:r>
    </w:p>
    <w:p>
      <w:pPr>
        <w:spacing w:after="0" w:line="207"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Agreement nor the Completion thereof will or is likely to cause :</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1"/>
          </w:cols>
          <w:pgMar w:left="248" w:top="717" w:right="1440" w:bottom="1440" w:gutter="0" w:footer="0" w:header="0"/>
        </w:sectPr>
      </w:pPr>
    </w:p>
    <w:bookmarkStart w:id="112" w:name="page113"/>
    <w:bookmarkEnd w:id="112"/>
    <w:p>
      <w:pPr>
        <w:ind w:left="1052" w:right="1779" w:hanging="525"/>
        <w:spacing w:after="0" w:line="235" w:lineRule="auto"/>
        <w:tabs>
          <w:tab w:leader="none" w:pos="1052"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to lose the benefit of any licence, exemption, right or privilege which it currently enjoys, or;</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who normally does business with the Company not to continue to do so on the same basis, or;</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officer or senior employee to leave,</w:t>
      </w:r>
    </w:p>
    <w:p>
      <w:pPr>
        <w:spacing w:after="0" w:line="207" w:lineRule="exact"/>
        <w:rPr>
          <w:sz w:val="20"/>
          <w:szCs w:val="20"/>
          <w:color w:val="auto"/>
        </w:rPr>
      </w:pPr>
    </w:p>
    <w:p>
      <w:pPr>
        <w:jc w:val="both"/>
        <w:ind w:left="532" w:right="1779"/>
        <w:spacing w:after="0" w:line="236" w:lineRule="auto"/>
        <w:rPr>
          <w:sz w:val="20"/>
          <w:szCs w:val="20"/>
          <w:color w:val="auto"/>
        </w:rPr>
      </w:pPr>
      <w:r>
        <w:rPr>
          <w:rFonts w:ascii="Courier New" w:cs="Courier New" w:eastAsia="Courier New" w:hAnsi="Courier New"/>
          <w:sz w:val="18"/>
          <w:szCs w:val="18"/>
          <w:color w:val="auto"/>
        </w:rPr>
        <w:t>and so as far as the Seller is aware the attitude or actions of customers, employees and other persons with regard to the Company will not be prejudicially affected thereby.</w:t>
      </w:r>
    </w:p>
    <w:p>
      <w:pPr>
        <w:spacing w:after="0" w:line="209" w:lineRule="exact"/>
        <w:rPr>
          <w:sz w:val="20"/>
          <w:szCs w:val="20"/>
          <w:color w:val="auto"/>
        </w:rPr>
      </w:pPr>
    </w:p>
    <w:p>
      <w:pPr>
        <w:jc w:val="both"/>
        <w:ind w:left="532" w:right="1779" w:hanging="532"/>
        <w:spacing w:after="0" w:line="275" w:lineRule="auto"/>
        <w:tabs>
          <w:tab w:leader="none" w:pos="53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with whom the Company has entered into any agreement or arrangement is in default thereunder being a default which would have an adverse effect on the financial or trading position or prospects of the Company and there are no circumstances likely to give rise to such default.</w:t>
      </w:r>
    </w:p>
    <w:p>
      <w:pPr>
        <w:spacing w:after="0" w:line="182" w:lineRule="exact"/>
        <w:rPr>
          <w:rFonts w:ascii="Courier New" w:cs="Courier New" w:eastAsia="Courier New" w:hAnsi="Courier New"/>
          <w:sz w:val="16"/>
          <w:szCs w:val="16"/>
          <w:color w:val="auto"/>
        </w:rPr>
      </w:pPr>
    </w:p>
    <w:p>
      <w:pPr>
        <w:ind w:left="532" w:right="1779" w:hanging="532"/>
        <w:spacing w:after="0" w:line="235" w:lineRule="auto"/>
        <w:tabs>
          <w:tab w:leader="none" w:pos="532"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of this Agreement and the observance and performance of its provisions will not and will not be likely to:</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a breach of any contract, law, regulation, order, judgement, injunction, undertaking, decree or other like imposition to or by which the Company and/or the Seller is a party or is bound;</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creation, imposition, crystallisation, or enforcement of any encumbrance whatsoever on any of the assets of the Company;</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any present or future indebtedness of the Company becoming due and payable or capable of been declared due and payable prior to its stated maturity date or in any financial facility of the Company being withdrawn; or</w:t>
      </w:r>
    </w:p>
    <w:p>
      <w:pPr>
        <w:spacing w:after="0" w:line="207"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loss or impairment of or any default under any licence, authorisation or consent required by the Company for the purposes of its business.</w:t>
      </w:r>
    </w:p>
    <w:p>
      <w:pPr>
        <w:spacing w:after="0" w:line="203" w:lineRule="exact"/>
        <w:rPr>
          <w:sz w:val="20"/>
          <w:szCs w:val="20"/>
          <w:color w:val="auto"/>
        </w:rPr>
      </w:pPr>
    </w:p>
    <w:p>
      <w:pPr>
        <w:ind w:left="532" w:hanging="532"/>
        <w:spacing w:after="0"/>
        <w:tabs>
          <w:tab w:leader="none" w:pos="532"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is entitled to receive from the Company any finder's fee, brokerage or other commission in connection with the sale and purchase of the Shares under this Agreement.</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Connection</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to which the Company is a party which depends on the continuation of the connection (whether as an officer of the Company or otherwise) of any person with the Company.</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Customers and Suppliers Generally.</w:t>
      </w:r>
    </w:p>
    <w:p>
      <w:pPr>
        <w:spacing w:after="0" w:line="207" w:lineRule="exact"/>
        <w:rPr>
          <w:sz w:val="20"/>
          <w:szCs w:val="20"/>
          <w:color w:val="auto"/>
        </w:rPr>
      </w:pPr>
    </w:p>
    <w:p>
      <w:pPr>
        <w:jc w:val="both"/>
        <w:ind w:left="532" w:right="1779" w:hanging="532"/>
        <w:spacing w:after="0" w:line="236" w:lineRule="auto"/>
        <w:tabs>
          <w:tab w:leader="none" w:pos="532"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present customers or suppliers of the Company's business intend to cease doing business with the Company, or to diminish the amount of the business that they are now doing with the Company.</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1"/>
          </w:cols>
          <w:pgMar w:left="248" w:top="723" w:right="1440" w:bottom="1440" w:gutter="0" w:footer="0" w:header="0"/>
        </w:sectPr>
      </w:pPr>
    </w:p>
    <w:bookmarkStart w:id="113" w:name="page114"/>
    <w:bookmarkEnd w:id="113"/>
    <w:p>
      <w:pPr>
        <w:ind w:left="852" w:right="1999" w:hanging="852"/>
        <w:spacing w:after="0" w:line="237" w:lineRule="auto"/>
        <w:tabs>
          <w:tab w:leader="none" w:pos="852"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supplier or customer of the Company's business has been informed of the sale of the Shares. There is no agreement with any customer or supplier containing a provision against the change of control of the Company.</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Know-how</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does not employ or require to employ in relation to its businesses any know-how which either infringes or is likely to infringe the rights of third parties or which has been disclosed to it by third parties under licence or similar arrangements.</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Licences, etc</w:t>
      </w:r>
    </w:p>
    <w:p>
      <w:pPr>
        <w:spacing w:after="0" w:line="206"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necessary licences, consents, permits and authorities (public and private) have at all times been obtained by the Company to enable the Company to carry on its business effectively in the places and in the manner in which such business is and has been from time to time carried on and all such licences consents permits and authorities are valid and subsisting and the Company is not in breach of any of the terms and conditions thereof and there is no reason why any of them should be suspended cancelled or revoked.</w:t>
      </w:r>
    </w:p>
    <w:p>
      <w:pPr>
        <w:spacing w:after="0" w:line="212"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vehicles owned, leased or hired by the company have such licenses, authorities, and other consents as are necessary or desirable to enable such vehicles to be used by the Company in connection with its business.</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Rights</w:t>
      </w:r>
    </w:p>
    <w:p>
      <w:pPr>
        <w:spacing w:after="0" w:line="207" w:lineRule="exact"/>
        <w:rPr>
          <w:sz w:val="20"/>
          <w:szCs w:val="20"/>
          <w:color w:val="auto"/>
        </w:rPr>
      </w:pPr>
    </w:p>
    <w:p>
      <w:pPr>
        <w:jc w:val="both"/>
        <w:ind w:left="1052" w:right="1779" w:hanging="525"/>
        <w:spacing w:after="0" w:line="237" w:lineRule="auto"/>
        <w:tabs>
          <w:tab w:leader="none" w:pos="105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Particulars of all licences patents trade marks copyright and registered designs (if any) owned or used by the Company in connection with its business together with any user, know-how, information, assistance or development agreements to which the Company is a party (none of which will lapse on or after Completion) ("Intellectual Properties") are contained in the Disclosure Letter and all the said Intellectual Properties are registered in the name of the Company and/are otherwise beneficially owned by it and no licence or other right in respect thereof has been granted or agreed to be granted and the Company is not under any liability to pay royalties or other payments in respect thereof.</w:t>
      </w:r>
    </w:p>
    <w:p>
      <w:pPr>
        <w:spacing w:after="0" w:line="215"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infringement by any third party of such intellectual properties and the Company has not taken or omitted to take any action that would have the effect of waiving any rights relating to such intellectual properties.</w:t>
      </w:r>
    </w:p>
    <w:p>
      <w:pPr>
        <w:spacing w:after="0" w:line="207"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infringement by Company of any intellectual property right of any third party, and other than as disclosed in the Disclosure Letter, Company has not been advised of any such potential claim of infringement.</w:t>
      </w:r>
    </w:p>
    <w:p>
      <w:pPr>
        <w:spacing w:after="0" w:line="207"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granted any licences to others nor has it been granted any licences by others relative to the Company's business.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of the Company as now carried on does not involve the licensed use of confidential information, know-how or technical data and does not and is not likely to infringe any intellectual property rights of any other person.</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1"/>
          </w:cols>
          <w:pgMar w:left="248" w:top="722" w:right="1440" w:bottom="1440" w:gutter="0" w:footer="0" w:header="0"/>
        </w:sectPr>
      </w:pPr>
    </w:p>
    <w:bookmarkStart w:id="114" w:name="page115"/>
    <w:bookmarkEnd w:id="114"/>
    <w:p>
      <w:pPr>
        <w:jc w:val="both"/>
        <w:ind w:left="1052" w:right="1779" w:hanging="525"/>
        <w:spacing w:after="0" w:line="236" w:lineRule="auto"/>
        <w:tabs>
          <w:tab w:leader="none" w:pos="1052"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passing off any part of its business as and for the business of any other person and no person is passing off its business as and for any part of the Company's business.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does not carry on business under or use on its letterhead, sales material, invoices or vehicles or otherwise any name other than its own corporate name or any names specified in the Disclosure Letter as being a name under which it does business and there are no circumstances which might prevent the Company from continuing to carry on business under any such name.</w:t>
      </w:r>
    </w:p>
    <w:p>
      <w:pPr>
        <w:spacing w:after="0" w:line="209"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of Information The Company has not disclosed or permitted to disclose, or undertaken or arranged to disclose, confidential information or lists of customers or clients.</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w:t>
      </w:r>
    </w:p>
    <w:p>
      <w:pPr>
        <w:spacing w:after="0" w:line="206"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delegated any powers or functions under a power of attorney or agency agreement.</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Computer Programme Copyright</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absolutely and solely entitled to the benefits of all copyright in any computer programme used by the Company in the course of its business.</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Unusual or LongTerm Contracts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 party to any contract entered into otherwise than in the ordinary and usual course of business or any contract which may be performed over a period in excess of one year or any contract pursuant to the terms of which any person may be or may become entitled to receive amounts based on the revenues or profits of the Company.</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Insiders' interests.</w:t>
      </w:r>
    </w:p>
    <w:p>
      <w:pPr>
        <w:spacing w:after="0" w:line="207" w:lineRule="exact"/>
        <w:rPr>
          <w:sz w:val="20"/>
          <w:szCs w:val="20"/>
          <w:color w:val="auto"/>
        </w:rPr>
      </w:pPr>
    </w:p>
    <w:p>
      <w:pPr>
        <w:jc w:val="both"/>
        <w:ind w:left="532" w:right="1779" w:hanging="532"/>
        <w:spacing w:after="0" w:line="237" w:lineRule="auto"/>
        <w:tabs>
          <w:tab w:leader="none" w:pos="53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paragraph the expression "Insider" means a shareholder of the Company, a Connected Person or any past or present director of the Company, or any person who is or was at the relevant time related to or otherwise associated with any such shareholder or who was at the relevant time, a Connected Person.</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not outstanding and there has not at any time during the period of six years ended on the date of this Agreement been outstanding:-</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 guarantee or indemnity given by the Company in favour of any Insider or in favour of any other person in respect of any liability of any Insider;</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 guarantee or indemnity given by any Insider in favour of the Company or in favour of any other person in respect of any liability of the Company, other than the Mentor Loan; or</w:t>
      </w:r>
    </w:p>
    <w:p>
      <w:pPr>
        <w:spacing w:after="0" w:line="208" w:lineRule="exact"/>
        <w:rPr>
          <w:rFonts w:ascii="Courier New" w:cs="Courier New" w:eastAsia="Courier New" w:hAnsi="Courier New"/>
          <w:sz w:val="18"/>
          <w:szCs w:val="18"/>
          <w:color w:val="auto"/>
        </w:rPr>
      </w:pPr>
    </w:p>
    <w:p>
      <w:pPr>
        <w:jc w:val="both"/>
        <w:ind w:left="1052" w:right="1779" w:hanging="525"/>
        <w:spacing w:after="0" w:line="275" w:lineRule="auto"/>
        <w:tabs>
          <w:tab w:leader="none" w:pos="1052"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contract to which the Company is or was a party and in which any Insider is or was interested in any way whatsoever (excluding any contract of employment between the Company and any of its directors, full details of which are set out in the Disclosure Letter).</w:t>
      </w:r>
    </w:p>
    <w:p>
      <w:pPr>
        <w:spacing w:after="0" w:line="37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1"/>
          </w:cols>
          <w:pgMar w:left="248" w:top="723" w:right="1440" w:bottom="1440" w:gutter="0" w:footer="0" w:header="0"/>
        </w:sectPr>
      </w:pPr>
    </w:p>
    <w:bookmarkStart w:id="115" w:name="page116"/>
    <w:bookmarkEnd w:id="115"/>
    <w:p>
      <w:pPr>
        <w:jc w:val="both"/>
        <w:ind w:left="1052" w:right="1779" w:hanging="525"/>
        <w:spacing w:after="0" w:line="236" w:lineRule="auto"/>
        <w:tabs>
          <w:tab w:leader="none" w:pos="1052"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Insider has any interest, direct or indirect, in any trade or business which competes or is likely to compete with the Company's business.</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within two years prior to the date hereof been, and is not in prospect of being, affected by the loss of any important client/customer or supplier or by any abnormal factor relating to a customer or supplier or by any dispute or matter which would affect the relationship of the Company with any of its customers or suppliers or any trade association to which it belongs or any member thereof.</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since the Last Accounts Date, entered into any contract other than in the ordinary and usual course of business, including the following:</w:t>
      </w:r>
    </w:p>
    <w:p>
      <w:pPr>
        <w:spacing w:after="0" w:line="209" w:lineRule="exact"/>
        <w:rPr>
          <w:sz w:val="20"/>
          <w:szCs w:val="20"/>
          <w:color w:val="auto"/>
        </w:rPr>
      </w:pPr>
    </w:p>
    <w:p>
      <w:pPr>
        <w:ind w:left="1052" w:right="1779" w:hanging="525"/>
        <w:spacing w:after="0" w:line="235" w:lineRule="auto"/>
        <w:tabs>
          <w:tab w:leader="none" w:pos="105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involves or is likely to involve an aggregate consideration payable by or to the Company in excess of IR(pound)100,000; and</w:t>
      </w:r>
    </w:p>
    <w:p>
      <w:pPr>
        <w:sectPr>
          <w:pgSz w:w="11900" w:h="16838" w:orient="portrait"/>
          <w:cols w:equalWidth="0" w:num="1">
            <w:col w:w="10211"/>
          </w:cols>
          <w:pgMar w:left="248" w:top="723" w:right="1440" w:bottom="1440" w:gutter="0" w:footer="0" w:header="0"/>
        </w:sectPr>
      </w:pPr>
    </w:p>
    <w:p>
      <w:pPr>
        <w:spacing w:after="0" w:line="208" w:lineRule="exact"/>
        <w:rPr>
          <w:sz w:val="20"/>
          <w:szCs w:val="20"/>
          <w:color w:val="auto"/>
        </w:rPr>
      </w:pPr>
    </w:p>
    <w:p>
      <w:pPr>
        <w:ind w:left="1052" w:hanging="525"/>
        <w:spacing w:after="0" w:line="236" w:lineRule="auto"/>
        <w:tabs>
          <w:tab w:leader="none" w:pos="1052"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restricts the freedom of the Company to services by such means and to and from such time to time think fit;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provide or take goods or persons  as it may from</w:t>
      </w:r>
    </w:p>
    <w:p>
      <w:pPr>
        <w:spacing w:after="0" w:line="363" w:lineRule="exact"/>
        <w:rPr>
          <w:sz w:val="20"/>
          <w:szCs w:val="20"/>
          <w:color w:val="auto"/>
        </w:rPr>
      </w:pPr>
    </w:p>
    <w:p>
      <w:pPr>
        <w:sectPr>
          <w:pgSz w:w="11900" w:h="16838" w:orient="portrait"/>
          <w:cols w:equalWidth="0" w:num="2">
            <w:col w:w="5792" w:space="100"/>
            <w:col w:w="4319"/>
          </w:cols>
          <w:pgMar w:left="248" w:top="723" w:right="1440" w:bottom="1440" w:gutter="0" w:footer="0" w:header="0"/>
          <w:type w:val="continuous"/>
        </w:sectPr>
      </w:pPr>
    </w:p>
    <w:p>
      <w:pPr>
        <w:spacing w:after="0" w:line="9" w:lineRule="exact"/>
        <w:rPr>
          <w:sz w:val="20"/>
          <w:szCs w:val="20"/>
          <w:color w:val="auto"/>
        </w:rPr>
      </w:pPr>
    </w:p>
    <w:p>
      <w:pPr>
        <w:ind w:left="1052" w:right="1779" w:hanging="525"/>
        <w:spacing w:after="0" w:line="235" w:lineRule="auto"/>
        <w:tabs>
          <w:tab w:leader="none" w:pos="1052"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on arms length terms or is in anyway otherwise than in the ordinary and usual course of the Company's business.</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grants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applied for or received any grant, subsidy, payment or allowance from any Government, authority, body or agency (whether supra-national, national, regional or local) which may at any time be or become repaid or repayable.</w:t>
      </w:r>
    </w:p>
    <w:p>
      <w:pPr>
        <w:spacing w:after="0" w:line="202"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POSITION SINCE THE LAST ACCOUNTS DATE</w:t>
      </w:r>
    </w:p>
    <w:p>
      <w:pPr>
        <w:spacing w:after="0" w:line="201" w:lineRule="exact"/>
        <w:rPr>
          <w:sz w:val="20"/>
          <w:szCs w:val="20"/>
          <w:color w:val="auto"/>
        </w:rPr>
      </w:pPr>
    </w:p>
    <w:p>
      <w:pPr>
        <w:ind w:left="532" w:hanging="532"/>
        <w:spacing w:after="0"/>
        <w:tabs>
          <w:tab w:leader="none" w:pos="53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Position since the Last Accounts Date.</w:t>
      </w:r>
    </w:p>
    <w:p>
      <w:pPr>
        <w:spacing w:after="0" w:line="201" w:lineRule="exact"/>
        <w:rPr>
          <w:sz w:val="20"/>
          <w:szCs w:val="20"/>
          <w:color w:val="auto"/>
        </w:rPr>
      </w:pPr>
    </w:p>
    <w:p>
      <w:pPr>
        <w:ind w:left="532" w:hanging="532"/>
        <w:spacing w:after="0"/>
        <w:tabs>
          <w:tab w:leader="none" w:pos="532"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Last Accounts Date:</w:t>
      </w:r>
    </w:p>
    <w:p>
      <w:pPr>
        <w:spacing w:after="0" w:line="206"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of the Company has been continued in the ordinary and usual course with a view to profit and so as to maintain the same as a going concern;</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save for disposals in the ordinary and proper course of business at not less than market value the assets of the Company have been in the possession or under the control of the Company;</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by reason of any default by it in its obligations become bound or liable to be called upon to repay prematurely any loan capital or borrowed moneys;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not been any damage, destruction or loss (whether or not covered by insurance) affecting the assets of the Company or of its business;</w:t>
      </w:r>
    </w:p>
    <w:p>
      <w:pPr>
        <w:spacing w:after="0" w:line="203"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abnormal increase or reduction of stocks;</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1"/>
          </w:cols>
          <w:pgMar w:left="248" w:top="723" w:right="1440" w:bottom="1440" w:gutter="0" w:footer="0" w:header="0"/>
          <w:type w:val="continuous"/>
        </w:sectPr>
      </w:pPr>
    </w:p>
    <w:bookmarkStart w:id="116" w:name="page117"/>
    <w:bookmarkEnd w:id="116"/>
    <w:p>
      <w:pPr>
        <w:jc w:val="both"/>
        <w:ind w:left="525" w:right="1779" w:hanging="525"/>
        <w:spacing w:after="0" w:line="237"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stock reflected in the Principal Accounts has been realised for an amount less than that reflected in the Principal Accounts in respect of such stock, other than in the ordinary and usual course of business;</w:t>
      </w:r>
    </w:p>
    <w:p>
      <w:pPr>
        <w:spacing w:after="0" w:line="207"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offered price reductions or discounts or allowances on sales of stock, or sold stock at less than cost.</w:t>
      </w:r>
    </w:p>
    <w:p>
      <w:pPr>
        <w:spacing w:after="0" w:line="208"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loan or advance or payment has been made or consideration given or transaction effected to or with any director, shareholder or person Connected with any of them;</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undergone any capital reorganisation nor has it made any changes in its capital structure;</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not been and there is not threatened any labour trouble, strike or other occurrence event or condition of a similar character which adversely affects or may hereafter adversely affect the assets, Properties, business or prospects of the Company;</w:t>
      </w:r>
    </w:p>
    <w:p>
      <w:pPr>
        <w:spacing w:after="0" w:line="207"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disposed of or acquired any asset other than in the ordinary and usual course of business;</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entered into any transaction or a series of transactions wholly or partially designed to avoid tax;</w:t>
      </w:r>
    </w:p>
    <w:p>
      <w:pPr>
        <w:spacing w:after="0" w:line="208"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suffered any termination or amendment of, or changes to contractual or other relationships with any suppliers or customers of the Company, affecting the business of the Company;</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permitted any disposition of, lapse or other failure to preserve any trade-mark, trade name, logo, copyright or application or registration therefor or any trade secret of the Company which would have material or adverse consequences;</w:t>
      </w:r>
    </w:p>
    <w:p>
      <w:pPr>
        <w:spacing w:after="0" w:line="207" w:lineRule="exact"/>
        <w:rPr>
          <w:rFonts w:ascii="Courier New" w:cs="Courier New" w:eastAsia="Courier New" w:hAnsi="Courier New"/>
          <w:sz w:val="18"/>
          <w:szCs w:val="18"/>
          <w:color w:val="auto"/>
        </w:rPr>
      </w:pPr>
    </w:p>
    <w:p>
      <w:pPr>
        <w:jc w:val="both"/>
        <w:ind w:left="525" w:right="1779" w:hanging="525"/>
        <w:spacing w:after="0" w:line="271" w:lineRule="auto"/>
        <w:tabs>
          <w:tab w:leader="none" w:pos="52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agreed any increase in the compensation payable or to become payable by the Company to any of its officers, employees, agents, or to any Connected Person or to any person related to or otherwise associated with any of its present or former officers or employees, nor has the company agreed to any increase in any bonus payment or arrangement made to or with any such person, or to the adoption or amendment of a bonus, profit-sharing, compensation, stock option, pension, retirement, deferred compensation or other plan for the benefit of employees (whether or not gratuitous);</w:t>
      </w:r>
    </w:p>
    <w:p>
      <w:pPr>
        <w:spacing w:after="0" w:line="388" w:lineRule="exact"/>
        <w:rPr>
          <w:rFonts w:ascii="Courier New" w:cs="Courier New" w:eastAsia="Courier New" w:hAnsi="Courier New"/>
          <w:sz w:val="16"/>
          <w:szCs w:val="16"/>
          <w:color w:val="auto"/>
        </w:rPr>
      </w:pPr>
    </w:p>
    <w:p>
      <w:pPr>
        <w:ind w:left="525" w:right="1779" w:hanging="525"/>
        <w:spacing w:after="0" w:line="235"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implemented any change with respect to the management or supervisory personnel of the Company;</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implemented any change in the accounting methods or practices followed by the Company;</w:t>
      </w:r>
    </w:p>
    <w:p>
      <w:pPr>
        <w:spacing w:after="0" w:line="200" w:lineRule="exact"/>
        <w:rPr>
          <w:sz w:val="20"/>
          <w:szCs w:val="20"/>
          <w:color w:val="auto"/>
        </w:rPr>
      </w:pP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9684"/>
          </w:cols>
          <w:pgMar w:left="775" w:top="723" w:right="1440" w:bottom="1440" w:gutter="0" w:footer="0" w:header="0"/>
        </w:sectPr>
      </w:pPr>
    </w:p>
    <w:bookmarkStart w:id="117" w:name="page118"/>
    <w:bookmarkEnd w:id="117"/>
    <w:p>
      <w:pPr>
        <w:jc w:val="both"/>
        <w:ind w:left="1052" w:right="1779" w:hanging="525"/>
        <w:spacing w:after="0" w:line="237" w:lineRule="auto"/>
        <w:tabs>
          <w:tab w:leader="none" w:pos="1052"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any commitment or taken any action, including without limitation incurring of indebtedness, mortgage or pledge of property, forgiveness or cancellation or payment or discharge of debts or claims or waiver of any rights by the Company, other than in the ordinary and usual course of business; and</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paid its creditors in accordance with their respective credit terms.</w:t>
      </w:r>
    </w:p>
    <w:p>
      <w:pPr>
        <w:spacing w:after="0" w:line="208" w:lineRule="exact"/>
        <w:rPr>
          <w:rFonts w:ascii="Courier New" w:cs="Courier New" w:eastAsia="Courier New" w:hAnsi="Courier New"/>
          <w:sz w:val="18"/>
          <w:szCs w:val="18"/>
          <w:color w:val="auto"/>
        </w:rPr>
      </w:pPr>
    </w:p>
    <w:p>
      <w:pPr>
        <w:jc w:val="both"/>
        <w:ind w:left="532" w:right="1779" w:hanging="532"/>
        <w:spacing w:after="0" w:line="237" w:lineRule="auto"/>
        <w:tabs>
          <w:tab w:leader="none" w:pos="532"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Last Accounts Date there has been no change in the financial position or trading or prospects of the Company and without prejudice to the generality of the foregoing, there has been no material adverse change in the assets or liabilities of the Company and no further liability (actual or contingent and whether disputed or not) for Taxation (including deferred Taxation) has arisen or is likely or will arise otherwise than as a result of transactions entered into by the Company in the ordinary and usual of its business since the Last Accounts Date.</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Last Accounts Date the Company has not:</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or declared any dividends or otherwise made any distribution to shareholders;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any capital commitments (other than in the ordinary and proper course of business and of an aggregate value of not more than (pound)500) or any long term or abnormal contract;</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disposed of any part of its fixed assets or, except in the ordinary and proper course of its business, its current assets;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borrowings or loans other than in the ordinary and proper course of business or given security over its assets, or allowed any liens to be created thereover, or entered into any guarantees or indemnities or other surety agreements;</w:t>
      </w:r>
    </w:p>
    <w:p>
      <w:pPr>
        <w:spacing w:after="0" w:line="207"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or agreed to issue or give options over any share or loan capital;</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altered its memorandum or articles of association;</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any of its insurances to lapse or done anything to make any policy of insurance void or voidable;</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any service agreement or otherwise employed any person;</w:t>
      </w:r>
    </w:p>
    <w:p>
      <w:pPr>
        <w:spacing w:after="0" w:line="206"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or agreed to pay or provide to its officers or employees any increase in fees, remuneration or benefits or otherwise agreed to any change in the terms of employment (as the case may be) of any employee employed by it at the date of this agreement or any officer holding office at the date hereof;</w:t>
      </w:r>
    </w:p>
    <w:p>
      <w:pPr>
        <w:spacing w:after="0" w:line="208" w:lineRule="exact"/>
        <w:rPr>
          <w:rFonts w:ascii="Courier New" w:cs="Courier New" w:eastAsia="Courier New" w:hAnsi="Courier New"/>
          <w:sz w:val="18"/>
          <w:szCs w:val="18"/>
          <w:color w:val="auto"/>
        </w:rPr>
      </w:pPr>
    </w:p>
    <w:p>
      <w:pPr>
        <w:jc w:val="both"/>
        <w:ind w:left="1052" w:right="1779" w:hanging="525"/>
        <w:spacing w:after="0" w:line="290" w:lineRule="auto"/>
        <w:tabs>
          <w:tab w:leader="none" w:pos="1052"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released any debtor on terms that he pays less than the book value of his debt (except for settlement discounts on the usual terms which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1"/>
          </w:cols>
          <w:pgMar w:left="248" w:top="722" w:right="1440" w:bottom="1440" w:gutter="0" w:footer="0" w:header="0"/>
        </w:sectPr>
      </w:pPr>
    </w:p>
    <w:bookmarkStart w:id="118" w:name="page119"/>
    <w:bookmarkEnd w:id="118"/>
    <w:p>
      <w:pPr>
        <w:jc w:val="both"/>
        <w:ind w:left="1052" w:right="1779"/>
        <w:spacing w:after="0" w:line="236" w:lineRule="auto"/>
        <w:rPr>
          <w:sz w:val="20"/>
          <w:szCs w:val="20"/>
          <w:color w:val="auto"/>
        </w:rPr>
      </w:pPr>
      <w:r>
        <w:rPr>
          <w:rFonts w:ascii="Courier New" w:cs="Courier New" w:eastAsia="Courier New" w:hAnsi="Courier New"/>
          <w:sz w:val="18"/>
          <w:szCs w:val="18"/>
          <w:color w:val="auto"/>
        </w:rPr>
        <w:t>have been disclosed to the Purchaser) and no debt owing to the Company has been deferred, subordinated or written off or has proved to any extent irrevocable;</w:t>
      </w:r>
    </w:p>
    <w:p>
      <w:pPr>
        <w:spacing w:after="0" w:line="209" w:lineRule="exact"/>
        <w:rPr>
          <w:sz w:val="20"/>
          <w:szCs w:val="20"/>
          <w:color w:val="auto"/>
        </w:rPr>
      </w:pPr>
    </w:p>
    <w:p>
      <w:pPr>
        <w:ind w:left="1052" w:right="1779" w:hanging="525"/>
        <w:spacing w:after="0" w:line="235" w:lineRule="auto"/>
        <w:tabs>
          <w:tab w:leader="none" w:pos="1052"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repaid any loan or loan capital in whole or in part or become liable to repay such loan or loan capital.</w:t>
      </w:r>
    </w:p>
    <w:p>
      <w:pPr>
        <w:spacing w:after="0" w:line="203"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PRINCIPAL ACCOUNTS</w:t>
      </w:r>
    </w:p>
    <w:p>
      <w:pPr>
        <w:spacing w:after="0" w:line="207" w:lineRule="exact"/>
        <w:rPr>
          <w:sz w:val="20"/>
          <w:szCs w:val="20"/>
          <w:color w:val="auto"/>
        </w:rPr>
      </w:pPr>
    </w:p>
    <w:p>
      <w:pPr>
        <w:jc w:val="both"/>
        <w:ind w:left="532" w:right="1779" w:hanging="532"/>
        <w:spacing w:after="0" w:line="271" w:lineRule="auto"/>
        <w:tabs>
          <w:tab w:leader="none" w:pos="53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of Principal Accounts The Principal Accounts are true, complete and accurate in all respects and have been prepared in accordance with the Companies Acts, 1963 to 2001 and other applicable statutes and regulations and in accordance with good and current accounting principles, practices and standards generally accepted in Ireland at the date of this Agreement including (without limitation) the statements of standard accounting practice of the Institute of Chartered Accountants in Ireland and on a basis consistent with the basis on which the accounts of the Company have been prepared for the six immediately preceding accounting periods, and</w:t>
      </w:r>
    </w:p>
    <w:p>
      <w:pPr>
        <w:spacing w:after="0" w:line="183" w:lineRule="exact"/>
        <w:rPr>
          <w:rFonts w:ascii="Courier New" w:cs="Courier New" w:eastAsia="Courier New" w:hAnsi="Courier New"/>
          <w:sz w:val="16"/>
          <w:szCs w:val="16"/>
          <w:color w:val="auto"/>
        </w:rPr>
      </w:pPr>
    </w:p>
    <w:p>
      <w:pPr>
        <w:jc w:val="both"/>
        <w:ind w:left="1052" w:right="1779" w:hanging="525"/>
        <w:spacing w:after="0" w:line="237" w:lineRule="auto"/>
        <w:tabs>
          <w:tab w:leader="none" w:pos="1052"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out fairly the assets and liabilities (including without prejudice to the generality of the foregoing all contingent and unquantified and disputed liabilities) of the Company and the amounts thereof and show a true and fair view of the financial position of the Company as at the Last Accounts Date and of the results of the Company for its financial years ended on the Last Accounts Date and of the profit or losses for the periods concerned;</w:t>
      </w:r>
    </w:p>
    <w:p>
      <w:pPr>
        <w:spacing w:after="0" w:line="211"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adequate provision for depreciation and amortisation of the fixed assets of the Company having regard to their original costs and estimated life and include no fixed assets at a greater value than their originating cost;</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no intangible assets;</w:t>
      </w:r>
    </w:p>
    <w:p>
      <w:pPr>
        <w:spacing w:after="0" w:line="206"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full provision for all actual liabilities (whether actual or contingent and whether or not qualified or disputed) and fully disclose all contingent or potential liabilities which are not expected to crystallise and all capital commitments of the Company as at the Last Accounts Date;</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contain in accordance with the generally accepted accounting standards either, provisions therein adequate to cover, or essential particulars in notes thereto of, all liabilities of the Company (whether qualified, contingent, unascertained or otherwise);</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affected by any unusual or nonrecurring items;</w:t>
      </w:r>
    </w:p>
    <w:p>
      <w:pPr>
        <w:spacing w:after="0" w:line="206"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full provision or reserve for all Taxation for which the Company was on the Last Accounts Date, or at any time thereafter may have become, liable to be assessed or to pay on or in respect of or by reference to the profits, gains, incomes and earnings of the Company for any period ending on or before the Last Accounts Date and in respect of all distributions, dividends, loans, advances and payments paid, due, payable or made prior to the Last Accounts Date by reference to taxation legislation in force prior to the Last Accounts Date;</w:t>
      </w:r>
    </w:p>
    <w:p>
      <w:pPr>
        <w:spacing w:after="0" w:line="200" w:lineRule="exact"/>
        <w:rPr>
          <w:sz w:val="20"/>
          <w:szCs w:val="20"/>
          <w:color w:val="auto"/>
        </w:rPr>
      </w:pPr>
    </w:p>
    <w:p>
      <w:pPr>
        <w:spacing w:after="0" w:line="21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1"/>
          </w:cols>
          <w:pgMar w:left="248" w:top="722" w:right="1440" w:bottom="1440" w:gutter="0" w:footer="0" w:header="0"/>
        </w:sectPr>
      </w:pPr>
    </w:p>
    <w:bookmarkStart w:id="119" w:name="page120"/>
    <w:bookmarkEnd w:id="119"/>
    <w:p>
      <w:pPr>
        <w:ind w:left="1052" w:hanging="525"/>
        <w:spacing w:after="0"/>
        <w:tabs>
          <w:tab w:leader="none" w:pos="1052"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overstate the value of the current or fixed assets;</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understate any liabilities (whether actual or contingent);</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proper and adequate provision or reserve for all bad and doubtful debts;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all of the stock in trade and work in progress of the Company at the lower of the cost and the net realisable value and write off all redundant, obsolete and slow moving stock in trade in value, stock in trade in work in progress on a basis in all material respects consistent with that adopted for the purpose of preparing the audited accounts of the Company in respect of the last preceding accounting period.</w:t>
      </w:r>
    </w:p>
    <w:p>
      <w:pPr>
        <w:spacing w:after="0" w:line="211"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reasonable provision or reserve for deferred Taxation in accordance with generally accepted accounting principles and standards;</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include any accruals which the Seller regards as relating to Taxation; and</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attribute to the Company's fixed assets a value in excess of their market value.</w:t>
      </w:r>
    </w:p>
    <w:p>
      <w:pPr>
        <w:spacing w:after="0" w:line="208" w:lineRule="exact"/>
        <w:rPr>
          <w:rFonts w:ascii="Courier New" w:cs="Courier New" w:eastAsia="Courier New" w:hAnsi="Courier New"/>
          <w:sz w:val="18"/>
          <w:szCs w:val="18"/>
          <w:color w:val="auto"/>
        </w:rPr>
      </w:pPr>
    </w:p>
    <w:p>
      <w:pPr>
        <w:jc w:val="both"/>
        <w:ind w:left="532" w:right="1779" w:hanging="532"/>
        <w:spacing w:after="0" w:line="237" w:lineRule="auto"/>
        <w:tabs>
          <w:tab w:leader="none" w:pos="532"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Disclosed The Principal Accounts disclose all loans, guarantees, indemnities, mortgages, charges, debentures or unusual liabilities (including contingent liabilities) which have been given or made or incurred by or assigned to or vested in or were outstanding on behalf of the Company on the Last Accounts Date and since the Last Accounts Date none of the foregoing have been created.</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w:t>
      </w:r>
    </w:p>
    <w:p>
      <w:pPr>
        <w:spacing w:after="0" w:line="206" w:lineRule="exact"/>
        <w:rPr>
          <w:rFonts w:ascii="Courier New" w:cs="Courier New" w:eastAsia="Courier New" w:hAnsi="Courier New"/>
          <w:sz w:val="18"/>
          <w:szCs w:val="18"/>
          <w:color w:val="auto"/>
        </w:rPr>
      </w:pPr>
    </w:p>
    <w:p>
      <w:pPr>
        <w:jc w:val="both"/>
        <w:ind w:left="1052" w:right="1779" w:hanging="525"/>
        <w:spacing w:after="0" w:line="275" w:lineRule="auto"/>
        <w:tabs>
          <w:tab w:leader="none" w:pos="1052"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made or entered into any contract or other agreement to make any loan to, or other arrangement with, any person as a result of which it is or may be owed any money other than trade debts incurred in the ordinary and usual of business and cash at bank.</w:t>
      </w:r>
    </w:p>
    <w:p>
      <w:pPr>
        <w:spacing w:after="0" w:line="182" w:lineRule="exact"/>
        <w:rPr>
          <w:rFonts w:ascii="Courier New" w:cs="Courier New" w:eastAsia="Courier New" w:hAnsi="Courier New"/>
          <w:sz w:val="16"/>
          <w:szCs w:val="16"/>
          <w:color w:val="auto"/>
        </w:rPr>
      </w:pPr>
    </w:p>
    <w:p>
      <w:pPr>
        <w:jc w:val="both"/>
        <w:ind w:left="1052" w:right="1779" w:hanging="525"/>
        <w:spacing w:after="0" w:line="236" w:lineRule="auto"/>
        <w:tabs>
          <w:tab w:leader="none" w:pos="1052"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entitled to the benefit of any debt otherwise than as the original creditor and has not factored or discounted or otherwise assigned any debt or agreed to do so.</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debts which are reflected in the Principal Accounts as owing to the Company (apart from bad and doubtful debts to the extent to which they have been provided for in the Principal Accounts) or which have subsequently been recorded in the books of the Company have realised or will realise in the normal course of collection and within three months of Completion their full value as included in the Principal Accounts or in the books of the Company, and no such debt nor any part of it has been outstanding for more than two months from its due date for payment.</w:t>
      </w:r>
    </w:p>
    <w:p>
      <w:pPr>
        <w:spacing w:after="0" w:line="200" w:lineRule="exact"/>
        <w:rPr>
          <w:sz w:val="20"/>
          <w:szCs w:val="20"/>
          <w:color w:val="auto"/>
        </w:rPr>
      </w:pPr>
    </w:p>
    <w:p>
      <w:pPr>
        <w:spacing w:after="0" w:line="21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1"/>
          </w:cols>
          <w:pgMar w:left="248" w:top="717" w:right="1440" w:bottom="1440" w:gutter="0" w:footer="0" w:header="0"/>
        </w:sectPr>
      </w:pPr>
    </w:p>
    <w:bookmarkStart w:id="120" w:name="page121"/>
    <w:bookmarkEnd w:id="120"/>
    <w:p>
      <w:pPr>
        <w:ind w:left="532" w:hanging="532"/>
        <w:spacing w:after="0"/>
        <w:tabs>
          <w:tab w:leader="none" w:pos="532"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Commitments</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commitments on capital account outstanding at the Last Accounts Date and since the Last Accounts Date none have been created and none will be created prior to Completion.</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Liabilities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had at the Last Accounts Date no liabilities (absolute, accrued, contingent or otherwise), other than those included in the Principal Accounts and since the Last Accounts Date no such liabilities have been incurred other than in the ordinary and usual of business.</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Book Value of Assets</w:t>
      </w:r>
    </w:p>
    <w:p>
      <w:pPr>
        <w:spacing w:after="0" w:line="206" w:lineRule="exact"/>
        <w:rPr>
          <w:rFonts w:ascii="Courier New" w:cs="Courier New" w:eastAsia="Courier New" w:hAnsi="Courier New"/>
          <w:sz w:val="18"/>
          <w:szCs w:val="18"/>
          <w:color w:val="auto"/>
        </w:rPr>
      </w:pPr>
    </w:p>
    <w:p>
      <w:pPr>
        <w:jc w:val="both"/>
        <w:ind w:left="532"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book value in or adopted for the purposes of the Principal Accounts as the value of each of the assets of the Company on the disposal of which a chargeable gain or allowable loss could arise does not exceed the amount deductible under the Capital Gains Tax Acts plus an indexation allowance computed as though each asset were disposed of on the Completion Date.</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of Stock and Work in Progress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method of valuing stock and work-in-progress and the basis of depreciation and amortisation adopted in the Principal Accounts were the same as those adopted in the audited balance sheet for the two previous financial years.</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Extraordinary Items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profits shown by the audited profit and loss accounts of the Company for each of the three financial years ended on the Last Accounts Date have not (except as therein disclosed) been affected by an extraordinary or exceptional item or by inconsistencies of accounting practice or by the inclusion of nonrecurring items of income or expenditure or by transactions entered into otherwise than on normal commercial terms or by any other factor rendering such profits for all or any of such years unusually high or low.</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and Records</w:t>
      </w:r>
    </w:p>
    <w:p>
      <w:pPr>
        <w:spacing w:after="0" w:line="206"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books ledgers financial and other records of whatsoever kind of the Company:</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properly maintained and contain proper records of all matters required to be entered therein by the Companies Acts, 1963 to 2001;</w:t>
      </w:r>
    </w:p>
    <w:p>
      <w:pPr>
        <w:spacing w:after="0" w:line="203"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contain or reflect any inaccuracies or discrepancies; and</w:t>
      </w:r>
    </w:p>
    <w:p>
      <w:pPr>
        <w:spacing w:after="0" w:line="206" w:lineRule="exact"/>
        <w:rPr>
          <w:rFonts w:ascii="Courier New" w:cs="Courier New" w:eastAsia="Courier New" w:hAnsi="Courier New"/>
          <w:sz w:val="18"/>
          <w:szCs w:val="18"/>
          <w:color w:val="auto"/>
        </w:rPr>
      </w:pPr>
    </w:p>
    <w:p>
      <w:pPr>
        <w:jc w:val="both"/>
        <w:ind w:left="1052" w:right="1779" w:hanging="525"/>
        <w:spacing w:after="0" w:line="279" w:lineRule="auto"/>
        <w:tabs>
          <w:tab w:leader="none" w:pos="1052"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and reflect a true and fair view of the trading transactions and of the financial and contractual position of the Company and of the assets and liabilities in accordance with normal business practice.</w:t>
      </w:r>
    </w:p>
    <w:p>
      <w:pPr>
        <w:spacing w:after="0" w:line="172"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 of Records</w:t>
      </w:r>
    </w:p>
    <w:p>
      <w:pPr>
        <w:spacing w:after="0" w:line="206"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records, systems and information, and the means of access to them, are exclusively owned by it and under its direct control.</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1"/>
          </w:cols>
          <w:pgMar w:left="248" w:top="717" w:right="1440" w:bottom="1440" w:gutter="0" w:footer="0" w:header="0"/>
        </w:sectPr>
      </w:pPr>
    </w:p>
    <w:bookmarkStart w:id="121" w:name="page122"/>
    <w:bookmarkEnd w:id="121"/>
    <w:p>
      <w:pPr>
        <w:ind w:left="532" w:hanging="532"/>
        <w:spacing w:after="0"/>
        <w:tabs>
          <w:tab w:leader="none" w:pos="532"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payable of the Company to third parties have arisen in the ordinary and usual of business, and, as of the date hereof there is no such account payable past due or delinquent in its payment.</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of Accounts.</w:t>
      </w:r>
    </w:p>
    <w:p>
      <w:pPr>
        <w:spacing w:after="0" w:line="207" w:lineRule="exact"/>
        <w:rPr>
          <w:sz w:val="20"/>
          <w:szCs w:val="20"/>
          <w:color w:val="auto"/>
        </w:rPr>
      </w:pPr>
    </w:p>
    <w:p>
      <w:pPr>
        <w:jc w:val="both"/>
        <w:ind w:left="532" w:right="1779"/>
        <w:spacing w:after="0" w:line="237" w:lineRule="auto"/>
        <w:rPr>
          <w:sz w:val="20"/>
          <w:szCs w:val="20"/>
          <w:color w:val="auto"/>
        </w:rPr>
      </w:pPr>
      <w:r>
        <w:rPr>
          <w:rFonts w:ascii="Courier New" w:cs="Courier New" w:eastAsia="Courier New" w:hAnsi="Courier New"/>
          <w:sz w:val="18"/>
          <w:szCs w:val="18"/>
          <w:color w:val="auto"/>
        </w:rPr>
        <w:t>True copies of the Principal Accounts and of the audited accounts for each financial year of the Company preceding that which ended on the Last Accounts Date have been laid before the Company in general meeting and delivered to the Registrar of Companies in compliance with the Companies Acts 1963 to 2001.</w:t>
      </w:r>
    </w:p>
    <w:p>
      <w:pPr>
        <w:spacing w:after="0" w:line="203"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PROPERTY</w:t>
      </w:r>
    </w:p>
    <w:p>
      <w:pPr>
        <w:spacing w:after="0" w:line="201" w:lineRule="exact"/>
        <w:rPr>
          <w:sz w:val="20"/>
          <w:szCs w:val="20"/>
          <w:color w:val="auto"/>
        </w:rPr>
      </w:pPr>
    </w:p>
    <w:p>
      <w:pPr>
        <w:ind w:left="532" w:hanging="532"/>
        <w:spacing w:after="0"/>
        <w:tabs>
          <w:tab w:leader="none" w:pos="53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 Interests</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owns no freehold property.</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Properties held under a Lease</w:t>
      </w:r>
    </w:p>
    <w:p>
      <w:pPr>
        <w:spacing w:after="0" w:line="201" w:lineRule="exact"/>
        <w:rPr>
          <w:sz w:val="20"/>
          <w:szCs w:val="20"/>
          <w:color w:val="auto"/>
        </w:rPr>
      </w:pPr>
    </w:p>
    <w:p>
      <w:pPr>
        <w:ind w:left="532" w:hanging="532"/>
        <w:spacing w:after="0"/>
        <w:tabs>
          <w:tab w:leader="none" w:pos="532"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Properties held by the Company under a lease:</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unusual or onerous provisions in the lease affecting the cureent and intended use of the property;</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normal forfeiture provisions, the lease does not include express provision whereby either the landlord or the tenant may terminate the lease prematurely;</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rent reviews currently under negotiation or the subject of reference to either an expert, an arbitrator or the Courts.</w:t>
      </w:r>
    </w:p>
    <w:p>
      <w:pPr>
        <w:spacing w:after="0" w:line="208" w:lineRule="exact"/>
        <w:rPr>
          <w:rFonts w:ascii="Courier New" w:cs="Courier New" w:eastAsia="Courier New" w:hAnsi="Courier New"/>
          <w:sz w:val="18"/>
          <w:szCs w:val="18"/>
          <w:color w:val="auto"/>
        </w:rPr>
      </w:pPr>
    </w:p>
    <w:p>
      <w:pPr>
        <w:ind w:left="1052" w:right="1779" w:hanging="525"/>
        <w:spacing w:after="0" w:line="290" w:lineRule="auto"/>
        <w:tabs>
          <w:tab w:leader="none" w:pos="1052"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in breach nor has it breached any of the covenants, restrictions or conditions contained or referred to in the lease.</w:t>
      </w:r>
    </w:p>
    <w:p>
      <w:pPr>
        <w:spacing w:after="0" w:line="169" w:lineRule="exact"/>
        <w:rPr>
          <w:rFonts w:ascii="Courier New" w:cs="Courier New" w:eastAsia="Courier New" w:hAnsi="Courier New"/>
          <w:sz w:val="16"/>
          <w:szCs w:val="16"/>
          <w:color w:val="auto"/>
        </w:rPr>
      </w:pPr>
    </w:p>
    <w:p>
      <w:pPr>
        <w:ind w:left="532" w:right="1779" w:hanging="532"/>
        <w:spacing w:after="0" w:line="235" w:lineRule="auto"/>
        <w:tabs>
          <w:tab w:leader="none" w:pos="532"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use and mode of construction of the Property is and always has been in compliance with law.</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Properties under lease comprise all the lands and buildings owned, occupied or used by the Company or in which the Company has any interest.</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the legal and beneficial owner of the leasehold interest in the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1"/>
          </w:cols>
          <w:pgMar w:left="248" w:top="717" w:right="1440" w:bottom="1440" w:gutter="0" w:footer="0" w:header="0"/>
        </w:sectPr>
      </w:pPr>
    </w:p>
    <w:bookmarkStart w:id="122" w:name="page123"/>
    <w:bookmarkEnd w:id="122"/>
    <w:p>
      <w:pPr>
        <w:jc w:val="right"/>
        <w:ind w:right="5059"/>
        <w:spacing w:after="0"/>
        <w:rPr>
          <w:sz w:val="20"/>
          <w:szCs w:val="20"/>
          <w:color w:val="auto"/>
        </w:rPr>
      </w:pPr>
      <w:r>
        <w:rPr>
          <w:rFonts w:ascii="Courier New" w:cs="Courier New" w:eastAsia="Courier New" w:hAnsi="Courier New"/>
          <w:sz w:val="18"/>
          <w:szCs w:val="18"/>
          <w:color w:val="auto"/>
        </w:rPr>
        <w:t>COMPANIES ACT 1990</w:t>
      </w:r>
    </w:p>
    <w:p>
      <w:pPr>
        <w:spacing w:after="0" w:line="201" w:lineRule="exact"/>
        <w:rPr>
          <w:sz w:val="20"/>
          <w:szCs w:val="20"/>
          <w:color w:val="auto"/>
        </w:rPr>
      </w:pPr>
    </w:p>
    <w:p>
      <w:pPr>
        <w:ind w:left="540" w:hanging="532"/>
        <w:spacing w:after="0"/>
        <w:tabs>
          <w:tab w:leader="none" w:pos="5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Investigations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540" w:hanging="532"/>
        <w:spacing w:after="0" w:line="237" w:lineRule="auto"/>
        <w:tabs>
          <w:tab w:leader="none" w:pos="5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application has been made pursuant to Companies Act 1990 (the "1990 Act") for the investigate the affairs of the Company threatened or anticipated.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1779" w:firstLine="105"/>
        <w:spacing w:after="0" w:line="279" w:lineRule="auto"/>
        <w:rPr>
          <w:sz w:val="20"/>
          <w:szCs w:val="20"/>
          <w:color w:val="auto"/>
        </w:rPr>
      </w:pPr>
      <w:r>
        <w:rPr>
          <w:rFonts w:ascii="Courier New" w:cs="Courier New" w:eastAsia="Courier New" w:hAnsi="Courier New"/>
          <w:sz w:val="16"/>
          <w:szCs w:val="16"/>
          <w:color w:val="auto"/>
        </w:rPr>
        <w:t>Section 7 or Section 8 of the appointment of an Inspector to and no such application is</w:t>
      </w:r>
    </w:p>
    <w:p>
      <w:pPr>
        <w:spacing w:after="0" w:line="373" w:lineRule="exact"/>
        <w:rPr>
          <w:sz w:val="20"/>
          <w:szCs w:val="20"/>
          <w:color w:val="auto"/>
        </w:rPr>
      </w:pPr>
    </w:p>
    <w:p>
      <w:pPr>
        <w:sectPr>
          <w:pgSz w:w="11900" w:h="16838" w:orient="portrait"/>
          <w:cols w:equalWidth="0" w:num="2">
            <w:col w:w="5160" w:space="120"/>
            <w:col w:w="4939"/>
          </w:cols>
          <w:pgMar w:left="240" w:top="717" w:right="1440" w:bottom="1440" w:gutter="0" w:footer="0" w:header="0"/>
          <w:type w:val="continuous"/>
        </w:sectPr>
      </w:pPr>
    </w:p>
    <w:p>
      <w:pPr>
        <w:spacing w:after="0" w:line="7" w:lineRule="exact"/>
        <w:rPr>
          <w:sz w:val="20"/>
          <w:szCs w:val="20"/>
          <w:color w:val="auto"/>
        </w:rPr>
      </w:pPr>
    </w:p>
    <w:p>
      <w:pPr>
        <w:jc w:val="both"/>
        <w:ind w:left="540" w:right="1779" w:hanging="532"/>
        <w:spacing w:after="0" w:line="237" w:lineRule="auto"/>
        <w:tabs>
          <w:tab w:leader="none" w:pos="5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the subject of or adversely affected by any court order made pursuant to Section 12 of the 1990 Act or otherwise the subject of or adversely affected by any proceedings instituted by or against any person as a result of any investigation of any Companies' affairs under the 1990 Act.</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identified or referred to in any inspector's report made pursuant to Section 11 of the 1990 Act.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inspector has been appointed by the Minister for Enterprise and Employment (the "Minister") under Section 14 of the 1990 Act to investigate the ownership of the Company and no person has been required pursuant to Section 15 of the Act to give the Minister any information as to the ownership of the Company.</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shares in or debentures of the Company are subject to or have been issued in contravention of any restriction under Section 16 of the 1990 Act and the Company is not legally or beneficially interested in any shares in or debentures of the Company which are the subject of any restriction under Section 16 of the 1990 Act.</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directions have been given to the Company under or pursuant to Section 19 of the 1990 Act in relation to the production of documents.</w:t>
      </w:r>
    </w:p>
    <w:p>
      <w:pPr>
        <w:spacing w:after="0" w:line="208" w:lineRule="exact"/>
        <w:rPr>
          <w:sz w:val="20"/>
          <w:szCs w:val="20"/>
          <w:color w:val="auto"/>
        </w:rPr>
      </w:pPr>
    </w:p>
    <w:p>
      <w:pPr>
        <w:jc w:val="both"/>
        <w:ind w:left="540" w:right="1779" w:hanging="532"/>
        <w:spacing w:after="0" w:line="237" w:lineRule="auto"/>
        <w:tabs>
          <w:tab w:leader="none" w:pos="5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of Interest in Shares Each shareholder of the Company who is, or has at any time been required to notify the Company of its interests in any share in or debenture of the Company pursuant to Section 53 of the 1990 Act has duly complied with its obligations under Part IV Chapter 1 of the 1990 Act.</w:t>
      </w:r>
    </w:p>
    <w:p>
      <w:pPr>
        <w:spacing w:after="0" w:line="208" w:lineRule="exact"/>
        <w:rPr>
          <w:rFonts w:ascii="Courier New" w:cs="Courier New" w:eastAsia="Courier New" w:hAnsi="Courier New"/>
          <w:sz w:val="18"/>
          <w:szCs w:val="18"/>
          <w:color w:val="auto"/>
        </w:rPr>
      </w:pPr>
    </w:p>
    <w:p>
      <w:pPr>
        <w:ind w:left="540" w:right="6099" w:hanging="532"/>
        <w:spacing w:after="0" w:line="470" w:lineRule="auto"/>
        <w:tabs>
          <w:tab w:leader="none" w:pos="5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Companies Act 1990 The Company has not:-</w:t>
      </w:r>
    </w:p>
    <w:p>
      <w:pPr>
        <w:spacing w:after="0" w:line="11"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any arrangement in breach of Section 28 or Section 29 of the 1990 Act;</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loans or quasi loans (within the meaning of Section 25 of the 1990 Act), entered into any credit transaction as creditor or entered into any guarantee or indemnity or provided any security in connection with a loan, quasi loan or credit transaction in breach of Section 31 of the 1990 Act;</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been and is not related to any other company for the purpose of Section 140 of the 1990 Act and is not and will not at any time be liable to be subject to an order made under that section by virtue of any Act (whether of commission or of omission) that occurred prior to Completion;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123" w:name="page124"/>
    <w:bookmarkEnd w:id="123"/>
    <w:p>
      <w:pPr>
        <w:ind w:left="1060" w:right="1779" w:hanging="525"/>
        <w:spacing w:after="0" w:line="235" w:lineRule="auto"/>
        <w:tabs>
          <w:tab w:leader="none" w:pos="106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 notice served on it by its auditors pursuant to Section 185 or 194 of the 1990 Act;</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been struck off and subsequently restored to the Register pursuant to the provisions of Section 311(A) of the Companies Act 1963;</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any transaction or arrangement particulars whereof would, pursuant to Section 41 of the 1990 Act, require to be contained in the accounts prepared by such company;</w:t>
      </w:r>
    </w:p>
    <w:p>
      <w:pPr>
        <w:sectPr>
          <w:pgSz w:w="11900" w:h="16838" w:orient="portrait"/>
          <w:cols w:equalWidth="0" w:num="1">
            <w:col w:w="10219"/>
          </w:cols>
          <w:pgMar w:left="240" w:top="722" w:right="1440" w:bottom="1440" w:gutter="0" w:footer="0" w:header="0"/>
        </w:sectPr>
      </w:pPr>
    </w:p>
    <w:p>
      <w:pPr>
        <w:spacing w:after="0" w:line="209" w:lineRule="exact"/>
        <w:rPr>
          <w:sz w:val="20"/>
          <w:szCs w:val="20"/>
          <w:color w:val="auto"/>
        </w:rPr>
      </w:pPr>
    </w:p>
    <w:p>
      <w:pPr>
        <w:ind w:left="1060" w:hanging="525"/>
        <w:spacing w:after="0" w:line="279" w:lineRule="auto"/>
        <w:tabs>
          <w:tab w:leader="none" w:pos="106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purchased or redeemed or created treasury the 1990 Act.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779" w:firstLine="105"/>
        <w:spacing w:after="0" w:line="290" w:lineRule="auto"/>
        <w:rPr>
          <w:sz w:val="20"/>
          <w:szCs w:val="20"/>
          <w:color w:val="auto"/>
        </w:rPr>
      </w:pPr>
      <w:r>
        <w:rPr>
          <w:rFonts w:ascii="Courier New" w:cs="Courier New" w:eastAsia="Courier New" w:hAnsi="Courier New"/>
          <w:sz w:val="16"/>
          <w:szCs w:val="16"/>
          <w:color w:val="auto"/>
        </w:rPr>
        <w:t>its own shares or those of its holding company shares pursuant to the provisions of Part XI of</w:t>
      </w:r>
    </w:p>
    <w:p>
      <w:pPr>
        <w:spacing w:after="0" w:line="367" w:lineRule="exact"/>
        <w:rPr>
          <w:sz w:val="20"/>
          <w:szCs w:val="20"/>
          <w:color w:val="auto"/>
        </w:rPr>
      </w:pPr>
    </w:p>
    <w:p>
      <w:pPr>
        <w:sectPr>
          <w:pgSz w:w="11900" w:h="16838" w:orient="portrait"/>
          <w:cols w:equalWidth="0" w:num="2">
            <w:col w:w="3280" w:space="100"/>
            <w:col w:w="6839"/>
          </w:cols>
          <w:pgMar w:left="240" w:top="72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100. Interested Parties</w:t>
      </w:r>
    </w:p>
    <w:p>
      <w:pPr>
        <w:spacing w:after="0" w:line="207" w:lineRule="exact"/>
        <w:rPr>
          <w:sz w:val="20"/>
          <w:szCs w:val="20"/>
          <w:color w:val="auto"/>
        </w:rPr>
      </w:pPr>
    </w:p>
    <w:p>
      <w:pPr>
        <w:jc w:val="both"/>
        <w:ind w:left="540" w:right="1779" w:hanging="532"/>
        <w:spacing w:after="0" w:line="236" w:lineRule="auto"/>
        <w:tabs>
          <w:tab w:leader="none" w:pos="5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indebtedness or liability (whether actual or contingent and whether or not quantified or disputed) and no contract, commitment or arrangement is outstanding between the Company and any Seller or any Connected Person.</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Seller nor any Connected Person has any right or interest directly or indirectly in any business which is or is likely to be or become competitive with the business of the Company.</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Seller nor any Connected Person is entitled to any claim of whatsoever nature against the Company and neither the Seller nor any Connected Person has assigned to any person the benefit of any such claim to which he would otherwise have been entitled.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 Safety in Industry</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duly discharged its duties and performed its obligations under and in compliance with the Safety in Industry Acts 1955 and 1980, (the "SAIS") and under the Safety Health and Welfare at Work Act 1989 (the "SHW Act") and all regulations, directions, notices and orders made or served thereunder and has complied with any relevant code of practice issued by the National Authority for Occupational Safety and Health established pursuant to the SHW Act.</w:t>
      </w:r>
    </w:p>
    <w:p>
      <w:pPr>
        <w:spacing w:after="0" w:line="211"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Properties are subject to any investigation or enquiry pursuant to the SAIS or the SHW Act and no direction, notice or order has been served on the Company or any of the Properties pursuant to the SAIS or the SHW Act and no application has been made to court under the SAIS or the SHW Act for an order restricting or prohibiting the use of any of the Properties or any part thereof, nor is any prosecution threatened or pending in respect of any possible breach of the SAIS or the SHW Act or related regulations.</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COMPETITION LAW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 Competition</w:t>
      </w:r>
    </w:p>
    <w:p>
      <w:pPr>
        <w:spacing w:after="0" w:line="207" w:lineRule="exact"/>
        <w:rPr>
          <w:sz w:val="20"/>
          <w:szCs w:val="20"/>
          <w:color w:val="auto"/>
        </w:rPr>
      </w:pPr>
    </w:p>
    <w:p>
      <w:pPr>
        <w:jc w:val="both"/>
        <w:ind w:left="540" w:right="1779" w:hanging="532"/>
        <w:spacing w:after="0" w:line="235" w:lineRule="auto"/>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 party to or concerned in any agreement, practice or arrangement which is registered or notifiable under or contravenes or is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2" w:right="1440" w:bottom="1440" w:gutter="0" w:footer="0" w:header="0"/>
          <w:type w:val="continuous"/>
        </w:sectPr>
      </w:pPr>
    </w:p>
    <w:bookmarkStart w:id="124" w:name="page125"/>
    <w:bookmarkEnd w:id="124"/>
    <w:p>
      <w:pPr>
        <w:jc w:val="both"/>
        <w:ind w:left="540" w:right="1779"/>
        <w:spacing w:after="0" w:line="236" w:lineRule="auto"/>
        <w:rPr>
          <w:sz w:val="20"/>
          <w:szCs w:val="20"/>
          <w:color w:val="auto"/>
        </w:rPr>
      </w:pPr>
      <w:r>
        <w:rPr>
          <w:rFonts w:ascii="Courier New" w:cs="Courier New" w:eastAsia="Courier New" w:hAnsi="Courier New"/>
          <w:sz w:val="18"/>
          <w:szCs w:val="18"/>
          <w:color w:val="auto"/>
        </w:rPr>
        <w:t>invalidated (in whole or in part) by the provisions of the Competition Acts 1991 to 1996 or the Consumer Information Act 1978 and no order has been made thereunder against the Company.</w:t>
      </w:r>
    </w:p>
    <w:p>
      <w:pPr>
        <w:spacing w:after="0" w:line="209" w:lineRule="exact"/>
        <w:rPr>
          <w:sz w:val="20"/>
          <w:szCs w:val="20"/>
          <w:color w:val="auto"/>
        </w:rPr>
      </w:pPr>
    </w:p>
    <w:p>
      <w:pPr>
        <w:jc w:val="both"/>
        <w:ind w:left="540" w:right="1779" w:hanging="532"/>
        <w:spacing w:after="0" w:line="271" w:lineRule="auto"/>
        <w:tabs>
          <w:tab w:leader="none" w:pos="5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nor has it ever been, a party to or concerned in any agreement, decision or practice prohibited by Articles 85 and/or 86 of the Treaty of Rome, or which contravenes any anti-trust, anti-monopoly or anti cartel legislation or regulation of Ireland or of the European Union or of any relevant jurisdiction nor has the Company made any application to the Commission of the European Union for a declaration of inapplicability or for negative clearance in respect of any agreement, decision or practice nor is the Company abusing, nor has it abused, a dominant position.</w:t>
      </w:r>
    </w:p>
    <w:p>
      <w:pPr>
        <w:spacing w:after="0" w:line="185" w:lineRule="exact"/>
        <w:rPr>
          <w:rFonts w:ascii="Courier New" w:cs="Courier New" w:eastAsia="Courier New" w:hAnsi="Courier New"/>
          <w:sz w:val="16"/>
          <w:szCs w:val="16"/>
          <w:color w:val="auto"/>
        </w:rPr>
      </w:pPr>
    </w:p>
    <w:p>
      <w:pPr>
        <w:jc w:val="both"/>
        <w:ind w:left="540" w:right="1779" w:hanging="532"/>
        <w:spacing w:after="0" w:line="237" w:lineRule="auto"/>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every merger or take-over in which the Company was involved prior to the date of this agreement and to which the Mergers Act applied, the Minister has issued a statement in writing prior to completion of the merger or take-over concerned stating that he decided not to make an order under section 9 of the Mergers Act.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now nor has it been, a party to any agreement or arrangement or been involved in any business practice in respect of which any request for information, statement of objections, request or similar matter has been received by the Seller or the Company from any court, tribunal, governmental, national or supranational authority.</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or threatened to make any complaint against any other person or any relevant authority under any law or legislation referred to in this paragraph.</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given any assurance or undertaking to the Irish Competition Authority, the Commission or Court of First Instance or Court of Justice of the European Union or to any other court, person or body, and is not subject to any act, decision, regulation or order or other instrument (statutory or otherwise) made by any of them in relation to any matter referred to in this paragraph.</w:t>
      </w:r>
    </w:p>
    <w:p>
      <w:pPr>
        <w:spacing w:after="0" w:line="209"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in default or in contravention of any article, act, decision, regulation, order or other instrument or of any assurance or undertaking relating to any matter referred to in this paragraph.</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Companies has given any consents limiting or excluding its rights to do business and/or compete in any area or field with any other person.</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CONDUCT OF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 Code of Practice/Orders</w:t>
      </w:r>
    </w:p>
    <w:p>
      <w:pPr>
        <w:spacing w:after="0" w:line="207" w:lineRule="exact"/>
        <w:rPr>
          <w:sz w:val="20"/>
          <w:szCs w:val="20"/>
          <w:color w:val="auto"/>
        </w:rPr>
      </w:pPr>
    </w:p>
    <w:p>
      <w:pPr>
        <w:ind w:left="540" w:right="1779" w:hanging="532"/>
        <w:spacing w:after="0" w:line="235" w:lineRule="auto"/>
        <w:tabs>
          <w:tab w:leader="none" w:pos="5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code of practice has been issued by any government department, association or similar body which relates to the Company's business.</w:t>
      </w:r>
    </w:p>
    <w:p>
      <w:pPr>
        <w:spacing w:after="0" w:line="208"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(Apart from statutory instruments) no order or notice been made, given or published affecting the prices which may be charged for any goods as services supplied by the Company and no notification has been received or published of any intention to make such an order or to give such a notice.</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2" w:right="1440" w:bottom="1440" w:gutter="0" w:footer="0" w:header="0"/>
        </w:sectPr>
      </w:pPr>
    </w:p>
    <w:bookmarkStart w:id="125" w:name="page126"/>
    <w:bookmarkEnd w:id="125"/>
    <w:p>
      <w:pPr>
        <w:ind w:left="532" w:hanging="532"/>
        <w:spacing w:after="0"/>
        <w:tabs>
          <w:tab w:leader="none" w:pos="532"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Investigations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not pending, or in existence any investigation or inquiry or tribunal of inquiry by, or on behalf of, any governmental or other body in respect of the affairs of the Company or which is likely to involve the Company or any of its personnel.</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Attachment of Defaulters Funds</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of attachment has been served on the Company nor in relation to any funds of the Company of the Company under Section 72(2) of the Finance Act, 1988.</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July Shares and Earn-Out Shares [compare against term sheet]</w:t>
      </w:r>
    </w:p>
    <w:p>
      <w:pPr>
        <w:spacing w:after="0" w:line="206" w:lineRule="exact"/>
        <w:rPr>
          <w:rFonts w:ascii="Courier New" w:cs="Courier New" w:eastAsia="Courier New" w:hAnsi="Courier New"/>
          <w:sz w:val="18"/>
          <w:szCs w:val="18"/>
          <w:color w:val="auto"/>
        </w:rPr>
      </w:pPr>
    </w:p>
    <w:p>
      <w:pPr>
        <w:jc w:val="both"/>
        <w:ind w:left="532"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Each Seller (i) understands that issuance of the July Shares and the Earn-Out Shares have not been, and will not be, registered under the Securities Act of 1933 (the "Securities Act"), or under any state securities laws, and that they are being offered and sold in reliance upon federal and state exemptions for transactions not involving any public offering, (ii) is acquiring the July Shares and the Earn-Out Shares solely for its own account for investment purposes, and not with a view to the distribution thereof, (iii) is an "Accredited Investor" as defined in the rules promulgated pursuant to the Securities Act, or is a sophisticated investor with knowledge and experience in business and financial matters,</w:t>
      </w:r>
    </w:p>
    <w:p>
      <w:pPr>
        <w:spacing w:after="0" w:line="1" w:lineRule="exact"/>
        <w:rPr>
          <w:rFonts w:ascii="Courier New" w:cs="Courier New" w:eastAsia="Courier New" w:hAnsi="Courier New"/>
          <w:sz w:val="18"/>
          <w:szCs w:val="18"/>
          <w:color w:val="auto"/>
        </w:rPr>
      </w:pPr>
    </w:p>
    <w:p>
      <w:pPr>
        <w:jc w:val="both"/>
        <w:ind w:left="532" w:right="1779" w:hanging="5"/>
        <w:spacing w:after="0" w:line="237" w:lineRule="auto"/>
        <w:tabs>
          <w:tab w:leader="none" w:pos="1059"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received certain information concerning Gentner and has had the opportunity to obtain additional information as desired in order to evaluate the merits and the risks inherent in holding the July Shares and the Earn-Out Shares, (v) is able to bear the economic risk and lack of liquidity inherent in holding the July Shares and the Earn-Out Shares, (vi) has had an opportunity to discuss the investment contemplated herein with legal and other advisors, and (vii) has accurately completed and delivered to the Company an investor questionnaire ("Investor Questionnaire") in the form previously delivered to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1"/>
          </w:cols>
          <w:pgMar w:left="248" w:top="717" w:right="1440" w:bottom="1440" w:gutter="0" w:footer="0" w:header="0"/>
        </w:sectPr>
      </w:pPr>
    </w:p>
    <w:bookmarkStart w:id="126" w:name="page127"/>
    <w:bookmarkEnd w:id="126"/>
    <w:p>
      <w:pPr>
        <w:jc w:val="center"/>
        <w:ind w:right="1779"/>
        <w:spacing w:after="0"/>
        <w:rPr>
          <w:sz w:val="20"/>
          <w:szCs w:val="20"/>
          <w:color w:val="auto"/>
        </w:rPr>
      </w:pPr>
      <w:r>
        <w:rPr>
          <w:rFonts w:ascii="Courier New" w:cs="Courier New" w:eastAsia="Courier New" w:hAnsi="Courier New"/>
          <w:sz w:val="18"/>
          <w:szCs w:val="18"/>
          <w:color w:val="auto"/>
        </w:rPr>
        <w:t>PART II: TAX</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References to `the Companies' in the warranties shall</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include the Group Companies or any of them.</w:t>
      </w:r>
    </w:p>
    <w:p>
      <w:pPr>
        <w:spacing w:after="0" w:line="202" w:lineRule="exact"/>
        <w:rPr>
          <w:sz w:val="20"/>
          <w:szCs w:val="20"/>
          <w:color w:val="auto"/>
        </w:rPr>
      </w:pPr>
    </w:p>
    <w:p>
      <w:pPr>
        <w:ind w:left="540" w:hanging="532"/>
        <w:spacing w:after="0"/>
        <w:tabs>
          <w:tab w:leader="none" w:pos="54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making payments subject to the deduction of Tax, all appropriate deductions have been made and paid to the appropriate authorities including, without limitation, all deductions required to be made pursuant to the TCA.</w:t>
      </w:r>
    </w:p>
    <w:p>
      <w:pPr>
        <w:spacing w:after="0" w:line="207" w:lineRule="exact"/>
        <w:rPr>
          <w:rFonts w:ascii="Courier New" w:cs="Courier New" w:eastAsia="Courier New" w:hAnsi="Courier New"/>
          <w:sz w:val="18"/>
          <w:szCs w:val="18"/>
          <w:color w:val="auto"/>
        </w:rPr>
      </w:pPr>
    </w:p>
    <w:p>
      <w:pPr>
        <w:jc w:val="both"/>
        <w:ind w:left="1060" w:right="1779" w:hanging="525"/>
        <w:spacing w:after="0" w:line="269" w:lineRule="auto"/>
        <w:tabs>
          <w:tab w:leader="none" w:pos="1060"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Taxation of any nature whatsoever or other sums imposed charged assessed levied or payable under the provisions of applicable legislation relating to Taxation for which the Company is liable as a result of any act or omission by the Company prior to or on Completion will if, and insofar as such Taxation or other sums ought to be paid prior to or on Completion, have been paid at or before Completion. In particular, but without prejudice to the generality of the foregoing, at Completion, all amounts due for payment to the Revenue Commissioners in respect of excise duty and of Value Added Tax in respect of goods or services supplied prior to Completion or goods imported prior to Completion, and of income tax deductible prior to Completion under Schedule E by virtue of the PAYE regulations from time to time in force will have been paid so that the Company will have no liability in respect thereof and at Completion all Social Welfare and Pay Related Social Insurance contributions (both employer's and employees') and any other levies and impositions due in respect of the employees of the Company will have been duly paid.</w:t>
      </w:r>
    </w:p>
    <w:p>
      <w:pPr>
        <w:spacing w:after="0" w:line="395"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liable nor has at any time since the date of incorporation been liable to pay interest on overdue Taxation.</w:t>
      </w:r>
    </w:p>
    <w:p>
      <w:pPr>
        <w:spacing w:after="0" w:line="208" w:lineRule="exact"/>
        <w:rPr>
          <w:rFonts w:ascii="Courier New" w:cs="Courier New" w:eastAsia="Courier New" w:hAnsi="Courier New"/>
          <w:sz w:val="18"/>
          <w:szCs w:val="18"/>
          <w:color w:val="auto"/>
        </w:rPr>
      </w:pPr>
    </w:p>
    <w:p>
      <w:pPr>
        <w:ind w:left="1060" w:right="1779" w:hanging="525"/>
        <w:spacing w:after="0" w:line="290" w:lineRule="auto"/>
        <w:tabs>
          <w:tab w:leader="none" w:pos="1060"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acquired or disposed of any asset or entered into any transaction otherwise than by way of bargain at arm's length.</w:t>
      </w:r>
    </w:p>
    <w:p>
      <w:pPr>
        <w:spacing w:after="0" w:line="169"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entered into any financing or leasing agreement in which or in connection with which the Company has indemnified any other party against any claim, loss or other liability arising from any change in tax legislation or in the interpretation of Tax legislation.</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set out in the Disclosure Letter full particulars of all material differences between the accounting and Taxation treatments of all items in the Accounts.</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appeal by the Company pending against any assessment to Tax and the Company is not in default in payment of any Tax within the period prescribed for payment thereof.</w:t>
      </w:r>
    </w:p>
    <w:p>
      <w:pPr>
        <w:spacing w:after="0" w:line="208" w:lineRule="exact"/>
        <w:rPr>
          <w:rFonts w:ascii="Courier New" w:cs="Courier New" w:eastAsia="Courier New" w:hAnsi="Courier New"/>
          <w:sz w:val="18"/>
          <w:szCs w:val="18"/>
          <w:color w:val="auto"/>
        </w:rPr>
      </w:pPr>
    </w:p>
    <w:p>
      <w:pPr>
        <w:jc w:val="both"/>
        <w:ind w:left="1060" w:right="1779" w:hanging="525"/>
        <w:spacing w:after="0" w:line="279" w:lineRule="auto"/>
        <w:tabs>
          <w:tab w:leader="none" w:pos="1060"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been at any time, for Taxation purposes, resident in any jurisdiction other than the Republic of Ireland nor has it been at any time managed or controlled in or from any country other than</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1440" w:gutter="0" w:footer="0" w:header="0"/>
        </w:sectPr>
      </w:pPr>
    </w:p>
    <w:bookmarkStart w:id="127" w:name="page128"/>
    <w:bookmarkEnd w:id="127"/>
    <w:p>
      <w:pPr>
        <w:jc w:val="both"/>
        <w:ind w:left="525" w:right="1779"/>
        <w:spacing w:after="0" w:line="236" w:lineRule="auto"/>
        <w:rPr>
          <w:sz w:val="20"/>
          <w:szCs w:val="20"/>
          <w:color w:val="auto"/>
        </w:rPr>
      </w:pPr>
      <w:r>
        <w:rPr>
          <w:rFonts w:ascii="Courier New" w:cs="Courier New" w:eastAsia="Courier New" w:hAnsi="Courier New"/>
          <w:sz w:val="18"/>
          <w:szCs w:val="18"/>
          <w:color w:val="auto"/>
        </w:rPr>
        <w:t>Ireland or carried on a trade or profession or had a branch agency or permanent establishment or other taxable presence in any country other than Ireland.</w:t>
      </w:r>
    </w:p>
    <w:p>
      <w:pPr>
        <w:spacing w:after="0" w:line="203" w:lineRule="exact"/>
        <w:rPr>
          <w:sz w:val="20"/>
          <w:szCs w:val="20"/>
          <w:color w:val="auto"/>
        </w:rPr>
      </w:pPr>
    </w:p>
    <w:p>
      <w:pPr>
        <w:ind w:left="525" w:hanging="525"/>
        <w:spacing w:after="0"/>
        <w:tabs>
          <w:tab w:leader="none" w:pos="525"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since the date of incorporation:-</w:t>
      </w:r>
    </w:p>
    <w:p>
      <w:pPr>
        <w:spacing w:after="0" w:line="206" w:lineRule="exact"/>
        <w:rPr>
          <w:rFonts w:ascii="Courier New" w:cs="Courier New" w:eastAsia="Courier New" w:hAnsi="Courier New"/>
          <w:sz w:val="18"/>
          <w:szCs w:val="18"/>
          <w:color w:val="auto"/>
        </w:rPr>
      </w:pPr>
    </w:p>
    <w:p>
      <w:pPr>
        <w:jc w:val="both"/>
        <w:ind w:left="1045" w:right="1779" w:hanging="519"/>
        <w:spacing w:after="0" w:line="236" w:lineRule="auto"/>
        <w:tabs>
          <w:tab w:leader="none" w:pos="1045"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furnished the relevant Inspector of Taxes with full and materially accurate particulars relating to the affairs of the Company where required;</w:t>
      </w:r>
    </w:p>
    <w:p>
      <w:pPr>
        <w:spacing w:after="0" w:line="208" w:lineRule="exact"/>
        <w:rPr>
          <w:rFonts w:ascii="Courier New" w:cs="Courier New" w:eastAsia="Courier New" w:hAnsi="Courier New"/>
          <w:sz w:val="18"/>
          <w:szCs w:val="18"/>
          <w:color w:val="auto"/>
        </w:rPr>
      </w:pPr>
    </w:p>
    <w:p>
      <w:pPr>
        <w:jc w:val="both"/>
        <w:ind w:left="1045" w:right="1779" w:hanging="519"/>
        <w:spacing w:after="0" w:line="236" w:lineRule="auto"/>
        <w:tabs>
          <w:tab w:leader="none" w:pos="1045"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and within the prescribed periods of time made all returns and given or delivered all notices, accounts and information required for the purpose of Taxation; and</w:t>
      </w:r>
    </w:p>
    <w:p>
      <w:pPr>
        <w:spacing w:after="0" w:line="209" w:lineRule="exact"/>
        <w:rPr>
          <w:sz w:val="20"/>
          <w:szCs w:val="20"/>
          <w:color w:val="auto"/>
        </w:rPr>
      </w:pPr>
    </w:p>
    <w:p>
      <w:pPr>
        <w:jc w:val="both"/>
        <w:ind w:left="1045" w:right="1779" w:hanging="526"/>
        <w:spacing w:after="0" w:line="236" w:lineRule="auto"/>
        <w:rPr>
          <w:sz w:val="20"/>
          <w:szCs w:val="20"/>
          <w:color w:val="auto"/>
        </w:rPr>
      </w:pPr>
      <w:r>
        <w:rPr>
          <w:rFonts w:ascii="Courier New" w:cs="Courier New" w:eastAsia="Courier New" w:hAnsi="Courier New"/>
          <w:sz w:val="18"/>
          <w:szCs w:val="18"/>
          <w:color w:val="auto"/>
        </w:rPr>
        <w:t>(iii)complied</w:t>
      </w:r>
      <w:r>
        <w:rPr>
          <w:sz w:val="20"/>
          <w:szCs w:val="20"/>
          <w:color w:val="auto"/>
        </w:rPr>
        <w:t xml:space="preserve"> </w:t>
      </w:r>
      <w:r>
        <w:rPr>
          <w:rFonts w:ascii="Courier New" w:cs="Courier New" w:eastAsia="Courier New" w:hAnsi="Courier New"/>
          <w:sz w:val="18"/>
          <w:szCs w:val="18"/>
          <w:color w:val="auto"/>
        </w:rPr>
        <w:t>fully with the requirements of Part 41 of the TCA regarding the payment of preliminary tax, corporation tax and capital gains tax.</w:t>
      </w:r>
    </w:p>
    <w:p>
      <w:pPr>
        <w:spacing w:after="0" w:line="209" w:lineRule="exact"/>
        <w:rPr>
          <w:sz w:val="20"/>
          <w:szCs w:val="20"/>
          <w:color w:val="auto"/>
        </w:rPr>
      </w:pPr>
    </w:p>
    <w:p>
      <w:pPr>
        <w:jc w:val="both"/>
        <w:ind w:left="525" w:right="1779"/>
        <w:spacing w:after="0" w:line="237" w:lineRule="auto"/>
        <w:rPr>
          <w:sz w:val="20"/>
          <w:szCs w:val="20"/>
          <w:color w:val="auto"/>
        </w:rPr>
      </w:pPr>
      <w:r>
        <w:rPr>
          <w:rFonts w:ascii="Courier New" w:cs="Courier New" w:eastAsia="Courier New" w:hAnsi="Courier New"/>
          <w:sz w:val="18"/>
          <w:szCs w:val="18"/>
          <w:color w:val="auto"/>
        </w:rPr>
        <w:t>All such particulars, returns, notices, accounts, information and payments have been correct in all material respects and on a proper basis and none are disputed by the Revenue Commissioners or other authority concerned. In addition there are no grounds or circumstances which might cause any such dispute and the Company has made all claims which would be of benefit to it within the time limits laid down in the relevant legislation.</w:t>
      </w:r>
    </w:p>
    <w:p>
      <w:pPr>
        <w:spacing w:after="0" w:line="211" w:lineRule="exact"/>
        <w:rPr>
          <w:sz w:val="20"/>
          <w:szCs w:val="20"/>
          <w:color w:val="auto"/>
        </w:rPr>
      </w:pPr>
    </w:p>
    <w:p>
      <w:pPr>
        <w:jc w:val="both"/>
        <w:ind w:left="525" w:right="1779" w:hanging="525"/>
        <w:spacing w:after="0" w:line="236" w:lineRule="auto"/>
        <w:tabs>
          <w:tab w:leader="none" w:pos="52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 or transaction has been effected in consequence of which the Company is liable for any Taxation primarily chargeable against any other person, including any other company.</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does not and never has had any interest in the share or loan capital of any other body corporate or unincorporate.</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now member of a partnership, joint venture, consortium, group or other association.</w:t>
      </w:r>
    </w:p>
    <w:p>
      <w:pPr>
        <w:spacing w:after="0" w:line="208" w:lineRule="exact"/>
        <w:rPr>
          <w:rFonts w:ascii="Courier New" w:cs="Courier New" w:eastAsia="Courier New" w:hAnsi="Courier New"/>
          <w:sz w:val="18"/>
          <w:szCs w:val="18"/>
          <w:color w:val="auto"/>
        </w:rPr>
      </w:pPr>
    </w:p>
    <w:p>
      <w:pPr>
        <w:ind w:left="1045" w:right="1779" w:hanging="1045"/>
        <w:spacing w:after="0" w:line="237" w:lineRule="auto"/>
        <w:tabs>
          <w:tab w:leader="none" w:pos="51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No change of ownership of the Company has taken place nor will take place in the period up to and including Completion in circumstances such that Section 401 TCA (change in ownership of the company: disallowance of trading losses) has or may be applied to deny relief for a loss or losses acquired from the Seller or incurred by the Company.</w:t>
      </w:r>
    </w:p>
    <w:p>
      <w:pPr>
        <w:spacing w:after="0" w:line="209" w:lineRule="exact"/>
        <w:rPr>
          <w:rFonts w:ascii="Courier New" w:cs="Courier New" w:eastAsia="Courier New" w:hAnsi="Courier New"/>
          <w:sz w:val="18"/>
          <w:szCs w:val="18"/>
          <w:color w:val="auto"/>
        </w:rPr>
      </w:pPr>
    </w:p>
    <w:p>
      <w:pPr>
        <w:jc w:val="both"/>
        <w:ind w:left="1045" w:right="1779" w:hanging="519"/>
        <w:spacing w:after="0" w:line="237" w:lineRule="auto"/>
        <w:tabs>
          <w:tab w:leader="none" w:pos="1045"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Warranty 1(m)(i)(A) would not apply to the extent that any act, transaction or omission by or on behalf of the Purchaser or the Company after Completion would result in the application of the said Section 401 TCA.</w:t>
      </w:r>
    </w:p>
    <w:p>
      <w:pPr>
        <w:spacing w:after="0" w:line="207"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Disclosure Letter contains full and accurate particulars of all transactions effected otherwise than in the ordinary and usual of business in respect of which the Company is required to make a specific return to the Revenue Commissioners or other relevant authorities.</w:t>
      </w:r>
    </w:p>
    <w:p>
      <w:pPr>
        <w:spacing w:after="0" w:line="200" w:lineRule="exact"/>
        <w:rPr>
          <w:sz w:val="20"/>
          <w:szCs w:val="20"/>
          <w:color w:val="auto"/>
        </w:rPr>
      </w:pPr>
    </w:p>
    <w:p>
      <w:pPr>
        <w:spacing w:after="0" w:line="206"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9684"/>
          </w:cols>
          <w:pgMar w:left="775" w:top="723" w:right="1440" w:bottom="1440" w:gutter="0" w:footer="0" w:header="0"/>
        </w:sectPr>
      </w:pPr>
    </w:p>
    <w:bookmarkStart w:id="128" w:name="page129"/>
    <w:bookmarkEnd w:id="128"/>
    <w:p>
      <w:pPr>
        <w:jc w:val="both"/>
        <w:ind w:left="525" w:right="1779" w:hanging="525"/>
        <w:spacing w:after="0" w:line="275" w:lineRule="auto"/>
        <w:tabs>
          <w:tab w:leader="none" w:pos="525"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been the subject of any audit, inspection or discovery by the Revenue Commissioners and there are no facts to the best of the knowledge, information and belief of the Sellers which are likely to cause such an audit, inspection or discovery to be made.</w:t>
      </w:r>
    </w:p>
    <w:p>
      <w:pPr>
        <w:spacing w:after="0" w:line="182" w:lineRule="exact"/>
        <w:rPr>
          <w:rFonts w:ascii="Courier New" w:cs="Courier New" w:eastAsia="Courier New" w:hAnsi="Courier New"/>
          <w:sz w:val="16"/>
          <w:szCs w:val="16"/>
          <w:color w:val="auto"/>
        </w:rPr>
      </w:pPr>
    </w:p>
    <w:p>
      <w:pPr>
        <w:jc w:val="both"/>
        <w:ind w:left="525" w:right="1779" w:hanging="525"/>
        <w:spacing w:after="0" w:line="237" w:lineRule="auto"/>
        <w:tabs>
          <w:tab w:leader="none" w:pos="52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revaluation of immovable property of the Company will have been a bona fide revaluation in accordance with Part IV of the Companies (Amendment) Act, 1983 and the Schedule to the Companies (Amendment) Act, 1986 and otherwise in compliance with law.</w:t>
      </w:r>
    </w:p>
    <w:p>
      <w:pPr>
        <w:spacing w:after="0" w:line="207"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bonus issues, repayments and reorganisations of capital.</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arrangements or agreements between the Company and the Revenue Commissioners or any other Taxation Authority pursuant to which the Company is authorised to deviate from its statutory obligations with respect to Taxation.</w:t>
      </w:r>
    </w:p>
    <w:p>
      <w:pPr>
        <w:spacing w:after="0" w:line="207" w:lineRule="exact"/>
        <w:rPr>
          <w:rFonts w:ascii="Courier New" w:cs="Courier New" w:eastAsia="Courier New" w:hAnsi="Courier New"/>
          <w:sz w:val="18"/>
          <w:szCs w:val="18"/>
          <w:color w:val="auto"/>
        </w:rPr>
      </w:pPr>
    </w:p>
    <w:p>
      <w:pPr>
        <w:jc w:val="both"/>
        <w:ind w:left="525" w:right="1779" w:hanging="525"/>
        <w:spacing w:after="0" w:line="271" w:lineRule="auto"/>
        <w:tabs>
          <w:tab w:leader="none" w:pos="525"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all transactions entered into by the Company which required a consent or clearance from the Revenue Commissioners or any other Taxation Authority, all such consents or clearances were validly obtained prior to the transaction having been effected and the conditions of any such consents or clearances were strictly adhered to within the appropriate time periods and to the best of the Sellers' knowledge, information and belief, there are no circumstances that have arisen since any application for consent or clearances made which might cause such consent or clearance to be withdrawn or invalidated.</w:t>
      </w:r>
    </w:p>
    <w:p>
      <w:pPr>
        <w:spacing w:after="0" w:line="183" w:lineRule="exact"/>
        <w:rPr>
          <w:rFonts w:ascii="Courier New" w:cs="Courier New" w:eastAsia="Courier New" w:hAnsi="Courier New"/>
          <w:sz w:val="16"/>
          <w:szCs w:val="16"/>
          <w:color w:val="auto"/>
        </w:rPr>
      </w:pPr>
    </w:p>
    <w:p>
      <w:pPr>
        <w:jc w:val="both"/>
        <w:ind w:left="525" w:right="1779" w:hanging="525"/>
        <w:spacing w:after="0" w:line="236" w:lineRule="auto"/>
        <w:tabs>
          <w:tab w:leader="none" w:pos="52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made by the Company requiring the deduction of Tax have been properly made and such Tax which ought to have been deducted has been properly accounted for.</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relief from against or in respect of Tax has been claimed or given to the Company which could or might be effectively postponed restricted withdrawn or otherwise diminished as a result of any act or omission or circumstance occurring before Completion.</w:t>
      </w:r>
    </w:p>
    <w:p>
      <w:pPr>
        <w:spacing w:after="0" w:line="207"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made all claims which would be of benefit to it within the time limits laid down and in accordance with any other conditions laid down in respect thereof in the relevant legislation.</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asset has been disposed of by the Company to any Connected Person or otherwise in a manner not at arm's length.</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never claimed relief under Part 14, Chapters 1 and 2 of the TCA. The existing operations of the Company will not qualify for the relief and there is no dispute with the Inspector of Taxes or with any Taxation Authority with regard to this relief.</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684"/>
          </w:cols>
          <w:pgMar w:left="775" w:top="723" w:right="1440" w:bottom="1440" w:gutter="0" w:footer="0" w:header="0"/>
        </w:sectPr>
      </w:pPr>
    </w:p>
    <w:bookmarkStart w:id="129" w:name="page130"/>
    <w:bookmarkEnd w:id="129"/>
    <w:p>
      <w:pPr>
        <w:jc w:val="both"/>
        <w:ind w:left="525" w:right="1779" w:hanging="525"/>
        <w:spacing w:after="0" w:line="236" w:lineRule="auto"/>
        <w:tabs>
          <w:tab w:leader="none" w:pos="525"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repaid share capital or any part thereof and the Company has not issued as paid up otherwise than by receipt of new consideration any new shares.</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any payment to or provided any benefit to any officer or employee of the Company which is not allowable as a deduction in calculating the profits of the Company for Taxation purposes.</w:t>
      </w:r>
    </w:p>
    <w:p>
      <w:pPr>
        <w:spacing w:after="0" w:line="207" w:lineRule="exact"/>
        <w:rPr>
          <w:sz w:val="20"/>
          <w:szCs w:val="20"/>
          <w:color w:val="auto"/>
        </w:rPr>
      </w:pPr>
    </w:p>
    <w:p>
      <w:pPr>
        <w:jc w:val="both"/>
        <w:ind w:left="525" w:right="1779" w:hanging="525"/>
        <w:spacing w:after="0" w:line="237" w:lineRule="auto"/>
        <w:tabs>
          <w:tab w:leader="none" w:pos="52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book value of each of the capital assets of the Company in or adopted for the purpose of the Accounts does not exceed the base cost thereof for the purposes of calculating liability to capital gains tax or corporation tax on chargeable gains on a disposal thereof by the Company.</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138 of the TCA does not apply as the Company does not have preference shares.</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fixed assets which have been stated in the Net Asset Statement in excess of their cost were disposed of for a consideration equal to the book value of that asset shown in the Accounts, then no liability to Corporation Tax on chargeable gains or balancing charge under Part 20 of the TCA or under the TCA generally, would arise and for the purpose of determining the liability to Corporation Tax on chargeable gains, any relief or allowances available to the Company other than amounts falling to be deducted under Part 19 and Section 828 of the TCA shall be disregarded.</w:t>
      </w:r>
    </w:p>
    <w:p>
      <w:pPr>
        <w:spacing w:after="0" w:line="207"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Part 13 of the TC, do not apply to the Company.</w:t>
      </w:r>
    </w:p>
    <w:p>
      <w:pPr>
        <w:spacing w:after="0" w:line="206"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Goods produced by the Company do not fall within the definition of goods regarded as manufactured within the meaning, and for the purposes of section 443 of the TCA and the Company has at all material times been eligible to claim the reduction of corporation tax provided for in section 448 of that Act.</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and has at no time been, member of any group of companies within the meaning of section 616 of the TCA or associated with any other company within the meaning of section 19 of the Finance Act, 1952.</w:t>
      </w:r>
    </w:p>
    <w:p>
      <w:pPr>
        <w:spacing w:after="0" w:line="207" w:lineRule="exact"/>
        <w:rPr>
          <w:rFonts w:ascii="Courier New" w:cs="Courier New" w:eastAsia="Courier New" w:hAnsi="Courier New"/>
          <w:sz w:val="18"/>
          <w:szCs w:val="18"/>
          <w:color w:val="auto"/>
        </w:rPr>
      </w:pPr>
    </w:p>
    <w:p>
      <w:pPr>
        <w:jc w:val="both"/>
        <w:ind w:left="525" w:right="1779" w:hanging="525"/>
        <w:spacing w:after="0" w:line="272" w:lineRule="auto"/>
        <w:tabs>
          <w:tab w:leader="none" w:pos="525"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entered into or been a party to any schemes or arrangements which were not effected for bona fide commercial purposes and which were designed partly or wholly for the purpose of avoiding Taxation nor has the Company received any notice under Section 811 of the TCA nor has the Company been engaged in or been a party to a tax avoidance transaction within the meaning of the said Section.</w:t>
      </w:r>
    </w:p>
    <w:p>
      <w:pPr>
        <w:spacing w:after="0" w:line="185" w:lineRule="exact"/>
        <w:rPr>
          <w:rFonts w:ascii="Courier New" w:cs="Courier New" w:eastAsia="Courier New" w:hAnsi="Courier New"/>
          <w:sz w:val="16"/>
          <w:szCs w:val="16"/>
          <w:color w:val="auto"/>
        </w:rPr>
      </w:pPr>
    </w:p>
    <w:p>
      <w:pPr>
        <w:jc w:val="both"/>
        <w:ind w:left="525" w:right="1779" w:hanging="525"/>
        <w:spacing w:after="0" w:line="236" w:lineRule="auto"/>
        <w:tabs>
          <w:tab w:leader="none" w:pos="52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of attachment has since the date of incorporation been served on the Company or in relation to any funds of the Company under Section 1002 of the TCA.</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been and is not assessable to Tax under Section 1034 or 1035 of the TCA.</w:t>
      </w:r>
    </w:p>
    <w:p>
      <w:pPr>
        <w:spacing w:after="0" w:line="200" w:lineRule="exact"/>
        <w:rPr>
          <w:sz w:val="20"/>
          <w:szCs w:val="20"/>
          <w:color w:val="auto"/>
        </w:rPr>
      </w:pP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9684"/>
          </w:cols>
          <w:pgMar w:left="775" w:top="723" w:right="1440" w:bottom="1440" w:gutter="0" w:footer="0" w:header="0"/>
        </w:sectPr>
      </w:pPr>
    </w:p>
    <w:bookmarkStart w:id="130" w:name="page131"/>
    <w:bookmarkEnd w:id="130"/>
    <w:p>
      <w:pPr>
        <w:jc w:val="both"/>
        <w:ind w:left="1052" w:right="1779" w:hanging="525"/>
        <w:spacing w:after="0" w:line="273" w:lineRule="auto"/>
        <w:tabs>
          <w:tab w:leader="none" w:pos="1052"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committed any act, made any omission, made any understatement of liability or overstatement of entitlement or failed to draw an understatement in an assessment to the attention of the Revenue Commissioners which might constitute an offence and/or give rise to any liability to a penalty under Section 1078 of the TCA.</w:t>
      </w:r>
    </w:p>
    <w:p>
      <w:pPr>
        <w:spacing w:after="0" w:line="184" w:lineRule="exact"/>
        <w:rPr>
          <w:rFonts w:ascii="Courier New" w:cs="Courier New" w:eastAsia="Courier New" w:hAnsi="Courier New"/>
          <w:sz w:val="16"/>
          <w:szCs w:val="16"/>
          <w:color w:val="auto"/>
        </w:rPr>
      </w:pPr>
    </w:p>
    <w:p>
      <w:pPr>
        <w:ind w:left="1052" w:right="1779" w:hanging="525"/>
        <w:spacing w:after="0" w:line="235" w:lineRule="auto"/>
        <w:tabs>
          <w:tab w:leader="none" w:pos="1052"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surcharge for late submission of returns under Section 1084 of the TCA has or will become payable by the Company.</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penalty under Section 1084 of the TCA has or will become payable in respect of the Company.</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Completion the Company will have paid all amounts due by virtue of Section 523 of the TCA.</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Tax</w:t>
      </w:r>
    </w:p>
    <w:p>
      <w:pPr>
        <w:spacing w:after="0" w:line="206"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since the date of incorporation paid remuneration to its directors in excess of such amount as will be deductible in computing the taxable profits of the Company; and</w:t>
      </w:r>
    </w:p>
    <w:p>
      <w:pPr>
        <w:spacing w:after="0" w:line="203"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at any time:-</w:t>
      </w:r>
    </w:p>
    <w:p>
      <w:pPr>
        <w:spacing w:after="0" w:line="206" w:lineRule="exact"/>
        <w:rPr>
          <w:rFonts w:ascii="Courier New" w:cs="Courier New" w:eastAsia="Courier New" w:hAnsi="Courier New"/>
          <w:sz w:val="18"/>
          <w:szCs w:val="18"/>
          <w:color w:val="auto"/>
        </w:rPr>
      </w:pPr>
    </w:p>
    <w:p>
      <w:pPr>
        <w:jc w:val="both"/>
        <w:ind w:left="1572" w:right="1779" w:hanging="519"/>
        <w:spacing w:after="0" w:line="236" w:lineRule="auto"/>
        <w:tabs>
          <w:tab w:leader="none" w:pos="1572" w:val="left"/>
        </w:tabs>
        <w:numPr>
          <w:ilvl w:val="2"/>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repaid or redeemed or agreed to repay or redeem any shares of any class of its share capital or otherwise reduced or agreed to reduce its issued share capital or any class thereof; or</w:t>
      </w:r>
    </w:p>
    <w:p>
      <w:pPr>
        <w:spacing w:after="0" w:line="208" w:lineRule="exact"/>
        <w:rPr>
          <w:rFonts w:ascii="Courier New" w:cs="Courier New" w:eastAsia="Courier New" w:hAnsi="Courier New"/>
          <w:sz w:val="18"/>
          <w:szCs w:val="18"/>
          <w:color w:val="auto"/>
        </w:rPr>
      </w:pPr>
    </w:p>
    <w:p>
      <w:pPr>
        <w:jc w:val="both"/>
        <w:ind w:left="1572" w:right="1779" w:hanging="519"/>
        <w:spacing w:after="0" w:line="237" w:lineRule="auto"/>
        <w:tabs>
          <w:tab w:leader="none" w:pos="1572" w:val="left"/>
        </w:tabs>
        <w:numPr>
          <w:ilvl w:val="2"/>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capitalised or agreed to capitalise in the form of shares, debentures or other securities or in paying up any amounts unpaid or any shares debentures or other securities any profits or reserves of any class or description or passed or agreed to pass any resolution to do so; or</w:t>
      </w:r>
    </w:p>
    <w:p>
      <w:pPr>
        <w:spacing w:after="0" w:line="209" w:lineRule="exact"/>
        <w:rPr>
          <w:sz w:val="20"/>
          <w:szCs w:val="20"/>
          <w:color w:val="auto"/>
        </w:rPr>
      </w:pPr>
    </w:p>
    <w:p>
      <w:pPr>
        <w:jc w:val="both"/>
        <w:ind w:left="1572" w:right="1779" w:hanging="526"/>
        <w:spacing w:after="0" w:line="237" w:lineRule="auto"/>
        <w:rPr>
          <w:sz w:val="20"/>
          <w:szCs w:val="20"/>
          <w:color w:val="auto"/>
        </w:rPr>
      </w:pPr>
      <w:r>
        <w:rPr>
          <w:rFonts w:ascii="Courier New" w:cs="Courier New" w:eastAsia="Courier New" w:hAnsi="Courier New"/>
          <w:sz w:val="18"/>
          <w:szCs w:val="18"/>
          <w:color w:val="auto"/>
        </w:rPr>
        <w:t>(iii)provided</w:t>
      </w:r>
      <w:r>
        <w:rPr>
          <w:sz w:val="20"/>
          <w:szCs w:val="20"/>
          <w:color w:val="auto"/>
        </w:rPr>
        <w:t xml:space="preserve"> </w:t>
      </w:r>
      <w:r>
        <w:rPr>
          <w:rFonts w:ascii="Courier New" w:cs="Courier New" w:eastAsia="Courier New" w:hAnsi="Courier New"/>
          <w:sz w:val="18"/>
          <w:szCs w:val="18"/>
          <w:color w:val="auto"/>
        </w:rPr>
        <w:t>capital to any company on terms whereby the company so capitalised has in consideration thereof issued shares loan stock or other securities where the terms of any such capitalisation were otherwise than by way of a bargain made at arm's length or where the shares loan stock or other securities acquired are shown in the Accounts at a value in excess of their market value at the time of acquisition.</w:t>
      </w:r>
    </w:p>
    <w:p>
      <w:pPr>
        <w:spacing w:after="0" w:line="211" w:lineRule="exact"/>
        <w:rPr>
          <w:sz w:val="20"/>
          <w:szCs w:val="20"/>
          <w:color w:val="auto"/>
        </w:rPr>
      </w:pPr>
    </w:p>
    <w:p>
      <w:pPr>
        <w:jc w:val="both"/>
        <w:ind w:left="1052" w:right="1779" w:hanging="525"/>
        <w:spacing w:after="0" w:line="237" w:lineRule="auto"/>
        <w:tabs>
          <w:tab w:leader="none" w:pos="1052"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paid nor will pay prior to Completion remuneration or compensation for loss of office or make any gratuitous payment or any other payment in respect of management or other services rendered or to be rendered to the Company to any of its present or former directors or employees which will not be deductible in computing the taxable profits of the Company.</w:t>
      </w:r>
    </w:p>
    <w:p>
      <w:pPr>
        <w:spacing w:after="0" w:line="209"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capital gain chargeable to corporation tax would accrue to the Company on the disposal of a debt owed to the Company where the proceeds equal the value of the debt (net of provisions) in the Net Asset Statement.</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1"/>
          </w:cols>
          <w:pgMar w:left="248" w:top="722" w:right="1440" w:bottom="1440" w:gutter="0" w:footer="0" w:header="0"/>
        </w:sectPr>
      </w:pPr>
    </w:p>
    <w:bookmarkStart w:id="131" w:name="page132"/>
    <w:bookmarkEnd w:id="131"/>
    <w:p>
      <w:pPr>
        <w:jc w:val="both"/>
        <w:ind w:left="525" w:right="1779" w:hanging="525"/>
        <w:spacing w:after="0" w:line="272" w:lineRule="auto"/>
        <w:tabs>
          <w:tab w:leader="none" w:pos="525"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plant and machinery and industrial buildings in respect of which the Company has claimed capital allowances satisfied the requirements of the relevant legislation entitling the Company to claim capital allowances thereon and the Company satisfied all relevant requirements of the said legislation and no circumstances have arisen which could result in any such allowances previously made being withdrawn.</w:t>
      </w:r>
    </w:p>
    <w:p>
      <w:pPr>
        <w:spacing w:after="0" w:line="185" w:lineRule="exact"/>
        <w:rPr>
          <w:rFonts w:ascii="Courier New" w:cs="Courier New" w:eastAsia="Courier New" w:hAnsi="Courier New"/>
          <w:sz w:val="16"/>
          <w:szCs w:val="16"/>
          <w:color w:val="auto"/>
        </w:rPr>
      </w:pPr>
    </w:p>
    <w:p>
      <w:pPr>
        <w:jc w:val="both"/>
        <w:ind w:left="525" w:right="1779" w:hanging="525"/>
        <w:spacing w:after="0" w:line="237" w:lineRule="auto"/>
        <w:tabs>
          <w:tab w:leader="none" w:pos="525"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effected or entered into any act, transaction or arrangement of any nature whereby it has incurred or may hereafter incur any liability under or by virtue of any of Sections 98, 99, 100 or 103,of the TCA in connection with any act or event occurring or commencing before Completion.</w:t>
      </w:r>
    </w:p>
    <w:p>
      <w:pPr>
        <w:spacing w:after="0" w:line="208" w:lineRule="exact"/>
        <w:rPr>
          <w:rFonts w:ascii="Courier New" w:cs="Courier New" w:eastAsia="Courier New" w:hAnsi="Courier New"/>
          <w:sz w:val="18"/>
          <w:szCs w:val="18"/>
          <w:color w:val="auto"/>
        </w:rPr>
      </w:pPr>
    </w:p>
    <w:p>
      <w:pPr>
        <w:jc w:val="both"/>
        <w:ind w:left="525" w:right="1779" w:hanging="525"/>
        <w:spacing w:after="0" w:line="273" w:lineRule="auto"/>
        <w:tabs>
          <w:tab w:leader="none" w:pos="525"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tenant under any lease or leases which was or were granted at an undervalue such that a charge might arise by virtue of Section 99 of the TCA on any assignment thereof. The Company has not entered into any transaction or transactions which falls or fall within the provisions of Sections 99, 100 and 102 of the TCA.</w:t>
      </w:r>
    </w:p>
    <w:p>
      <w:pPr>
        <w:spacing w:after="0" w:line="184" w:lineRule="exact"/>
        <w:rPr>
          <w:rFonts w:ascii="Courier New" w:cs="Courier New" w:eastAsia="Courier New" w:hAnsi="Courier New"/>
          <w:sz w:val="16"/>
          <w:szCs w:val="16"/>
          <w:color w:val="auto"/>
        </w:rPr>
      </w:pPr>
    </w:p>
    <w:p>
      <w:pPr>
        <w:ind w:left="525" w:right="1779" w:hanging="525"/>
        <w:spacing w:after="0" w:line="235" w:lineRule="auto"/>
        <w:tabs>
          <w:tab w:leader="none" w:pos="525"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Sections 133 and 134 of the TCA do not apply to the Company.</w:t>
      </w:r>
    </w:p>
    <w:p>
      <w:pPr>
        <w:spacing w:after="0" w:line="208" w:lineRule="exact"/>
        <w:rPr>
          <w:rFonts w:ascii="Courier New" w:cs="Courier New" w:eastAsia="Courier New" w:hAnsi="Courier New"/>
          <w:sz w:val="18"/>
          <w:szCs w:val="18"/>
          <w:color w:val="auto"/>
        </w:rPr>
      </w:pPr>
    </w:p>
    <w:p>
      <w:pPr>
        <w:jc w:val="both"/>
        <w:ind w:left="525" w:right="1779" w:hanging="525"/>
        <w:spacing w:after="0" w:line="273" w:lineRule="auto"/>
        <w:tabs>
          <w:tab w:leader="none" w:pos="525"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allowable loss which has arisen or which may hereafter arise on the disposal by the Company of shares in or securities of any company is liable to be disallowed in whole or in part by virtue of the application of Section 621 or Section 139 of the TCA in connection with any act or event occurring or commencing before Completion.</w:t>
      </w:r>
    </w:p>
    <w:p>
      <w:pPr>
        <w:spacing w:after="0" w:line="184" w:lineRule="exact"/>
        <w:rPr>
          <w:rFonts w:ascii="Courier New" w:cs="Courier New" w:eastAsia="Courier New" w:hAnsi="Courier New"/>
          <w:sz w:val="16"/>
          <w:szCs w:val="16"/>
          <w:color w:val="auto"/>
        </w:rPr>
      </w:pPr>
    </w:p>
    <w:p>
      <w:pPr>
        <w:jc w:val="both"/>
        <w:ind w:left="525" w:right="1779" w:hanging="525"/>
        <w:spacing w:after="0" w:line="273" w:lineRule="auto"/>
        <w:tabs>
          <w:tab w:leader="none" w:pos="525"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duly complied in all material respects with the requirements of Part 18 of the TCA and with the requirements of all other provisions relating to the deduction and withholding of tax at source up to the date hereof and all such Tax which has become due to the Revenue Commissioners has been paid to the Revenue Commissioners.</w:t>
      </w:r>
    </w:p>
    <w:p>
      <w:pPr>
        <w:spacing w:after="0" w:line="184" w:lineRule="exact"/>
        <w:rPr>
          <w:rFonts w:ascii="Courier New" w:cs="Courier New" w:eastAsia="Courier New" w:hAnsi="Courier New"/>
          <w:sz w:val="16"/>
          <w:szCs w:val="16"/>
          <w:color w:val="auto"/>
        </w:rPr>
      </w:pPr>
    </w:p>
    <w:p>
      <w:pPr>
        <w:jc w:val="both"/>
        <w:ind w:left="525" w:right="1779" w:hanging="525"/>
        <w:spacing w:after="0" w:line="236" w:lineRule="auto"/>
        <w:tabs>
          <w:tab w:leader="none" w:pos="525"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allowance in respect of capital expenditure incurred or deemed incurred before Completion of the Company is or may be restricted by virtue of Part 9 of the TCA</w:t>
      </w:r>
    </w:p>
    <w:p>
      <w:pPr>
        <w:spacing w:after="0" w:line="208" w:lineRule="exact"/>
        <w:rPr>
          <w:rFonts w:ascii="Courier New" w:cs="Courier New" w:eastAsia="Courier New" w:hAnsi="Courier New"/>
          <w:sz w:val="18"/>
          <w:szCs w:val="18"/>
          <w:color w:val="auto"/>
        </w:rPr>
      </w:pPr>
    </w:p>
    <w:p>
      <w:pPr>
        <w:jc w:val="both"/>
        <w:ind w:left="525" w:right="1779" w:hanging="525"/>
        <w:spacing w:after="0" w:line="275" w:lineRule="auto"/>
        <w:tabs>
          <w:tab w:leader="none" w:pos="525"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machinery or plant provided for use for the purposes of the trade of the Company after 1 April 1990 is used wholly and exclusively for the purposes of the trade of the Company, both generally and within the meaning and for the purposes of Part 9 of the TCA.</w:t>
      </w:r>
    </w:p>
    <w:p>
      <w:pPr>
        <w:spacing w:after="0" w:line="182" w:lineRule="exact"/>
        <w:rPr>
          <w:rFonts w:ascii="Courier New" w:cs="Courier New" w:eastAsia="Courier New" w:hAnsi="Courier New"/>
          <w:sz w:val="16"/>
          <w:szCs w:val="16"/>
          <w:color w:val="auto"/>
        </w:rPr>
      </w:pPr>
    </w:p>
    <w:p>
      <w:pPr>
        <w:ind w:left="525" w:right="1779" w:hanging="525"/>
        <w:spacing w:after="0" w:line="235" w:lineRule="auto"/>
        <w:tabs>
          <w:tab w:leader="none" w:pos="525"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317 of the TCA do not apply to any expenditure incurred by the Company.</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change of ownership of the Company has since the date of incorporation taken place in circumstances such that Section 401 of the TCA has nor may be applied to deny relief for a loss or losses incurred by the Company.</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9684"/>
          </w:cols>
          <w:pgMar w:left="775" w:top="723" w:right="1440" w:bottom="1440" w:gutter="0" w:footer="0" w:header="0"/>
        </w:sectPr>
      </w:pPr>
    </w:p>
    <w:bookmarkStart w:id="132" w:name="page133"/>
    <w:bookmarkEnd w:id="132"/>
    <w:p>
      <w:pPr>
        <w:ind w:left="525" w:right="1779" w:hanging="525"/>
        <w:spacing w:after="0" w:line="235"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lessor in respect of any plant or machinery to which the provisions of Section 403 of the TCA apply.</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liable to make a subvention payment or any other payment for an amount surrendered by any other company under or in connection with the provisions of Section 411 of the TCA with any act or event occurring or commencing before Completion.</w:t>
      </w:r>
    </w:p>
    <w:p>
      <w:pPr>
        <w:spacing w:after="0" w:line="207"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surrendered or claimed any amount by way of group relief under the provisions of Part 12, Chapter 5, of the TCA and will not make any such surrender or claim prior to Completion.</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nor ever has had, an approved share option scheme/ profit sharing scheme under Part 17, Chapter 1, of the TCA.</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utilisation of losses incurred by the Company is not restricted by section 456 of the TCA.</w:t>
      </w:r>
    </w:p>
    <w:p>
      <w:pPr>
        <w:spacing w:after="0" w:line="208"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has occurred and the Company has not entered into any transaction which could give rise to a liability to Tax under Part 20, Chapter 1, of the TCA.</w:t>
      </w:r>
    </w:p>
    <w:p>
      <w:pPr>
        <w:spacing w:after="0" w:line="208" w:lineRule="exact"/>
        <w:rPr>
          <w:rFonts w:ascii="Courier New" w:cs="Courier New" w:eastAsia="Courier New" w:hAnsi="Courier New"/>
          <w:sz w:val="18"/>
          <w:szCs w:val="18"/>
          <w:color w:val="auto"/>
        </w:rPr>
      </w:pPr>
    </w:p>
    <w:p>
      <w:pPr>
        <w:ind w:left="525" w:right="1779" w:hanging="525"/>
        <w:spacing w:after="0" w:line="290" w:lineRule="auto"/>
        <w:tabs>
          <w:tab w:leader="none" w:pos="525"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tax liabilities will arise in the Company under Section 623 of the TCA as a result of the Company ceasing to be owned by the Seller.</w:t>
      </w:r>
    </w:p>
    <w:p>
      <w:pPr>
        <w:spacing w:after="0" w:line="169" w:lineRule="exact"/>
        <w:rPr>
          <w:rFonts w:ascii="Courier New" w:cs="Courier New" w:eastAsia="Courier New" w:hAnsi="Courier New"/>
          <w:sz w:val="16"/>
          <w:szCs w:val="16"/>
          <w:color w:val="auto"/>
        </w:rPr>
      </w:pPr>
    </w:p>
    <w:p>
      <w:pPr>
        <w:jc w:val="both"/>
        <w:ind w:left="525" w:right="1779" w:hanging="525"/>
        <w:spacing w:after="0" w:line="236"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entered into any of the transactions to which Part 21 of the TCA applies and it does not hold nor has it disposed of `new assets' for the purposes of Section 631 of the TCA.</w:t>
      </w:r>
    </w:p>
    <w:p>
      <w:pPr>
        <w:spacing w:after="0" w:line="208"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entered into any transaction as a result of which it could be assessed to Tax under Part 22, Chapter 1, of the TCA or Section 35 of the Finance Act, 1965</w:t>
      </w:r>
    </w:p>
    <w:p>
      <w:pPr>
        <w:spacing w:after="0" w:line="208"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entered into a transaction by virtue of which it will be chargeable under Case IV of Schedule D in accordance with Section 815 of the TCA.</w:t>
      </w:r>
    </w:p>
    <w:p>
      <w:pPr>
        <w:spacing w:after="0" w:line="208"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entered into or taken any steps the object of which is a transaction which comes, or might come, within Section 817 of the TCA.</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paid or become liable to pay any interest charged by virtue of Sections 1080, 1081, 1082 and 1083, Part 47, Chapter 5, of the TCA and the Company has not and will not prior to Completion be in default in payment of any Tax within the period prescribed for payment thereof.</w:t>
      </w:r>
    </w:p>
    <w:p>
      <w:pPr>
        <w:spacing w:after="0" w:line="209" w:lineRule="exact"/>
        <w:rPr>
          <w:sz w:val="20"/>
          <w:szCs w:val="20"/>
          <w:color w:val="auto"/>
        </w:rPr>
      </w:pPr>
    </w:p>
    <w:p>
      <w:pPr>
        <w:jc w:val="both"/>
        <w:ind w:left="525" w:right="1779" w:hanging="525"/>
        <w:spacing w:after="0" w:line="237" w:lineRule="auto"/>
        <w:tabs>
          <w:tab w:leader="none" w:pos="525"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never been a party to a loan arrangement in respect of which interest or any other amount payable thereunder is capable of being treated as a distribution pursuant to the provisions of Part 6, Chapter 2 of the TCA.</w:t>
      </w:r>
    </w:p>
    <w:p>
      <w:pPr>
        <w:spacing w:after="0" w:line="207" w:lineRule="exact"/>
        <w:rPr>
          <w:rFonts w:ascii="Courier New" w:cs="Courier New" w:eastAsia="Courier New" w:hAnsi="Courier New"/>
          <w:sz w:val="18"/>
          <w:szCs w:val="18"/>
          <w:color w:val="auto"/>
        </w:rPr>
      </w:pPr>
    </w:p>
    <w:p>
      <w:pPr>
        <w:jc w:val="both"/>
        <w:ind w:left="525" w:right="1779" w:hanging="525"/>
        <w:spacing w:after="0" w:line="290" w:lineRule="auto"/>
        <w:tabs>
          <w:tab w:leader="none" w:pos="525"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Asset Statement does not take or purport to take into account any relief or allowance for tax purposes (by way of deduction in</w:t>
      </w:r>
    </w:p>
    <w:p>
      <w:pPr>
        <w:spacing w:after="0" w:line="36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9684"/>
          </w:cols>
          <w:pgMar w:left="775" w:top="722" w:right="1440" w:bottom="1440" w:gutter="0" w:footer="0" w:header="0"/>
        </w:sectPr>
      </w:pPr>
    </w:p>
    <w:bookmarkStart w:id="133" w:name="page134"/>
    <w:bookmarkEnd w:id="133"/>
    <w:p>
      <w:pPr>
        <w:ind w:left="1052" w:right="1779"/>
        <w:spacing w:after="0" w:line="235" w:lineRule="auto"/>
        <w:rPr>
          <w:sz w:val="20"/>
          <w:szCs w:val="20"/>
          <w:color w:val="auto"/>
        </w:rPr>
      </w:pPr>
      <w:r>
        <w:rPr>
          <w:rFonts w:ascii="Courier New" w:cs="Courier New" w:eastAsia="Courier New" w:hAnsi="Courier New"/>
          <w:sz w:val="18"/>
          <w:szCs w:val="18"/>
          <w:color w:val="auto"/>
        </w:rPr>
        <w:t>computing profits or gains or deduction or set off against income or total profits) which could be disallowed under the TCA.</w:t>
      </w:r>
    </w:p>
    <w:p>
      <w:pPr>
        <w:spacing w:after="0" w:line="208" w:lineRule="exact"/>
        <w:rPr>
          <w:sz w:val="20"/>
          <w:szCs w:val="20"/>
          <w:color w:val="auto"/>
        </w:rPr>
      </w:pPr>
    </w:p>
    <w:p>
      <w:pPr>
        <w:jc w:val="both"/>
        <w:ind w:left="1052" w:right="1779" w:hanging="525"/>
        <w:spacing w:after="0" w:line="237" w:lineRule="auto"/>
        <w:tabs>
          <w:tab w:leader="none" w:pos="1052" w:val="left"/>
        </w:tabs>
        <w:numPr>
          <w:ilvl w:val="1"/>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rents, interest, annual payments or other sums of an income nature or any other nature paid or payable by the Company or which the Company is under an obligation to pay in the future are wholly or partially disallowable as deductions or charges in computing profits or gains for the purposes of Tax by reason of the provisions of the TCA or otherwise.</w:t>
      </w:r>
    </w:p>
    <w:p>
      <w:pPr>
        <w:spacing w:after="0" w:line="209"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since the date of incorporation received payment in respect of professional services from an accountable person within the meaning of Part 18, Chapter I of the TCA.</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since the date of incorporation acquired any assets other than trading stock from any company which at the time of acquisition was a member of the same group of companies as referred to in Section 617 of the TCA.</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Corporation Tax ("ACT")</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 liability to ACT under Chapter 8 of Part 6 of the TCA.</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an election under Section 165 and no surrender has been made under Section 166 of the TCA.</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affected by the provisions of Section 167 or Section 170 of the TCA.</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Gains Tax</w:t>
      </w:r>
    </w:p>
    <w:p>
      <w:pPr>
        <w:spacing w:after="0" w:line="206"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claims under Section 538 of the TCA by the Company.</w:t>
      </w:r>
    </w:p>
    <w:p>
      <w:pPr>
        <w:spacing w:after="0" w:line="223" w:lineRule="exact"/>
        <w:rPr>
          <w:rFonts w:ascii="Courier New" w:cs="Courier New" w:eastAsia="Courier New" w:hAnsi="Courier New"/>
          <w:sz w:val="16"/>
          <w:szCs w:val="16"/>
          <w:color w:val="auto"/>
        </w:rPr>
      </w:pPr>
    </w:p>
    <w:p>
      <w:pPr>
        <w:ind w:left="1052" w:right="1779" w:hanging="525"/>
        <w:spacing w:after="0" w:line="235" w:lineRule="auto"/>
        <w:tabs>
          <w:tab w:leader="none" w:pos="1052"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Tax liability has been deferred under any provision of the TCA including, without limiting the foregoing, Section 981 of the TCA.</w:t>
      </w:r>
    </w:p>
    <w:p>
      <w:pPr>
        <w:spacing w:after="0" w:line="208" w:lineRule="exact"/>
        <w:rPr>
          <w:rFonts w:ascii="Courier New" w:cs="Courier New" w:eastAsia="Courier New" w:hAnsi="Courier New"/>
          <w:sz w:val="18"/>
          <w:szCs w:val="18"/>
          <w:color w:val="auto"/>
        </w:rPr>
      </w:pPr>
    </w:p>
    <w:p>
      <w:pPr>
        <w:jc w:val="both"/>
        <w:ind w:left="1052" w:right="1779" w:hanging="525"/>
        <w:spacing w:after="0" w:line="275" w:lineRule="auto"/>
        <w:tabs>
          <w:tab w:leader="none" w:pos="1052"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transactions falling within the terms of Section 547 of the TCA to which the Company has been a party. (d) The Company has not entered into any transactions to which Section 590 and Sections 615 to 617 inclusive of the TCA or Part 21 of the TCA apply.</w:t>
      </w:r>
    </w:p>
    <w:p>
      <w:pPr>
        <w:spacing w:after="0" w:line="182" w:lineRule="exact"/>
        <w:rPr>
          <w:sz w:val="20"/>
          <w:szCs w:val="20"/>
          <w:color w:val="auto"/>
        </w:rPr>
      </w:pPr>
    </w:p>
    <w:p>
      <w:pPr>
        <w:jc w:val="both"/>
        <w:ind w:left="1052" w:right="1779" w:hanging="525"/>
        <w:spacing w:after="0" w:line="236" w:lineRule="auto"/>
        <w:tabs>
          <w:tab w:leader="none" w:pos="105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does not own any shares or securities acquired as a `new holding' within the meaning and for the purposes of Sections 584 to 587 inclusive and Section 733 of the TCA.</w:t>
      </w:r>
    </w:p>
    <w:p>
      <w:pPr>
        <w:spacing w:after="0" w:line="203" w:lineRule="exact"/>
        <w:rPr>
          <w:rFonts w:ascii="Courier New" w:cs="Courier New" w:eastAsia="Courier New" w:hAnsi="Courier New"/>
          <w:sz w:val="18"/>
          <w:szCs w:val="18"/>
          <w:color w:val="auto"/>
        </w:rPr>
      </w:pPr>
    </w:p>
    <w:p>
      <w:pPr>
        <w:ind w:left="1052" w:hanging="525"/>
        <w:spacing w:after="0"/>
        <w:tabs>
          <w:tab w:leader="none" w:pos="105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claim has been made by the Company under Section 1005 of the TCA.</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any disposal within the meaning of Chapter 2 of Part 22 of the TCA.</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1"/>
          </w:cols>
          <w:pgMar w:left="248" w:top="722" w:right="1440" w:bottom="1440" w:gutter="0" w:footer="0" w:header="0"/>
        </w:sectPr>
      </w:pPr>
    </w:p>
    <w:bookmarkStart w:id="134" w:name="page135"/>
    <w:bookmarkEnd w:id="134"/>
    <w:p>
      <w:pPr>
        <w:jc w:val="both"/>
        <w:ind w:left="1052" w:right="1779" w:hanging="525"/>
        <w:spacing w:after="0" w:line="275" w:lineRule="auto"/>
        <w:tabs>
          <w:tab w:leader="none" w:pos="1052"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each asset in the Net Asset Statement does not exceed and will not up to Completion exceed the sum which would be allowable as a deduction in the computation (under Chapter 2, Part 19 of the TCA) of the gain which would accrue on the disposal of such asset.</w:t>
      </w:r>
    </w:p>
    <w:p>
      <w:pPr>
        <w:spacing w:after="0" w:line="182" w:lineRule="exact"/>
        <w:rPr>
          <w:rFonts w:ascii="Courier New" w:cs="Courier New" w:eastAsia="Courier New" w:hAnsi="Courier New"/>
          <w:sz w:val="16"/>
          <w:szCs w:val="16"/>
          <w:color w:val="auto"/>
        </w:rPr>
      </w:pPr>
    </w:p>
    <w:p>
      <w:pPr>
        <w:ind w:left="1052" w:right="1779" w:hanging="525"/>
        <w:spacing w:after="0" w:line="235" w:lineRule="auto"/>
        <w:tabs>
          <w:tab w:leader="none" w:pos="1052"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any claim for roll-over relief under Section 597 of the TCA.</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made any such transfer as is referred to in Section 589 of the TCA or received any asset by way of gift as mentioned in Section 978 of the TCA.</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been a party to or involved in any share for share exchange or any scheme of reconstruction or amalgamation such as are mentioned in Part 19 and Section 733 or Section 615 of the TCA under which shares or debentures have been issued or any transfer of assets effected.</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entered into any transaction which has, will or may give rise to a charge to Tax under the provisions of the TCA relating to companies' capital gains or under the provisions of the Capital Acquisitions Tax Act, 1976.</w:t>
      </w:r>
    </w:p>
    <w:p>
      <w:pPr>
        <w:spacing w:after="0" w:line="207"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entered into or taken any steps the object of which is a transaction which comes within or might come within Section 549 of the TCA.</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obligation has arisen or will arise prior to Completion for the Company to deduct an amount under Section 980 TCA.</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had to apply for a certificate under Section 980(8) of the TCA.</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Stamp Duty</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duly complied with and has no liability under the SDCA.</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in the possession or under the control of the Company relating to transfers of shares in the Company or the Properties which attract stamp duty have been properly and adequately stamped.</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relief, exemption or reduction has been obtained from companies capital duty or stamp duty and without prejudice to the generality of the foregoing no relief, exemption or reduction has been obtained from companies capital duty or stamp duty under Section 119 of the SDCA , or from stamp duty under Section 79 of the SDCA, or Section 80 of the SDCA, which:</w:t>
      </w:r>
    </w:p>
    <w:p>
      <w:pPr>
        <w:spacing w:after="0" w:line="204"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become liable to forfeiture; or</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be forfeited in the future.</w:t>
      </w:r>
    </w:p>
    <w:p>
      <w:pPr>
        <w:spacing w:after="0" w:line="206" w:lineRule="exact"/>
        <w:rPr>
          <w:rFonts w:ascii="Courier New" w:cs="Courier New" w:eastAsia="Courier New" w:hAnsi="Courier New"/>
          <w:sz w:val="18"/>
          <w:szCs w:val="18"/>
          <w:color w:val="auto"/>
        </w:rPr>
      </w:pPr>
    </w:p>
    <w:p>
      <w:pPr>
        <w:jc w:val="both"/>
        <w:ind w:left="1052" w:right="1779" w:hanging="525"/>
        <w:spacing w:after="0" w:line="235" w:lineRule="auto"/>
        <w:tabs>
          <w:tab w:leader="none" w:pos="1052"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 duty and/or stamp duty payable by the Company in respect of any of the transactions referred to in the SDCA has been duly and</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1"/>
          </w:cols>
          <w:pgMar w:left="248" w:top="723" w:right="1440" w:bottom="1440" w:gutter="0" w:footer="0" w:header="0"/>
        </w:sectPr>
      </w:pPr>
    </w:p>
    <w:bookmarkStart w:id="135" w:name="page136"/>
    <w:bookmarkEnd w:id="135"/>
    <w:p>
      <w:pPr>
        <w:ind w:left="1052" w:right="1779"/>
        <w:spacing w:after="0" w:line="235" w:lineRule="auto"/>
        <w:rPr>
          <w:sz w:val="20"/>
          <w:szCs w:val="20"/>
          <w:color w:val="auto"/>
        </w:rPr>
      </w:pPr>
      <w:r>
        <w:rPr>
          <w:rFonts w:ascii="Courier New" w:cs="Courier New" w:eastAsia="Courier New" w:hAnsi="Courier New"/>
          <w:sz w:val="18"/>
          <w:szCs w:val="18"/>
          <w:color w:val="auto"/>
        </w:rPr>
        <w:t>promptly paid by the Company so that there is no liability in respect thereof or any interest and/or penalty thereon.</w:t>
      </w:r>
    </w:p>
    <w:p>
      <w:pPr>
        <w:spacing w:after="0" w:line="208" w:lineRule="exact"/>
        <w:rPr>
          <w:sz w:val="20"/>
          <w:szCs w:val="20"/>
          <w:color w:val="auto"/>
        </w:rPr>
      </w:pPr>
    </w:p>
    <w:p>
      <w:pPr>
        <w:jc w:val="both"/>
        <w:ind w:left="1052" w:right="1779" w:hanging="525"/>
        <w:spacing w:after="0" w:line="237" w:lineRule="auto"/>
        <w:tabs>
          <w:tab w:leader="none" w:pos="1052" w:val="left"/>
        </w:tabs>
        <w:numPr>
          <w:ilvl w:val="1"/>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capital and/or stamp duty relating to transfers of shares in the Company or the Properties howsoever arising or payable has been paid by the Company and there is no outstanding liability therefor or interest and/or penalty thereon.</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Added Tax</w:t>
      </w:r>
    </w:p>
    <w:p>
      <w:pPr>
        <w:spacing w:after="0" w:line="206"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registered and is a taxable person for the purposes of the Value Added Tax Act, 1972 and has complied in all respects with such legislation and all regulations made or notices issued thereunder and has maintained full complete and correct and up to date records, invoices and other documents (as the case may be) appropriate or requisite for the purposes thereof.</w:t>
      </w:r>
    </w:p>
    <w:p>
      <w:pPr>
        <w:spacing w:after="0" w:line="209"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duly made Value Added Tax (`VAT') returns accurately and in time and has accounted for and paid on time all VAT due and payable by it and has provided Tax invoices in the required form and within the required time to all persons to whom the Company has made a taxable supply of goods or services. The Company has never issued any invoice containing an amount of Tax which is not due.</w:t>
      </w:r>
    </w:p>
    <w:p>
      <w:pPr>
        <w:spacing w:after="0" w:line="209" w:lineRule="exact"/>
        <w:rPr>
          <w:rFonts w:ascii="Courier New" w:cs="Courier New" w:eastAsia="Courier New" w:hAnsi="Courier New"/>
          <w:sz w:val="18"/>
          <w:szCs w:val="18"/>
          <w:color w:val="auto"/>
        </w:rPr>
      </w:pPr>
    </w:p>
    <w:p>
      <w:pPr>
        <w:jc w:val="both"/>
        <w:ind w:left="1052" w:right="1779" w:hanging="525"/>
        <w:spacing w:after="0" w:line="275" w:lineRule="auto"/>
        <w:tabs>
          <w:tab w:leader="none" w:pos="1052"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in arrears with its payments or returns or notifications under the Value Added Tax Acts regulations or notices or liable to any abnormal or non-routine payment or any forfeiture or penalty or to the operation of the penal provisions contained therein.</w:t>
      </w:r>
    </w:p>
    <w:p>
      <w:pPr>
        <w:spacing w:after="0" w:line="182" w:lineRule="exact"/>
        <w:rPr>
          <w:rFonts w:ascii="Courier New" w:cs="Courier New" w:eastAsia="Courier New" w:hAnsi="Courier New"/>
          <w:sz w:val="16"/>
          <w:szCs w:val="16"/>
          <w:color w:val="auto"/>
        </w:rPr>
      </w:pPr>
    </w:p>
    <w:p>
      <w:pPr>
        <w:jc w:val="both"/>
        <w:ind w:left="1052" w:right="1779" w:hanging="525"/>
        <w:spacing w:after="0" w:line="236" w:lineRule="auto"/>
        <w:tabs>
          <w:tab w:leader="none" w:pos="1052"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been required by the Revenue Commissioners or other appropriate fiscal authorities to give security under the Value Added Tax Acts.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arrangement exists or has existed whereby pursuant to Section 8 (8) of the Value Added Tax Act, 1972, and Regulation 5 of the Value Added Tax Regulations, 1979, (as amended) the business activities of the Company is or were deemed to be carried on by any other person or the business activities of any other person are or were deemed to be carried on by the Company.</w:t>
      </w:r>
    </w:p>
    <w:p>
      <w:pPr>
        <w:spacing w:after="0" w:line="209"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prior to the date hereof availed of the procedure in Section 58 of the Finance Act, 1989, whereby a trader may account and make returns for VAT purposes other than after each two monthly taxable period.</w:t>
      </w:r>
    </w:p>
    <w:p>
      <w:pPr>
        <w:spacing w:after="0" w:line="207"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never acted as agent, manager or factor of any person not resident in the State so as to be accountable for that person's Tax under Section 37 of the Value Added Tax Act, 1972.</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only deductions of input Tax (i.e., Tax paid in respect of supplies to the Company) from output Tax (i.e., Tax payable by the Company in respect of supplies made by it) which the Company has claimed are credits or deductions allowable under Section 12 of the Value Added Tax Act, 1972. The Company has never claimed deduction of any input Tax in circumstances which would give rise to any repayment of Tax under the Value Added Tax Acts.</w:t>
      </w: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1"/>
          </w:cols>
          <w:pgMar w:left="248" w:top="723" w:right="1440" w:bottom="1440" w:gutter="0" w:footer="0" w:header="0"/>
        </w:sectPr>
      </w:pPr>
    </w:p>
    <w:bookmarkStart w:id="136" w:name="page137"/>
    <w:bookmarkEnd w:id="136"/>
    <w:p>
      <w:pPr>
        <w:ind w:left="1052" w:right="1779" w:hanging="525"/>
        <w:spacing w:after="0" w:line="235" w:lineRule="auto"/>
        <w:tabs>
          <w:tab w:leader="none" w:pos="1052" w:val="left"/>
        </w:tabs>
        <w:numPr>
          <w:ilvl w:val="1"/>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payments of excess credit for input Tax or refunds of Tax to the Company have been made on the correct basis.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never been required to make adjustments to the deduction of input Tax on capital items in accordance with the provisions of Section 12 of the Value Added Tax Act, 1972.</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value is attributable in the Accounts to credit for input Tax paid which is not available in full by reason of the Company having made exempt supplies for VAT purposes or otherwise nor for refunds not made on the correct basis.</w:t>
      </w:r>
    </w:p>
    <w:p>
      <w:pPr>
        <w:spacing w:after="0" w:line="207"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never been and will not up to Completion be liable to any penalty and no goods of the Company have been or will up to Completion be liable to forfeiture under Section 27 of the Value Added Tax Act, 1972.</w:t>
      </w:r>
    </w:p>
    <w:p>
      <w:pPr>
        <w:spacing w:after="0" w:line="207"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out in the Disclosure Letter are copies of all written notifications of elections to waive exemptions from Tax under section 7(1) of the Value Added Tax Act, 1972, which affect the Company in any way.</w:t>
      </w:r>
    </w:p>
    <w:p>
      <w:pPr>
        <w:spacing w:after="0" w:line="207"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does not make exempt supplies for VAT purposes nor is it unable to obtain a credit or deduction for any input tax paid or suffered by it.</w:t>
      </w:r>
    </w:p>
    <w:p>
      <w:pPr>
        <w:spacing w:after="0" w:line="208"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of the Seller's business to the Company will be treated as a transfer of a business within Sections 3(5)(b)(iii) and 5(8) of the Value Added Tax Act 1972.</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Acquisitions Tax</w:t>
      </w:r>
    </w:p>
    <w:p>
      <w:pPr>
        <w:spacing w:after="0" w:line="206"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unsatisfied liability to capital acquisitions tax attached or attributable to the Shares and the Shares are not subject to a charge in favour of the Revenue Commissioners.</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is liable to capital acquisitions tax attributable to the value of any of the Shares and in consequence no person has the power to raise the amount of such tax by sale or mortgage or by a terminable charge on any of the Shares.</w:t>
      </w:r>
    </w:p>
    <w:p>
      <w:pPr>
        <w:spacing w:after="0" w:line="207" w:lineRule="exact"/>
        <w:rPr>
          <w:rFonts w:ascii="Courier New" w:cs="Courier New" w:eastAsia="Courier New" w:hAnsi="Courier New"/>
          <w:sz w:val="18"/>
          <w:szCs w:val="18"/>
          <w:color w:val="auto"/>
        </w:rPr>
      </w:pPr>
    </w:p>
    <w:p>
      <w:pPr>
        <w:jc w:val="both"/>
        <w:ind w:left="1052" w:right="1779" w:hanging="525"/>
        <w:spacing w:after="0" w:line="236" w:lineRule="auto"/>
        <w:tabs>
          <w:tab w:leader="none" w:pos="1052"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prior to the date hereof entered into any arrangement or taken any steps which come within Section 90 of the Finance Act, 1989.</w:t>
      </w:r>
    </w:p>
    <w:p>
      <w:pPr>
        <w:spacing w:after="0" w:line="208" w:lineRule="exact"/>
        <w:rPr>
          <w:rFonts w:ascii="Courier New" w:cs="Courier New" w:eastAsia="Courier New" w:hAnsi="Courier New"/>
          <w:sz w:val="18"/>
          <w:szCs w:val="18"/>
          <w:color w:val="auto"/>
        </w:rPr>
      </w:pPr>
    </w:p>
    <w:p>
      <w:pPr>
        <w:jc w:val="both"/>
        <w:ind w:left="1052" w:right="1779" w:hanging="525"/>
        <w:spacing w:after="0" w:line="237" w:lineRule="auto"/>
        <w:tabs>
          <w:tab w:leader="none" w:pos="1052"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unsatisfied liability to capital acquisitions tax attached or attributable to any shares in the capital of the Company and no shares in the capital of the Company are subject to a charge in favour of the Revenue Commissioners, whether under section 47 of the Capital Acquisitions Tax Act, 1976 or otherwise.</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PAYE/Social Welfare</w:t>
      </w:r>
    </w:p>
    <w:p>
      <w:pPr>
        <w:spacing w:after="0" w:line="206" w:lineRule="exact"/>
        <w:rPr>
          <w:rFonts w:ascii="Courier New" w:cs="Courier New" w:eastAsia="Courier New" w:hAnsi="Courier New"/>
          <w:sz w:val="18"/>
          <w:szCs w:val="18"/>
          <w:color w:val="auto"/>
        </w:rPr>
      </w:pPr>
    </w:p>
    <w:p>
      <w:pPr>
        <w:jc w:val="both"/>
        <w:ind w:left="1052" w:right="1779" w:hanging="525"/>
        <w:spacing w:after="0" w:line="235" w:lineRule="auto"/>
        <w:tabs>
          <w:tab w:leader="none" w:pos="1052"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registered for the purposes of regulations made under Section 986 of the TCA (PAYE regulations) and has complied at all</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1"/>
          </w:cols>
          <w:pgMar w:left="248" w:top="723" w:right="1440" w:bottom="1440" w:gutter="0" w:footer="0" w:header="0"/>
        </w:sectPr>
      </w:pPr>
    </w:p>
    <w:bookmarkStart w:id="137" w:name="page138"/>
    <w:bookmarkEnd w:id="137"/>
    <w:p>
      <w:pPr>
        <w:jc w:val="both"/>
        <w:ind w:left="525" w:right="1779"/>
        <w:spacing w:after="0" w:line="236" w:lineRule="auto"/>
        <w:rPr>
          <w:sz w:val="20"/>
          <w:szCs w:val="20"/>
          <w:color w:val="auto"/>
        </w:rPr>
      </w:pPr>
      <w:r>
        <w:rPr>
          <w:rFonts w:ascii="Courier New" w:cs="Courier New" w:eastAsia="Courier New" w:hAnsi="Courier New"/>
          <w:sz w:val="18"/>
          <w:szCs w:val="18"/>
          <w:color w:val="auto"/>
        </w:rPr>
        <w:t>times in all respects with such regulations and has maintained full, complete, correct and up to date records appropriate or requisite for the purposes thereof.</w:t>
      </w:r>
    </w:p>
    <w:p>
      <w:pPr>
        <w:spacing w:after="0" w:line="209" w:lineRule="exact"/>
        <w:rPr>
          <w:sz w:val="20"/>
          <w:szCs w:val="20"/>
          <w:color w:val="auto"/>
        </w:rPr>
      </w:pPr>
    </w:p>
    <w:p>
      <w:pPr>
        <w:jc w:val="both"/>
        <w:ind w:left="525" w:right="1779" w:hanging="525"/>
        <w:spacing w:after="0" w:line="237" w:lineRule="auto"/>
        <w:tabs>
          <w:tab w:leader="none" w:pos="525"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in arrears with its payments or returns required under regulations made under Section 986 of the TCA (PAYE regulations) or liable to any abnormal or non-routine payment or any forfeiture or penalty or to the operation of any penal provisions due to non-compliance with the said regulations.</w:t>
      </w:r>
    </w:p>
    <w:p>
      <w:pPr>
        <w:spacing w:after="0" w:line="208"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complied in all respects with Part II, Chapter I, Social Welfare Consolidation Act, 1981, Health Contributions Act, 1979, Youth Employment Agency Act, 1981, and any regulations made under those Acts and has maintained full, complete, correct and up to date records appropriate or requisite for the purposes thereof and has not committed any offence under Section 115, Social Welfare Consolidation Act, 1981, and is not liable to any abnormal or non-routine payment or any forfeiture or penalty or to the operation of any penal provisions due to non-compliance with the said Acts and/or regulations.</w:t>
      </w:r>
    </w:p>
    <w:p>
      <w:pPr>
        <w:spacing w:after="0" w:line="214"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availed of the Income Tax (Employments) Regulations, 1989, (SI No 58 of 1989) whereby an employer may make remittances of PAYE deducted from his employees at longer intervals than the normal monthly remittance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9684"/>
          </w:cols>
          <w:pgMar w:left="775" w:top="722" w:right="1440" w:bottom="1440" w:gutter="0" w:footer="0" w:header="0"/>
        </w:sectPr>
      </w:pPr>
    </w:p>
    <w:bookmarkStart w:id="138" w:name="page139"/>
    <w:bookmarkEnd w:id="138"/>
    <w:p>
      <w:pPr>
        <w:ind w:left="3580"/>
        <w:spacing w:after="0"/>
        <w:rPr>
          <w:sz w:val="20"/>
          <w:szCs w:val="20"/>
          <w:color w:val="auto"/>
        </w:rPr>
      </w:pPr>
      <w:r>
        <w:rPr>
          <w:rFonts w:ascii="Courier New" w:cs="Courier New" w:eastAsia="Courier New" w:hAnsi="Courier New"/>
          <w:sz w:val="18"/>
          <w:szCs w:val="18"/>
          <w:color w:val="auto"/>
        </w:rPr>
        <w:t>SCHEDULE 5.1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Warranties of Gentner</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Gentner warrants, represents, and undertakes to each Seller and their successors in title in relation to Gentner, as follows:</w:t>
      </w:r>
    </w:p>
    <w:p>
      <w:pPr>
        <w:spacing w:after="0" w:line="203" w:lineRule="exact"/>
        <w:rPr>
          <w:sz w:val="20"/>
          <w:szCs w:val="20"/>
          <w:color w:val="auto"/>
        </w:rPr>
      </w:pPr>
    </w:p>
    <w:p>
      <w:pPr>
        <w:ind w:left="540" w:hanging="532"/>
        <w:spacing w:after="0"/>
        <w:tabs>
          <w:tab w:leader="none" w:pos="5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Furnished.</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given by or on behalf of Gentner to the Seller or any shareholder, accountant, lawyer or agent thereof in the course of the negotiations leading to this Agreement was, when given, and is at the date hereof true, accurate and complete in all material respects.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Information.</w:t>
      </w:r>
    </w:p>
    <w:p>
      <w:pPr>
        <w:spacing w:after="0" w:line="206" w:lineRule="exact"/>
        <w:rPr>
          <w:rFonts w:ascii="Courier New" w:cs="Courier New" w:eastAsia="Courier New" w:hAnsi="Courier New"/>
          <w:sz w:val="18"/>
          <w:szCs w:val="18"/>
          <w:color w:val="auto"/>
        </w:rPr>
      </w:pPr>
    </w:p>
    <w:p>
      <w:pPr>
        <w:jc w:val="both"/>
        <w:ind w:left="54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There is no fact or matter which to the knowledge of Gentner, has not been disclosed in writing to the Seller which renders the information referred to in paragraph 1 untrue or misleading at the date of this Agreement or which, on the basis of good faith, ought to be disclosed to any intending Seller of the Shares or the disclosure of which might reasonably affect the willingness of a Seller to sell the Shares on the terms (including the consideration) contained herein. Gentner undertakes to disclose immediately to each Seller anything which come to its notice which is or may be a breach of any of the warranties set forth in this Schedule 5.1.</w:t>
      </w:r>
    </w:p>
    <w:p>
      <w:pPr>
        <w:spacing w:after="0" w:line="17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6" w:lineRule="exact"/>
        <w:rPr>
          <w:rFonts w:ascii="Courier New" w:cs="Courier New" w:eastAsia="Courier New" w:hAnsi="Courier New"/>
          <w:sz w:val="18"/>
          <w:szCs w:val="18"/>
          <w:color w:val="auto"/>
        </w:rPr>
      </w:pPr>
    </w:p>
    <w:p>
      <w:pPr>
        <w:jc w:val="both"/>
        <w:ind w:left="540"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None of the representations or warranties made by Gentner in this Agreement or in any document to be delivered by it pursuant hereto or in connection with the transactions contemplated hereby contains or will contain any untrue statement of a fact, or omits or will omit to state a fact necessary to make any statement or fact contained herein or therein not misleading.</w:t>
      </w:r>
    </w:p>
    <w:p>
      <w:pPr>
        <w:spacing w:after="0" w:line="179" w:lineRule="exact"/>
        <w:rPr>
          <w:sz w:val="20"/>
          <w:szCs w:val="20"/>
          <w:color w:val="auto"/>
        </w:rPr>
      </w:pPr>
    </w:p>
    <w:p>
      <w:pPr>
        <w:ind w:left="540" w:hanging="532"/>
        <w:spacing w:after="0"/>
        <w:tabs>
          <w:tab w:leader="none" w:pos="5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Recitals and Schedules.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out in the recitals and Schedules hereto is true, complete and accurate in all respects.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of Gentner.</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Gentner is a corporation duly organized, validly existing, and in good standing under the laws of Utah.</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w:t>
      </w:r>
    </w:p>
    <w:p>
      <w:pPr>
        <w:spacing w:after="0" w:line="206" w:lineRule="exact"/>
        <w:rPr>
          <w:rFonts w:ascii="Courier New" w:cs="Courier New" w:eastAsia="Courier New" w:hAnsi="Courier New"/>
          <w:sz w:val="18"/>
          <w:szCs w:val="18"/>
          <w:color w:val="auto"/>
        </w:rPr>
      </w:pPr>
    </w:p>
    <w:p>
      <w:pPr>
        <w:jc w:val="both"/>
        <w:ind w:left="54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authorized capital stock of Gentner consists of 50,000,000 shares of common stock, par value $.001 per share. As of September 28, 2001, 8,640,778 shares of common stock were issued and outstanding, all of which were validly issued, fully paid and nonassessable, and no shares of common stock were held in treasury. As of June 30, 2001, Gentner had 1,750,798 options to purchase common stock of the company outstanding under two employee stock option plans. The Company's 1998 Stock Option Plan (the "Plan") provides for grants of up to 1,700,000 shares. In addition, Gentner's board of directors has recommended to the shareholders an amendment to the Plan providing for increasing the number of shares thereunder to 2,500,000 shares. Except as set forth herein, and other than Gentner's 1997 Employee Stock Purchase Plan in which all employees may participate, no third party has any right to purchase shares in Gentner.</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1440" w:gutter="0" w:footer="0" w:header="0"/>
        </w:sectPr>
      </w:pPr>
    </w:p>
    <w:bookmarkStart w:id="139" w:name="page140"/>
    <w:bookmarkEnd w:id="139"/>
    <w:p>
      <w:pPr>
        <w:ind w:left="532" w:hanging="532"/>
        <w:spacing w:after="0"/>
        <w:tabs>
          <w:tab w:leader="none" w:pos="532"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of Transaction.</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Gentner has full power and authority (including full corporate power and authority) to execute and deliver this Agreement and to perform its obligations hereunder. This Agreement constitutes the valid and legally binding obligation of Gentner, enforceable in accordance with its terms and conditions.</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Noncontravention.</w:t>
      </w:r>
    </w:p>
    <w:p>
      <w:pPr>
        <w:spacing w:after="0" w:line="206" w:lineRule="exact"/>
        <w:rPr>
          <w:rFonts w:ascii="Courier New" w:cs="Courier New" w:eastAsia="Courier New" w:hAnsi="Courier New"/>
          <w:sz w:val="18"/>
          <w:szCs w:val="18"/>
          <w:color w:val="auto"/>
        </w:rPr>
      </w:pPr>
    </w:p>
    <w:p>
      <w:pPr>
        <w:jc w:val="both"/>
        <w:ind w:left="532"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execution and the delivery of this Agreement, and the consummation of the transactions contemplated hereby will not or with the giving of notice or the lapse of time, or both, would not (i) violate any constitution, statute, regulation, rule, injunction, judgment, order, decree, ruling, charge, or other restriction of any government, governmental agency, or court to which Gentner is currently subject or any current provision of its charter or bylaws or (ii) conflict with, result in a breach of, constitute a default under, result in the acceleration of, create in any party the right to accelerate, terminate, modify, or cancel, or require any notice under any agreement, contract, lease, license, instrument, or other arrangement to which Gentner is a party or by which it is bound or to which any of its assets is subject. Gentner does not need to give any notice to, make any filing with, or obtain any authorization, consent, or approval of any government or governmental agency in order for the Parties to consummate the transactions contemplated by this Agreement, which will not be obtained prior to the Completion.</w:t>
      </w:r>
    </w:p>
    <w:p>
      <w:pPr>
        <w:spacing w:after="0" w:line="390"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Fees.</w:t>
      </w:r>
    </w:p>
    <w:p>
      <w:pPr>
        <w:spacing w:after="0" w:line="206" w:lineRule="exact"/>
        <w:rPr>
          <w:rFonts w:ascii="Courier New" w:cs="Courier New" w:eastAsia="Courier New" w:hAnsi="Courier New"/>
          <w:sz w:val="18"/>
          <w:szCs w:val="18"/>
          <w:color w:val="auto"/>
        </w:rPr>
      </w:pPr>
    </w:p>
    <w:p>
      <w:pPr>
        <w:jc w:val="both"/>
        <w:ind w:left="532"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Gentner has no liability or obligation to pay any fees or commissions to any broker, finder, or agent with respect to the transactions contemplated by this Agreement for which the Seller could become liable or obligated.</w:t>
      </w:r>
    </w:p>
    <w:p>
      <w:pPr>
        <w:spacing w:after="0" w:line="17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EPS</w:t>
      </w:r>
    </w:p>
    <w:p>
      <w:pPr>
        <w:spacing w:after="0" w:line="206" w:lineRule="exact"/>
        <w:rPr>
          <w:rFonts w:ascii="Courier New" w:cs="Courier New" w:eastAsia="Courier New" w:hAnsi="Courier New"/>
          <w:sz w:val="18"/>
          <w:szCs w:val="18"/>
          <w:color w:val="auto"/>
        </w:rPr>
      </w:pPr>
    </w:p>
    <w:p>
      <w:pPr>
        <w:jc w:val="both"/>
        <w:ind w:left="532"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relation to the calculation of Earn-Out in clause 2.3, Gentner will act in good faith in accordance with its customary practices and U.S. Securities and Exchange Commission practice in making the EPS calculation.</w:t>
      </w:r>
    </w:p>
    <w:p>
      <w:pPr>
        <w:spacing w:after="0" w:line="17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Consideration</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the payment of consideration, Gentner will act on a commercially reasonable basis in connection with the shipment of product and the payment of consideration.</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Earn-Out</w:t>
      </w:r>
    </w:p>
    <w:p>
      <w:pPr>
        <w:spacing w:after="0" w:line="206"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and to the extent that the Earn-Out consideration would be adversely affected by:</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corporate reorganisation which would relocate all or a part of the business of the company to another body corporate</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an Encumbrance on the company or its business other than in the ordinary and usual of business</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unforeseen circumstance</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1"/>
          </w:cols>
          <w:pgMar w:left="248" w:top="717" w:right="1440" w:bottom="1440" w:gutter="0" w:footer="0" w:header="0"/>
        </w:sectPr>
      </w:pPr>
    </w:p>
    <w:bookmarkStart w:id="140" w:name="page141"/>
    <w:bookmarkEnd w:id="140"/>
    <w:p>
      <w:pPr>
        <w:jc w:val="both"/>
        <w:ind w:right="1779"/>
        <w:spacing w:after="0" w:line="236" w:lineRule="auto"/>
        <w:rPr>
          <w:sz w:val="20"/>
          <w:szCs w:val="20"/>
          <w:color w:val="auto"/>
        </w:rPr>
      </w:pPr>
      <w:r>
        <w:rPr>
          <w:rFonts w:ascii="Courier New" w:cs="Courier New" w:eastAsia="Courier New" w:hAnsi="Courier New"/>
          <w:sz w:val="18"/>
          <w:szCs w:val="18"/>
          <w:color w:val="auto"/>
        </w:rPr>
        <w:t>then such reorganisation, imposition, or unforeseen circumstance (as the case may be) shall be disregarded in the calculation of the earn-out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9679"/>
          </w:cols>
          <w:pgMar w:left="780" w:top="723" w:right="1440" w:bottom="1440" w:gutter="0" w:footer="0" w:header="0"/>
        </w:sectPr>
      </w:pPr>
    </w:p>
    <w:bookmarkStart w:id="141" w:name="page142"/>
    <w:bookmarkEnd w:id="141"/>
    <w:p>
      <w:pPr>
        <w:jc w:val="center"/>
        <w:ind w:right="1779"/>
        <w:spacing w:after="0"/>
        <w:rPr>
          <w:sz w:val="20"/>
          <w:szCs w:val="20"/>
          <w:color w:val="auto"/>
        </w:rPr>
      </w:pPr>
      <w:r>
        <w:rPr>
          <w:rFonts w:ascii="Courier New" w:cs="Courier New" w:eastAsia="Courier New" w:hAnsi="Courier New"/>
          <w:sz w:val="18"/>
          <w:szCs w:val="18"/>
          <w:color w:val="auto"/>
        </w:rPr>
        <w:t>SCHEDULE 5.2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Warranties of the Purchaser.</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Purchaser warrants, represents, and undertakes to each Seller and their successors in title in relation to Purchaser, as follows</w:t>
      </w:r>
    </w:p>
    <w:p>
      <w:pPr>
        <w:spacing w:after="0" w:line="203" w:lineRule="exact"/>
        <w:rPr>
          <w:sz w:val="20"/>
          <w:szCs w:val="20"/>
          <w:color w:val="auto"/>
        </w:rPr>
      </w:pPr>
    </w:p>
    <w:p>
      <w:pPr>
        <w:ind w:left="540" w:hanging="532"/>
        <w:spacing w:after="0"/>
        <w:tabs>
          <w:tab w:leader="none" w:pos="5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Furnished.</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given by or on behalf of the Purchaser to the Seller or any shareholder, accountant, lawyer or agent thereof in the course of the negotiations leading to this Agreement was, when given, and is at the date hereof true, accurate and complete in all material respects.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Information.</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fact or matter which to knowledge of Purchaser has not been disclosed in writing to the Seller which renders the information referred to in paragraph 1 untrue or misleading at the date of this Agreement or which, on the basis of good faith, ought to be disclosed to any intending Seller of the Shares or the disclosure of which might reasonably affect the willingness of a Seller to sell the Shares on the terms (including the consideration) contained herein. Purchaser undertakes to disclose immediately to each Seller anything which come to its notice which is or may be a breach of any of the warranties set forth in this Schedule 5.2.</w:t>
      </w:r>
    </w:p>
    <w:p>
      <w:pPr>
        <w:spacing w:after="0" w:line="20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representations or warranties made by the Purchaser in this Agreement or in any document to be delivered by it pursuant hereto or in connection with the transactions contemplated hereby contains or will contain any untrue statement of a fact, or omits or will omit to state a fact necessary to make any statement or fact contained herein or therein not misleading.</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Recitals and Schedules.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out in the recitals and Schedules hereto is true, complete and accurate in all respects.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of the Purchaser.</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is a corporation duly organized, validly existing, and in good standing under the laws of Utah.</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the Purchaser consists of 100 shares of common stock, no par value. As of September 28, 2001, ten (10) shares of common stock were issued and outstanding, all of which were validly issued, fully paid and nonassessable, and no shares of common stock were held in treasury. As of September 28, 2001, no options or other rights to subscribe for common stock had been issued.</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of Transaction.</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has full power and authority (including full corporate power and authority) to execute and deliver this Agreement and to perform its obligations hereunder. This Agreement constitutes the valid and legally binding obligation of the Purchaser, enforceable in accordance with its terms and conditions.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920" w:right="1440" w:bottom="1440" w:gutter="0" w:footer="0" w:header="0"/>
        </w:sectPr>
      </w:pPr>
    </w:p>
    <w:bookmarkStart w:id="142" w:name="page143"/>
    <w:bookmarkEnd w:id="142"/>
    <w:p>
      <w:pPr>
        <w:ind w:left="532" w:hanging="532"/>
        <w:spacing w:after="0"/>
        <w:tabs>
          <w:tab w:leader="none" w:pos="532"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Noncontravention.</w:t>
      </w:r>
    </w:p>
    <w:p>
      <w:pPr>
        <w:spacing w:after="0" w:line="206" w:lineRule="exact"/>
        <w:rPr>
          <w:rFonts w:ascii="Courier New" w:cs="Courier New" w:eastAsia="Courier New" w:hAnsi="Courier New"/>
          <w:sz w:val="18"/>
          <w:szCs w:val="18"/>
          <w:color w:val="auto"/>
        </w:rPr>
      </w:pPr>
    </w:p>
    <w:p>
      <w:pPr>
        <w:jc w:val="both"/>
        <w:ind w:left="532"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execution and the delivery of this Agreement, and the consummation of the transactions contemplated hereby will not, or with the giving of notice or the lapse of time, or both, would not (i) violate any constitution, statute, regulation, rule, injunction, judgment, order, decree, ruling, charge, or other restriction of any government, governmental agency, or court to which the Purchaser is currently subject or any current provision of its charter or bylaws or (ii) conflict with, result in a breach of, constitute a default under, result in the acceleration of, create in any party the right to accelerate, terminate, modify, or cancel, or require any notice under any agreement, contract, lease, license, instrument, or other arrangement to which the Purchaser is a party or by which it is bound or to which any of its assets is subject. The Purchaser does not need to give any notice to, make any filing with, or obtain any authorization, consent, or approval of any government or governmental agency in order for the Parties to consummate the transactions contemplated by this Agreement, which will not be obtained prior to the Completion.</w:t>
      </w:r>
    </w:p>
    <w:p>
      <w:pPr>
        <w:spacing w:after="0" w:line="390"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Fees.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has no liability or obligation to pay any fees or commissions to any broker, finder, or agent with respect to the transactions contemplated by this Agreement for which the Seller could become liable or obligated.</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EPS</w:t>
      </w:r>
    </w:p>
    <w:p>
      <w:pPr>
        <w:spacing w:after="0" w:line="206" w:lineRule="exact"/>
        <w:rPr>
          <w:rFonts w:ascii="Courier New" w:cs="Courier New" w:eastAsia="Courier New" w:hAnsi="Courier New"/>
          <w:sz w:val="18"/>
          <w:szCs w:val="18"/>
          <w:color w:val="auto"/>
        </w:rPr>
      </w:pPr>
    </w:p>
    <w:p>
      <w:pPr>
        <w:jc w:val="both"/>
        <w:ind w:left="532"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relation to the calculation of Earn-Out in clause 2.3, the Purchaser will act in good faith in accordance with its customary practices and U.S. Securities and Exchange Commission practice in making the EPS calculation.</w:t>
      </w:r>
    </w:p>
    <w:p>
      <w:pPr>
        <w:sectPr>
          <w:pgSz w:w="11900" w:h="16838" w:orient="portrait"/>
          <w:cols w:equalWidth="0" w:num="1">
            <w:col w:w="10211"/>
          </w:cols>
          <w:pgMar w:left="248" w:top="717" w:right="1440" w:bottom="1440" w:gutter="0" w:footer="0" w:header="0"/>
        </w:sectPr>
      </w:pPr>
    </w:p>
    <w:p>
      <w:pPr>
        <w:spacing w:after="0" w:line="173" w:lineRule="exact"/>
        <w:rPr>
          <w:sz w:val="20"/>
          <w:szCs w:val="20"/>
          <w:color w:val="auto"/>
        </w:rPr>
      </w:pPr>
    </w:p>
    <w:p>
      <w:pPr>
        <w:ind w:left="532" w:hanging="532"/>
        <w:spacing w:after="0"/>
        <w:tabs>
          <w:tab w:leader="none" w:pos="532"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Consideration</w:t>
      </w:r>
    </w:p>
    <w:p>
      <w:pPr>
        <w:spacing w:after="0" w:line="206" w:lineRule="exact"/>
        <w:rPr>
          <w:rFonts w:ascii="Courier New" w:cs="Courier New" w:eastAsia="Courier New" w:hAnsi="Courier New"/>
          <w:sz w:val="18"/>
          <w:szCs w:val="18"/>
          <w:color w:val="auto"/>
        </w:rPr>
      </w:pPr>
    </w:p>
    <w:p>
      <w:pPr>
        <w:jc w:val="both"/>
        <w:ind w:left="532"/>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relation to the payment of consideration, commercially reasonable basis in connection and the payment of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Purchaser will act on a with the shipment of product</w:t>
      </w:r>
    </w:p>
    <w:p>
      <w:pPr>
        <w:spacing w:after="0" w:line="367" w:lineRule="exact"/>
        <w:rPr>
          <w:sz w:val="20"/>
          <w:szCs w:val="20"/>
          <w:color w:val="auto"/>
        </w:rPr>
      </w:pPr>
    </w:p>
    <w:p>
      <w:pPr>
        <w:sectPr>
          <w:pgSz w:w="11900" w:h="16838" w:orient="portrait"/>
          <w:cols w:equalWidth="0" w:num="2">
            <w:col w:w="5272" w:space="200"/>
            <w:col w:w="4739"/>
          </w:cols>
          <w:pgMar w:left="248" w:top="717" w:right="1440" w:bottom="1440" w:gutter="0" w:footer="0" w:header="0"/>
          <w:type w:val="continuous"/>
        </w:sectPr>
      </w:pPr>
    </w:p>
    <w:p>
      <w:pPr>
        <w:ind w:left="532" w:hanging="532"/>
        <w:spacing w:after="0"/>
        <w:tabs>
          <w:tab w:leader="none" w:pos="532"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Earn-Out</w:t>
      </w:r>
    </w:p>
    <w:p>
      <w:pPr>
        <w:spacing w:after="0" w:line="206"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and to the extent that the Earn-Out consideration would be adversely affected by:</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corporate reorganisation which would relocate all or a part of the business of the company to another body corporate</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an Encumbrance on the company or its business other than in the ordinary and usual of business</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unforeseen circumstance</w:t>
      </w:r>
    </w:p>
    <w:p>
      <w:pPr>
        <w:spacing w:after="0" w:line="207" w:lineRule="exact"/>
        <w:rPr>
          <w:sz w:val="20"/>
          <w:szCs w:val="20"/>
          <w:color w:val="auto"/>
        </w:rPr>
      </w:pPr>
    </w:p>
    <w:p>
      <w:pPr>
        <w:jc w:val="both"/>
        <w:ind w:left="532" w:right="1779"/>
        <w:spacing w:after="0" w:line="236" w:lineRule="auto"/>
        <w:rPr>
          <w:sz w:val="20"/>
          <w:szCs w:val="20"/>
          <w:color w:val="auto"/>
        </w:rPr>
      </w:pPr>
      <w:r>
        <w:rPr>
          <w:rFonts w:ascii="Courier New" w:cs="Courier New" w:eastAsia="Courier New" w:hAnsi="Courier New"/>
          <w:sz w:val="18"/>
          <w:szCs w:val="18"/>
          <w:color w:val="auto"/>
        </w:rPr>
        <w:t>then such reorganisation, imposition, or unforeseen circumstance (as the case may be) shall be disregarded in the calculation of the earn-out Consideration.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1"/>
          </w:cols>
          <w:pgMar w:left="248" w:top="717" w:right="1440" w:bottom="1440" w:gutter="0" w:footer="0" w:header="0"/>
          <w:type w:val="continuous"/>
        </w:sectPr>
      </w:pPr>
    </w:p>
    <w:bookmarkStart w:id="143" w:name="page144"/>
    <w:bookmarkEnd w:id="143"/>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SEALED AND DELIVERED by the</w:t>
      </w:r>
    </w:p>
    <w:p>
      <w:pPr>
        <w:spacing w:after="0" w:line="238" w:lineRule="auto"/>
        <w:rPr>
          <w:sz w:val="20"/>
          <w:szCs w:val="20"/>
          <w:color w:val="auto"/>
        </w:rPr>
      </w:pPr>
      <w:r>
        <w:rPr>
          <w:rFonts w:ascii="Courier New" w:cs="Courier New" w:eastAsia="Courier New" w:hAnsi="Courier New"/>
          <w:sz w:val="18"/>
          <w:szCs w:val="18"/>
          <w:color w:val="auto"/>
        </w:rPr>
        <w:t>said Mike Peirce in the presence of:</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Witness Signature:</w:t>
      </w:r>
    </w:p>
    <w:p>
      <w:pPr>
        <w:spacing w:after="0"/>
        <w:tabs>
          <w:tab w:leader="none" w:pos="4100" w:val="left"/>
        </w:tabs>
        <w:rPr>
          <w:sz w:val="20"/>
          <w:szCs w:val="20"/>
          <w:color w:val="auto"/>
        </w:rPr>
      </w:pPr>
      <w:r>
        <w:rPr>
          <w:rFonts w:ascii="Courier New" w:cs="Courier New" w:eastAsia="Courier New" w:hAnsi="Courier New"/>
          <w:sz w:val="18"/>
          <w:szCs w:val="18"/>
          <w:color w:val="auto"/>
        </w:rPr>
        <w:t>/s/James A. Valeo</w:t>
      </w:r>
      <w:r>
        <w:rPr>
          <w:sz w:val="20"/>
          <w:szCs w:val="20"/>
          <w:color w:val="auto"/>
        </w:rPr>
        <w:tab/>
      </w:r>
      <w:r>
        <w:rPr>
          <w:rFonts w:ascii="Courier New" w:cs="Courier New" w:eastAsia="Courier New" w:hAnsi="Courier New"/>
          <w:sz w:val="16"/>
          <w:szCs w:val="16"/>
          <w:color w:val="auto"/>
        </w:rPr>
        <w:t>/s/Michael Pierce</w:t>
      </w:r>
    </w:p>
    <w:p>
      <w:pPr>
        <w:ind w:left="7900"/>
        <w:spacing w:after="0"/>
        <w:rPr>
          <w:sz w:val="20"/>
          <w:szCs w:val="20"/>
          <w:color w:val="auto"/>
        </w:rPr>
      </w:pPr>
      <w:r>
        <w:rPr>
          <w:rFonts w:ascii="Courier New" w:cs="Courier New" w:eastAsia="Courier New" w:hAnsi="Courier New"/>
          <w:sz w:val="18"/>
          <w:szCs w:val="18"/>
          <w:color w:val="auto"/>
        </w:rPr>
        <w:t>SEAL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Address:1825 Research Way</w:t>
      </w:r>
    </w:p>
    <w:p>
      <w:pPr>
        <w:spacing w:after="0"/>
        <w:tabs>
          <w:tab w:leader="none" w:pos="210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SEALED AND DELIVERED by the</w:t>
      </w:r>
    </w:p>
    <w:p>
      <w:pPr>
        <w:spacing w:after="0" w:line="238" w:lineRule="auto"/>
        <w:rPr>
          <w:sz w:val="20"/>
          <w:szCs w:val="20"/>
          <w:color w:val="auto"/>
        </w:rPr>
      </w:pPr>
      <w:r>
        <w:rPr>
          <w:rFonts w:ascii="Courier New" w:cs="Courier New" w:eastAsia="Courier New" w:hAnsi="Courier New"/>
          <w:sz w:val="18"/>
          <w:szCs w:val="18"/>
          <w:color w:val="auto"/>
        </w:rPr>
        <w:t>said Joe Stockton in the presence of:</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Witness Signature:</w:t>
      </w:r>
    </w:p>
    <w:p>
      <w:pPr>
        <w:spacing w:after="0" w:line="238" w:lineRule="auto"/>
        <w:rPr>
          <w:sz w:val="20"/>
          <w:szCs w:val="20"/>
          <w:color w:val="auto"/>
        </w:rPr>
      </w:pPr>
      <w:r>
        <w:rPr>
          <w:rFonts w:ascii="Courier New" w:cs="Courier New" w:eastAsia="Courier New" w:hAnsi="Courier New"/>
          <w:sz w:val="18"/>
          <w:szCs w:val="18"/>
          <w:color w:val="auto"/>
        </w:rPr>
        <w:t>/s/James A. Valeo</w:t>
      </w:r>
    </w:p>
    <w:p>
      <w:pPr>
        <w:ind w:left="7900"/>
        <w:spacing w:after="0"/>
        <w:rPr>
          <w:sz w:val="20"/>
          <w:szCs w:val="20"/>
          <w:color w:val="auto"/>
        </w:rPr>
      </w:pPr>
      <w:r>
        <w:rPr>
          <w:rFonts w:ascii="Courier New" w:cs="Courier New" w:eastAsia="Courier New" w:hAnsi="Courier New"/>
          <w:sz w:val="18"/>
          <w:szCs w:val="18"/>
          <w:color w:val="auto"/>
        </w:rPr>
        <w:t>SEAL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Address:1825 Research Way</w:t>
      </w:r>
    </w:p>
    <w:p>
      <w:pPr>
        <w:spacing w:after="0"/>
        <w:tabs>
          <w:tab w:leader="none" w:pos="210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6"/>
          <w:szCs w:val="16"/>
          <w:color w:val="auto"/>
        </w:rPr>
        <w:t>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SEALED AND DELIVERED by the</w:t>
      </w:r>
    </w:p>
    <w:p>
      <w:pPr>
        <w:spacing w:after="0" w:line="238" w:lineRule="auto"/>
        <w:rPr>
          <w:sz w:val="20"/>
          <w:szCs w:val="20"/>
          <w:color w:val="auto"/>
        </w:rPr>
      </w:pPr>
      <w:r>
        <w:rPr>
          <w:rFonts w:ascii="Courier New" w:cs="Courier New" w:eastAsia="Courier New" w:hAnsi="Courier New"/>
          <w:sz w:val="18"/>
          <w:szCs w:val="18"/>
          <w:color w:val="auto"/>
        </w:rPr>
        <w:t>said David Smyth in the presence of:</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Witness Signature:</w:t>
      </w:r>
    </w:p>
    <w:p>
      <w:pPr>
        <w:spacing w:after="0" w:line="238" w:lineRule="auto"/>
        <w:rPr>
          <w:sz w:val="20"/>
          <w:szCs w:val="20"/>
          <w:color w:val="auto"/>
        </w:rPr>
      </w:pPr>
      <w:r>
        <w:rPr>
          <w:rFonts w:ascii="Courier New" w:cs="Courier New" w:eastAsia="Courier New" w:hAnsi="Courier New"/>
          <w:sz w:val="18"/>
          <w:szCs w:val="18"/>
          <w:color w:val="auto"/>
        </w:rPr>
        <w:t>/s/James A. Valeo</w:t>
      </w:r>
    </w:p>
    <w:p>
      <w:pPr>
        <w:ind w:left="7900"/>
        <w:spacing w:after="0"/>
        <w:rPr>
          <w:sz w:val="20"/>
          <w:szCs w:val="20"/>
          <w:color w:val="auto"/>
        </w:rPr>
      </w:pPr>
      <w:r>
        <w:rPr>
          <w:rFonts w:ascii="Courier New" w:cs="Courier New" w:eastAsia="Courier New" w:hAnsi="Courier New"/>
          <w:sz w:val="18"/>
          <w:szCs w:val="18"/>
          <w:color w:val="auto"/>
        </w:rPr>
        <w:t>SEAL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Address:1825 Research Way</w:t>
      </w:r>
    </w:p>
    <w:p>
      <w:pPr>
        <w:spacing w:after="0"/>
        <w:tabs>
          <w:tab w:leader="none" w:pos="210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1440"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SEALED AND DELIVERED by Mike</w:t>
      </w:r>
    </w:p>
    <w:p>
      <w:pPr>
        <w:spacing w:after="0" w:line="238" w:lineRule="auto"/>
        <w:rPr>
          <w:sz w:val="20"/>
          <w:szCs w:val="20"/>
          <w:color w:val="auto"/>
        </w:rPr>
      </w:pPr>
      <w:r>
        <w:rPr>
          <w:rFonts w:ascii="Courier New" w:cs="Courier New" w:eastAsia="Courier New" w:hAnsi="Courier New"/>
          <w:sz w:val="18"/>
          <w:szCs w:val="18"/>
          <w:color w:val="auto"/>
        </w:rPr>
        <w:t>Peirce as lawful attorney for the</w:t>
      </w:r>
    </w:p>
    <w:p>
      <w:pPr>
        <w:spacing w:after="0"/>
        <w:rPr>
          <w:sz w:val="20"/>
          <w:szCs w:val="20"/>
          <w:color w:val="auto"/>
        </w:rPr>
      </w:pPr>
      <w:r>
        <w:rPr>
          <w:rFonts w:ascii="Courier New" w:cs="Courier New" w:eastAsia="Courier New" w:hAnsi="Courier New"/>
          <w:sz w:val="18"/>
          <w:szCs w:val="18"/>
          <w:color w:val="auto"/>
        </w:rPr>
        <w:t>said Dave Nelson in the presence of:</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Witness Signature:</w:t>
      </w:r>
    </w:p>
    <w:p>
      <w:pPr>
        <w:spacing w:after="0"/>
        <w:rPr>
          <w:sz w:val="20"/>
          <w:szCs w:val="20"/>
          <w:color w:val="auto"/>
        </w:rPr>
      </w:pPr>
      <w:r>
        <w:rPr>
          <w:rFonts w:ascii="Courier New" w:cs="Courier New" w:eastAsia="Courier New" w:hAnsi="Courier New"/>
          <w:sz w:val="18"/>
          <w:szCs w:val="18"/>
          <w:color w:val="auto"/>
        </w:rPr>
        <w:t>/s/James A. Valeo</w:t>
      </w:r>
    </w:p>
    <w:p>
      <w:pPr>
        <w:ind w:left="7900"/>
        <w:spacing w:after="0" w:line="237" w:lineRule="auto"/>
        <w:rPr>
          <w:sz w:val="20"/>
          <w:szCs w:val="20"/>
          <w:color w:val="auto"/>
        </w:rPr>
      </w:pPr>
      <w:r>
        <w:rPr>
          <w:rFonts w:ascii="Courier New" w:cs="Courier New" w:eastAsia="Courier New" w:hAnsi="Courier New"/>
          <w:sz w:val="18"/>
          <w:szCs w:val="18"/>
          <w:color w:val="auto"/>
        </w:rPr>
        <w:t>SEAL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Address:1825 Research Way</w:t>
      </w:r>
    </w:p>
    <w:p>
      <w:pPr>
        <w:spacing w:after="0"/>
        <w:tabs>
          <w:tab w:leader="none" w:pos="210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SEALED AND DELIVERED by Mike</w:t>
      </w:r>
    </w:p>
    <w:p>
      <w:pPr>
        <w:spacing w:after="0" w:line="238" w:lineRule="auto"/>
        <w:rPr>
          <w:sz w:val="20"/>
          <w:szCs w:val="20"/>
          <w:color w:val="auto"/>
        </w:rPr>
      </w:pPr>
      <w:r>
        <w:rPr>
          <w:rFonts w:ascii="Courier New" w:cs="Courier New" w:eastAsia="Courier New" w:hAnsi="Courier New"/>
          <w:sz w:val="18"/>
          <w:szCs w:val="18"/>
          <w:color w:val="auto"/>
        </w:rPr>
        <w:t>Peirce as lawful attorney for the</w:t>
      </w:r>
    </w:p>
    <w:p>
      <w:pPr>
        <w:spacing w:after="0"/>
        <w:rPr>
          <w:sz w:val="20"/>
          <w:szCs w:val="20"/>
          <w:color w:val="auto"/>
        </w:rPr>
      </w:pPr>
      <w:r>
        <w:rPr>
          <w:rFonts w:ascii="Courier New" w:cs="Courier New" w:eastAsia="Courier New" w:hAnsi="Courier New"/>
          <w:sz w:val="18"/>
          <w:szCs w:val="18"/>
          <w:color w:val="auto"/>
        </w:rPr>
        <w:t>said Alex Peirce in the presence of:</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Witness Signature:</w:t>
      </w:r>
    </w:p>
    <w:p>
      <w:pPr>
        <w:spacing w:after="0"/>
        <w:rPr>
          <w:sz w:val="20"/>
          <w:szCs w:val="20"/>
          <w:color w:val="auto"/>
        </w:rPr>
      </w:pPr>
      <w:r>
        <w:rPr>
          <w:rFonts w:ascii="Courier New" w:cs="Courier New" w:eastAsia="Courier New" w:hAnsi="Courier New"/>
          <w:sz w:val="18"/>
          <w:szCs w:val="18"/>
          <w:color w:val="auto"/>
        </w:rPr>
        <w:t>/s/ James A. Valeo</w:t>
      </w:r>
    </w:p>
    <w:p>
      <w:pPr>
        <w:ind w:left="7900"/>
        <w:spacing w:after="0" w:line="237" w:lineRule="auto"/>
        <w:rPr>
          <w:sz w:val="20"/>
          <w:szCs w:val="20"/>
          <w:color w:val="auto"/>
        </w:rPr>
      </w:pPr>
      <w:r>
        <w:rPr>
          <w:rFonts w:ascii="Courier New" w:cs="Courier New" w:eastAsia="Courier New" w:hAnsi="Courier New"/>
          <w:sz w:val="18"/>
          <w:szCs w:val="18"/>
          <w:color w:val="auto"/>
        </w:rPr>
        <w:t>SEAL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Address:1825 Research Way</w:t>
      </w:r>
    </w:p>
    <w:p>
      <w:pPr>
        <w:spacing w:after="0"/>
        <w:tabs>
          <w:tab w:leader="none" w:pos="210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when the common seal of Mentor</w:t>
      </w:r>
    </w:p>
    <w:p>
      <w:pPr>
        <w:spacing w:after="0"/>
        <w:tabs>
          <w:tab w:leader="none" w:pos="1560" w:val="left"/>
        </w:tabs>
        <w:rPr>
          <w:sz w:val="20"/>
          <w:szCs w:val="20"/>
          <w:color w:val="auto"/>
        </w:rPr>
      </w:pPr>
      <w:r>
        <w:rPr>
          <w:rFonts w:ascii="Courier New" w:cs="Courier New" w:eastAsia="Courier New" w:hAnsi="Courier New"/>
          <w:sz w:val="18"/>
          <w:szCs w:val="18"/>
          <w:color w:val="auto"/>
        </w:rPr>
        <w:t>Capital, Ltd.</w:t>
      </w:r>
      <w:r>
        <w:rPr>
          <w:sz w:val="20"/>
          <w:szCs w:val="20"/>
          <w:color w:val="auto"/>
        </w:rPr>
        <w:tab/>
      </w:r>
      <w:r>
        <w:rPr>
          <w:rFonts w:ascii="Courier New" w:cs="Courier New" w:eastAsia="Courier New" w:hAnsi="Courier New"/>
          <w:sz w:val="16"/>
          <w:szCs w:val="16"/>
          <w:color w:val="auto"/>
        </w:rPr>
        <w:t>was affixed hereto:</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Witness Signature:</w:t>
      </w:r>
    </w:p>
    <w:p>
      <w:pPr>
        <w:spacing w:after="0" w:line="238" w:lineRule="auto"/>
        <w:tabs>
          <w:tab w:leader="none" w:pos="7880" w:val="left"/>
        </w:tabs>
        <w:rPr>
          <w:sz w:val="20"/>
          <w:szCs w:val="20"/>
          <w:color w:val="auto"/>
        </w:rPr>
      </w:pPr>
      <w:r>
        <w:rPr>
          <w:rFonts w:ascii="Courier New" w:cs="Courier New" w:eastAsia="Courier New" w:hAnsi="Courier New"/>
          <w:sz w:val="18"/>
          <w:szCs w:val="18"/>
          <w:color w:val="auto"/>
        </w:rPr>
        <w:t>/s/James A. Valeo</w:t>
      </w:r>
      <w:r>
        <w:rPr>
          <w:sz w:val="20"/>
          <w:szCs w:val="20"/>
          <w:color w:val="auto"/>
        </w:rPr>
        <w:tab/>
      </w:r>
      <w:r>
        <w:rPr>
          <w:rFonts w:ascii="Courier New" w:cs="Courier New" w:eastAsia="Courier New" w:hAnsi="Courier New"/>
          <w:sz w:val="18"/>
          <w:szCs w:val="18"/>
          <w:color w:val="auto"/>
        </w:rPr>
        <w:t>SEAL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1825 Research Way</w:t>
      </w:r>
    </w:p>
    <w:p>
      <w:pPr>
        <w:spacing w:after="0"/>
        <w:tabs>
          <w:tab w:leader="none" w:pos="2100" w:val="left"/>
          <w:tab w:leader="none" w:pos="4100" w:val="left"/>
        </w:tabs>
        <w:rPr>
          <w:sz w:val="20"/>
          <w:szCs w:val="20"/>
          <w:color w:val="auto"/>
        </w:rPr>
      </w:pPr>
      <w:r>
        <w:rPr>
          <w:rFonts w:ascii="Courier New" w:cs="Courier New" w:eastAsia="Courier New" w:hAnsi="Courier New"/>
          <w:sz w:val="18"/>
          <w:szCs w:val="18"/>
          <w:color w:val="auto"/>
        </w:rPr>
        <w:t>Salt Lake City, UT</w:t>
        <w:tab/>
        <w:t>84119</w:t>
      </w:r>
      <w:r>
        <w:rPr>
          <w:sz w:val="20"/>
          <w:szCs w:val="20"/>
          <w:color w:val="auto"/>
        </w:rPr>
        <w:tab/>
      </w:r>
      <w:r>
        <w:rPr>
          <w:rFonts w:ascii="Courier New" w:cs="Courier New" w:eastAsia="Courier New" w:hAnsi="Courier New"/>
          <w:sz w:val="16"/>
          <w:szCs w:val="16"/>
          <w:color w:val="auto"/>
        </w:rPr>
        <w:t>/s/Michael Pierce, Director</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Attorney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1128" w:right="1440" w:bottom="1440" w:gutter="0" w:footer="0" w:header="0"/>
        </w:sectPr>
      </w:pPr>
    </w:p>
    <w:bookmarkStart w:id="145" w:name="page146"/>
    <w:bookmarkEnd w:id="145"/>
    <w:p>
      <w:pPr>
        <w:ind w:right="1779"/>
        <w:spacing w:after="0" w:line="290" w:lineRule="auto"/>
        <w:rPr>
          <w:sz w:val="20"/>
          <w:szCs w:val="20"/>
          <w:color w:val="auto"/>
        </w:rPr>
      </w:pPr>
      <w:r>
        <w:rPr>
          <w:rFonts w:ascii="Courier New" w:cs="Courier New" w:eastAsia="Courier New" w:hAnsi="Courier New"/>
          <w:sz w:val="16"/>
          <w:szCs w:val="16"/>
          <w:color w:val="auto"/>
        </w:rPr>
        <w:t>================================================================================ Executed as a Deed By Gentner Communications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/s/Frances Flood</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Frances Flood, President</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/s/James A. Valeo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Witness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 Executed as a Deed By Gentner Ventures,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/s/Frances Flood</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Frances Flood, President</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/s/James A. Valeo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Witness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722"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6"/>
          <w:szCs w:val="16"/>
          <w:color w:val="auto"/>
        </w:rPr>
        <w:t>FOR IMMEDIATE RELEASE</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Randall Wichinski, 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w:t>
      </w:r>
    </w:p>
    <w:p>
      <w:pPr>
        <w:spacing w:after="0" w:line="238" w:lineRule="auto"/>
        <w:rPr>
          <w:sz w:val="20"/>
          <w:szCs w:val="20"/>
          <w:color w:val="auto"/>
        </w:rPr>
      </w:pPr>
      <w:r>
        <w:rPr>
          <w:rFonts w:ascii="Courier New" w:cs="Courier New" w:eastAsia="Courier New" w:hAnsi="Courier New"/>
          <w:sz w:val="18"/>
          <w:szCs w:val="18"/>
          <w:color w:val="auto"/>
        </w:rPr>
        <w:t>Phone: 1.801.974.3738, 1.800.945.7730</w:t>
      </w:r>
    </w:p>
    <w:p>
      <w:pPr>
        <w:spacing w:after="0"/>
        <w:rPr>
          <w:sz w:val="20"/>
          <w:szCs w:val="20"/>
          <w:color w:val="auto"/>
        </w:rPr>
      </w:pPr>
      <w:r>
        <w:rPr>
          <w:rFonts w:ascii="Courier New" w:cs="Courier New" w:eastAsia="Courier New" w:hAnsi="Courier New"/>
          <w:sz w:val="18"/>
          <w:szCs w:val="18"/>
          <w:color w:val="auto"/>
        </w:rPr>
        <w:t>Fax: 1.801.977.0087</w:t>
      </w:r>
    </w:p>
    <w:p>
      <w:pPr>
        <w:spacing w:after="0" w:line="237" w:lineRule="auto"/>
        <w:rPr>
          <w:sz w:val="20"/>
          <w:szCs w:val="20"/>
          <w:color w:val="auto"/>
        </w:rPr>
      </w:pPr>
      <w:r>
        <w:rPr>
          <w:rFonts w:ascii="Courier New" w:cs="Courier New" w:eastAsia="Courier New" w:hAnsi="Courier New"/>
          <w:sz w:val="18"/>
          <w:szCs w:val="18"/>
          <w:color w:val="auto"/>
        </w:rPr>
        <w:t>E-mail: randy.wichinski@gentner.com</w:t>
      </w:r>
    </w:p>
    <w:p>
      <w:pPr>
        <w:spacing w:after="0" w:line="200" w:lineRule="exact"/>
        <w:rPr>
          <w:sz w:val="20"/>
          <w:szCs w:val="20"/>
          <w:color w:val="auto"/>
        </w:rPr>
      </w:pPr>
    </w:p>
    <w:p>
      <w:pPr>
        <w:sectPr>
          <w:pgSz w:w="11900" w:h="16838" w:orient="portrait"/>
          <w:cols w:equalWidth="0" w:num="2">
            <w:col w:w="860" w:space="720"/>
            <w:col w:w="863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Acquires International Video Conferencing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SALT LAKE CITY, October 4, 2001--Gentner Communications Corp. (NASDAQ: GTNR) has acquired Ivron Systems (Dublin, Ireland), a worldwide developer and supplier of hardware and software platforms for video conferencing.</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a result of the acquisition, Gentner will immediately begin shipping the VuLink video conferencing product. In addition, the next product in Gentner's video conferencing family remains on schedule to begin shipping in early calendar 2002, and will be unveiled at the Telecon tradeshow (Anaheim, Calif.) October 23, 2001.</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"Having established ourselves as the leader in high-end audio conferencing, this acquisition is yet another step in the repositioning of Gentner," said Frances Flood, president and chief executive officer of Gentner. "We are now positioned as the only company that develops both products and services, offering a comprehensive suite of conferencing solutions.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seasoned Ivron team of more than 20 highly skilled engineers brings to us a wealth of knowledge and experience in the video conferencing market, and we welcome them to the Gentner team," said Flood.</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"Working with Gentner over the past year has confirmed the synergies and compatibility of our two teams. We are tremendously excited about this opportunity and look forward to contributing to Gentner's continued success," said Michael Peirce, Ivron's founder and chairman of the board. "Integral to this success are the provisions made to our employees, thus retaining the intellectual property of the company."</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Under the terms of the agreement, Gentner will purchase all issued and outstanding shares of Ivron for an initial sum of approximately $6 million in cash. Ivron shareholders will also receive approximately 450,000 shares of Gentner stock in July 2002, contingent upon the completion of product development targets.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line with Gentner's profit performance culture, an earn-out provision predicated upon Gentner's existing employee stock option plan was incorporated into this agreement. The plan is designed to maintain the focus on revenue and earnings growth that Gentner's shareholders have come to expect. Under the provision, Ivron can earn up to an additional $9 million in cash and/or stock in fiscal years 2003 and 2004, provided that Gentner achieves a tiered level of earnings per share that is incremental to the existing stock option vesting schedule. The range for fiscal 2003 is from $1.45-$1.69 per share on a fully diluted bases. Should Gentner achieve $1.70 per share or higher in fiscal 2003, then the fiscal 2004 payment of $9 million is accelerated. Detailed pro forma financial information will be provided with the filing of Form 8-K within the next several weeks.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tandem with the acquisition, Peirce will be joining Gentner's board of directors. Peirce is also the chairman and chief executive officer of Mentec International (Dublin, Ireland), a privately-owned IT systems integrator, and chairman of the board for Parthus Technologies Inc. (Dublin, Ireland) Nasdaq: PRTH/LSE: PRH) and AEP Ltd. (Bray, Ireland). He is also currently a member of the advisory board for the National Microelectronics Research Centre in Ireland, a member of the Technology Advisory Panel of the Irish Stock Exchange, and has been president of the Federation of Irish Electronic Industries. Peirce holds bachelor's, master's and doctorate degrees from Trinity College in Dublin.</w:t>
      </w:r>
    </w:p>
    <w:p>
      <w:pPr>
        <w:spacing w:after="0" w:line="18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Gentner will host a conference call to discuss the acquisition today at 11:15 a.m. ET, 9:15 a.m. MT. A live webcast of the call will be available at www.gentner.com. Telephone participants can dial 800.937.6563 (U.S.)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801.983.4013 (international). The webcast will be available for replay beginning one hour after the conclusion of the call and will run through October 11, 2001. A telephone replay will also be available through October 11 at 800.839.0860 (U.S.) or 402.220.1490 (international) with PIN number 1058.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Ivron Systems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Ivron Systems has been the visionary leader in bringing advanced information sharing to video meetings, resulting in faster and better business decision-making. To enhance video-based decision-making, Ivron develops hardware and software platforms that help organizations dynamically share Web-based and</w:t>
      </w:r>
    </w:p>
    <w:p>
      <w:pPr>
        <w:sectPr>
          <w:pgSz w:w="11900" w:h="16838" w:orient="portrait"/>
          <w:cols w:equalWidth="0" w:num="1">
            <w:col w:w="10219"/>
          </w:cols>
          <w:pgMar w:left="240" w:top="142" w:right="1440" w:bottom="0" w:gutter="0" w:footer="0" w:header="0"/>
          <w:type w:val="continuous"/>
        </w:sectPr>
      </w:pPr>
    </w:p>
    <w:bookmarkStart w:id="147" w:name="page148"/>
    <w:bookmarkEnd w:id="147"/>
    <w:p>
      <w:pPr>
        <w:ind w:right="1779"/>
        <w:spacing w:after="0" w:line="235" w:lineRule="auto"/>
        <w:rPr>
          <w:sz w:val="20"/>
          <w:szCs w:val="20"/>
          <w:color w:val="auto"/>
        </w:rPr>
      </w:pPr>
      <w:r>
        <w:rPr>
          <w:rFonts w:ascii="Courier New" w:cs="Courier New" w:eastAsia="Courier New" w:hAnsi="Courier New"/>
          <w:sz w:val="18"/>
          <w:szCs w:val="18"/>
          <w:color w:val="auto"/>
        </w:rPr>
        <w:t>business documents over ISDN and LAN/IP networks. Ivron delivers these solutions through a worldwide network of OEM and channel partners.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Gentner</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Gentner Communications Corp. (www.gentner.com) develops, markets and distributes products and services to the professional communications, broadcast, business and consumer markets. Designed to help lower the cost of doing business by reducing the need for travel, Gentner's products and services include audio and video conferencing systems, and a full suite of teleconferencing services, including full-service conference calling, Instant Access(TM) Conference Calling, and web conferencing. Other offerings include sound reinforcement products, telephone interface products and assistive listening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Disclaimer</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including statements about targeted shipping dates of Gentner's new videoconferencing product and Gentner's success in the video conferencing market, such statement is necessarily forward-looking and made pursuant to the safe harbor provisions of the Securities Litigation Reform Act of 1995. As such, it is subject to the occurrence of many events outside Gentner's control that could cause Gentner's results to differ materially from those anticipated. Please see the risk factors contained in Gentner's reports filed with the SEC, including its most recent annual report on Form 10-KSB and its most recent quarterly report on Form 10-Q.</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1)"/>
      <w:numFmt w:val="lowerLetter"/>
      <w:start w:val="1"/>
    </w:lvl>
  </w:abstractNum>
  <w:abstractNum w:abstractNumId="1">
    <w:nsid w:val="50801EE1"/>
    <w:multiLevelType w:val="hybridMultilevel"/>
    <w:lvl w:ilvl="0">
      <w:lvlJc w:val="left"/>
      <w:lvlText w:val="(%1)"/>
      <w:numFmt w:val="lowerLetter"/>
      <w:start w:val="2"/>
    </w:lvl>
  </w:abstractNum>
  <w:abstractNum w:abstractNumId="2">
    <w:nsid w:val="488AC1A"/>
    <w:multiLevelType w:val="hybridMultilevel"/>
    <w:lvl w:ilvl="0">
      <w:lvlJc w:val="left"/>
      <w:lvlText w:val="(%1)"/>
      <w:numFmt w:val="lowerLetter"/>
      <w:start w:val="3"/>
    </w:lvl>
  </w:abstractNum>
  <w:abstractNum w:abstractNumId="3">
    <w:nsid w:val="5FB8011C"/>
    <w:multiLevelType w:val="hybridMultilevel"/>
    <w:lvl w:ilvl="0">
      <w:lvlJc w:val="left"/>
      <w:lvlText w:val="1"/>
      <w:numFmt w:val="bullet"/>
      <w:start w:val="1"/>
    </w:lvl>
  </w:abstractNum>
  <w:abstractNum w:abstractNumId="4">
    <w:nsid w:val="6AA78F7F"/>
    <w:multiLevelType w:val="hybridMultilevel"/>
    <w:lvl w:ilvl="0">
      <w:lvlJc w:val="left"/>
      <w:lvlText w:val="6"/>
      <w:numFmt w:val="bullet"/>
      <w:start w:val="1"/>
    </w:lvl>
  </w:abstractNum>
  <w:abstractNum w:abstractNumId="5">
    <w:nsid w:val="7672BD23"/>
    <w:multiLevelType w:val="hybridMultilevel"/>
    <w:lvl w:ilvl="0">
      <w:lvlJc w:val="left"/>
      <w:lvlText w:val="%1"/>
      <w:numFmt w:val="decimal"/>
      <w:start w:val="12"/>
    </w:lvl>
  </w:abstractNum>
  <w:abstractNum w:abstractNumId="6">
    <w:nsid w:val="6FC75AF8"/>
    <w:multiLevelType w:val="hybridMultilevel"/>
    <w:lvl w:ilvl="0">
      <w:lvlJc w:val="left"/>
      <w:lvlText w:val="%1"/>
      <w:numFmt w:val="decimal"/>
      <w:start w:val="22"/>
    </w:lvl>
  </w:abstractNum>
  <w:abstractNum w:abstractNumId="7">
    <w:nsid w:val="6A5F7029"/>
    <w:multiLevelType w:val="hybridMultilevel"/>
    <w:lvl w:ilvl="0">
      <w:lvlJc w:val="left"/>
      <w:lvlText w:val="%1"/>
      <w:numFmt w:val="decimal"/>
      <w:start w:val="23"/>
    </w:lvl>
  </w:abstractNum>
  <w:abstractNum w:abstractNumId="8">
    <w:nsid w:val="7D5E18F8"/>
    <w:multiLevelType w:val="hybridMultilevel"/>
    <w:lvl w:ilvl="0">
      <w:lvlJc w:val="left"/>
      <w:lvlText w:val="(%1)"/>
      <w:numFmt w:val="lowerLetter"/>
      <w:start w:val="1"/>
    </w:lvl>
    <w:lvl w:ilvl="1">
      <w:lvlJc w:val="left"/>
      <w:lvlText w:val="(%2)"/>
      <w:numFmt w:val="lowerLetter"/>
      <w:start w:val="9"/>
    </w:lvl>
  </w:abstractNum>
  <w:abstractNum w:abstractNumId="9">
    <w:nsid w:val="5F3534A4"/>
    <w:multiLevelType w:val="hybridMultilevel"/>
    <w:lvl w:ilvl="0">
      <w:lvlJc w:val="left"/>
      <w:lvlText w:val="1"/>
      <w:numFmt w:val="bullet"/>
      <w:start w:val="1"/>
    </w:lvl>
  </w:abstractNum>
  <w:abstractNum w:abstractNumId="10">
    <w:nsid w:val="73A1821B"/>
    <w:multiLevelType w:val="hybridMultilevel"/>
    <w:lvl w:ilvl="0">
      <w:lvlJc w:val="left"/>
      <w:lvlText w:val="6"/>
      <w:numFmt w:val="bullet"/>
      <w:start w:val="1"/>
    </w:lvl>
  </w:abstractNum>
  <w:abstractNum w:abstractNumId="11">
    <w:nsid w:val="7DE67713"/>
    <w:multiLevelType w:val="hybridMultilevel"/>
    <w:lvl w:ilvl="0">
      <w:lvlJc w:val="left"/>
      <w:lvlText w:val="8"/>
      <w:numFmt w:val="bullet"/>
      <w:start w:val="1"/>
    </w:lvl>
  </w:abstractNum>
  <w:abstractNum w:abstractNumId="12">
    <w:nsid w:val="555C55B5"/>
    <w:multiLevelType w:val="hybridMultilevel"/>
    <w:lvl w:ilvl="0">
      <w:lvlJc w:val="left"/>
      <w:lvlText w:val="%1"/>
      <w:numFmt w:val="decimal"/>
      <w:start w:val="17"/>
    </w:lvl>
  </w:abstractNum>
  <w:abstractNum w:abstractNumId="13">
    <w:nsid w:val="3FA62ACA"/>
    <w:multiLevelType w:val="hybridMultilevel"/>
    <w:lvl w:ilvl="0">
      <w:lvlJc w:val="left"/>
      <w:lvlText w:val="%1"/>
      <w:numFmt w:val="decimal"/>
      <w:start w:val="21"/>
    </w:lvl>
  </w:abstractNum>
  <w:abstractNum w:abstractNumId="14">
    <w:nsid w:val="14FCE74E"/>
    <w:multiLevelType w:val="hybridMultilevel"/>
    <w:lvl w:ilvl="0">
      <w:lvlJc w:val="left"/>
      <w:lvlText w:val="%1"/>
      <w:numFmt w:val="decimal"/>
      <w:start w:val="22"/>
    </w:lvl>
  </w:abstractNum>
  <w:abstractNum w:abstractNumId="15">
    <w:nsid w:val="6A3DD3E8"/>
    <w:multiLevelType w:val="hybridMultilevel"/>
    <w:lvl w:ilvl="0">
      <w:lvlJc w:val="left"/>
      <w:lvlText w:val="(%1)"/>
      <w:numFmt w:val="lowerLetter"/>
      <w:start w:val="1"/>
    </w:lvl>
  </w:abstractNum>
  <w:abstractNum w:abstractNumId="16">
    <w:nsid w:val="71C91298"/>
    <w:multiLevelType w:val="hybridMultilevel"/>
    <w:lvl w:ilvl="0">
      <w:lvlJc w:val="left"/>
      <w:lvlText w:val="1"/>
      <w:numFmt w:val="bullet"/>
      <w:start w:val="1"/>
    </w:lvl>
  </w:abstractNum>
  <w:abstractNum w:abstractNumId="17">
    <w:nsid w:val="9DAF632"/>
    <w:multiLevelType w:val="hybridMultilevel"/>
    <w:lvl w:ilvl="0">
      <w:lvlJc w:val="left"/>
      <w:lvlText w:val="6"/>
      <w:numFmt w:val="bullet"/>
      <w:start w:val="1"/>
    </w:lvl>
  </w:abstractNum>
  <w:abstractNum w:abstractNumId="18">
    <w:nsid w:val="53299938"/>
    <w:multiLevelType w:val="hybridMultilevel"/>
    <w:lvl w:ilvl="0">
      <w:lvlJc w:val="left"/>
      <w:lvlText w:val="8"/>
      <w:numFmt w:val="bullet"/>
      <w:start w:val="1"/>
    </w:lvl>
  </w:abstractNum>
  <w:abstractNum w:abstractNumId="19">
    <w:nsid w:val="1FBFE8E0"/>
    <w:multiLevelType w:val="hybridMultilevel"/>
    <w:lvl w:ilvl="0">
      <w:lvlJc w:val="left"/>
      <w:lvlText w:val="%1"/>
      <w:numFmt w:val="decimal"/>
      <w:start w:val="17"/>
    </w:lvl>
  </w:abstractNum>
  <w:abstractNum w:abstractNumId="20">
    <w:nsid w:val="5092CA79"/>
    <w:multiLevelType w:val="hybridMultilevel"/>
    <w:lvl w:ilvl="0">
      <w:lvlJc w:val="left"/>
      <w:lvlText w:val="%1"/>
      <w:numFmt w:val="decimal"/>
      <w:start w:val="21"/>
    </w:lvl>
  </w:abstractNum>
  <w:abstractNum w:abstractNumId="21">
    <w:nsid w:val="1D545C4D"/>
    <w:multiLevelType w:val="hybridMultilevel"/>
    <w:lvl w:ilvl="0">
      <w:lvlJc w:val="left"/>
      <w:lvlText w:val="%1"/>
      <w:numFmt w:val="decimal"/>
      <w:start w:val="22"/>
    </w:lvl>
  </w:abstractNum>
  <w:abstractNum w:abstractNumId="22">
    <w:nsid w:val="59ADEA3D"/>
    <w:multiLevelType w:val="hybridMultilevel"/>
    <w:lvl w:ilvl="0">
      <w:lvlJc w:val="left"/>
      <w:lvlText w:val="(%1)"/>
      <w:numFmt w:val="lowerLetter"/>
      <w:start w:val="1"/>
    </w:lvl>
  </w:abstractNum>
  <w:abstractNum w:abstractNumId="23">
    <w:nsid w:val="288F1A34"/>
    <w:multiLevelType w:val="hybridMultilevel"/>
    <w:lvl w:ilvl="0">
      <w:lvlJc w:val="left"/>
      <w:lvlText w:val="(%1)"/>
      <w:numFmt w:val="upperLetter"/>
      <w:start w:val="1"/>
    </w:lvl>
  </w:abstractNum>
  <w:abstractNum w:abstractNumId="24">
    <w:nsid w:val="2A155DBC"/>
    <w:multiLevelType w:val="hybridMultilevel"/>
    <w:lvl w:ilvl="0">
      <w:lvlJc w:val="left"/>
      <w:lvlText w:val="%1."/>
      <w:numFmt w:val="decimal"/>
      <w:start w:val="1"/>
    </w:lvl>
  </w:abstractNum>
  <w:abstractNum w:abstractNumId="25">
    <w:nsid w:val="1D9F6E5F"/>
    <w:multiLevelType w:val="hybridMultilevel"/>
    <w:lvl w:ilvl="0">
      <w:lvlJc w:val="left"/>
      <w:lvlText w:val="%1."/>
      <w:numFmt w:val="upperLetter"/>
      <w:start w:val="1"/>
    </w:lvl>
  </w:abstractNum>
  <w:abstractNum w:abstractNumId="26">
    <w:nsid w:val="97E1B4E"/>
    <w:multiLevelType w:val="hybridMultilevel"/>
    <w:lvl w:ilvl="0">
      <w:lvlJc w:val="left"/>
      <w:lvlText w:val="%1."/>
      <w:numFmt w:val="upperLetter"/>
      <w:start w:val="2"/>
    </w:lvl>
  </w:abstractNum>
  <w:abstractNum w:abstractNumId="27">
    <w:nsid w:val="51088277"/>
    <w:multiLevelType w:val="hybridMultilevel"/>
    <w:lvl w:ilvl="0">
      <w:lvlJc w:val="left"/>
      <w:lvlText w:val="%1."/>
      <w:numFmt w:val="decimal"/>
      <w:start w:val="1"/>
    </w:lvl>
  </w:abstractNum>
  <w:abstractNum w:abstractNumId="28">
    <w:nsid w:val="1CA0C5FA"/>
    <w:multiLevelType w:val="hybridMultilevel"/>
    <w:lvl w:ilvl="0">
      <w:lvlJc w:val="left"/>
      <w:lvlText w:val="(%1)"/>
      <w:numFmt w:val="lowerLetter"/>
      <w:start w:val="1"/>
    </w:lvl>
  </w:abstractNum>
  <w:abstractNum w:abstractNumId="29">
    <w:nsid w:val="53584BCB"/>
    <w:multiLevelType w:val="hybridMultilevel"/>
    <w:lvl w:ilvl="0">
      <w:lvlJc w:val="left"/>
      <w:lvlText w:val="(%1)"/>
      <w:numFmt w:val="lowerLetter"/>
      <w:start w:val="1"/>
    </w:lvl>
  </w:abstractNum>
  <w:abstractNum w:abstractNumId="30">
    <w:nsid w:val="415E286C"/>
    <w:multiLevelType w:val="hybridMultilevel"/>
    <w:lvl w:ilvl="0">
      <w:lvlJc w:val="left"/>
      <w:lvlText w:val="(%1)"/>
      <w:numFmt w:val="lowerLetter"/>
      <w:start w:val="1"/>
    </w:lvl>
  </w:abstractNum>
  <w:abstractNum w:abstractNumId="31">
    <w:nsid w:val="7C58FD05"/>
    <w:multiLevelType w:val="hybridMultilevel"/>
    <w:lvl w:ilvl="0">
      <w:lvlJc w:val="left"/>
      <w:lvlText w:val="(%1)"/>
      <w:numFmt w:val="lowerLetter"/>
      <w:start w:val="1"/>
    </w:lvl>
  </w:abstractNum>
  <w:abstractNum w:abstractNumId="32">
    <w:nsid w:val="23D86AAC"/>
    <w:multiLevelType w:val="hybridMultilevel"/>
    <w:lvl w:ilvl="0">
      <w:lvlJc w:val="left"/>
      <w:lvlText w:val="(%1)"/>
      <w:numFmt w:val="lowerLetter"/>
      <w:start w:val="5"/>
    </w:lvl>
  </w:abstractNum>
  <w:abstractNum w:abstractNumId="33">
    <w:nsid w:val="45E6D486"/>
    <w:multiLevelType w:val="hybridMultilevel"/>
    <w:lvl w:ilvl="0">
      <w:lvlJc w:val="left"/>
      <w:lvlText w:val="(%1)"/>
      <w:numFmt w:val="lowerLetter"/>
      <w:start w:val="16"/>
    </w:lvl>
  </w:abstractNum>
  <w:abstractNum w:abstractNumId="34">
    <w:nsid w:val="5C10FE21"/>
    <w:multiLevelType w:val="hybridMultilevel"/>
    <w:lvl w:ilvl="0">
      <w:lvlJc w:val="left"/>
      <w:lvlText w:val="(%1)"/>
      <w:numFmt w:val="lowerLetter"/>
      <w:start w:val="1"/>
    </w:lvl>
  </w:abstractNum>
  <w:abstractNum w:abstractNumId="35">
    <w:nsid w:val="E7FFA2B"/>
    <w:multiLevelType w:val="hybridMultilevel"/>
    <w:lvl w:ilvl="0">
      <w:lvlJc w:val="left"/>
      <w:lvlText w:val="(%1)"/>
      <w:numFmt w:val="lowerRoman"/>
      <w:start w:val="1"/>
    </w:lvl>
  </w:abstractNum>
  <w:abstractNum w:abstractNumId="36">
    <w:nsid w:val="3C5991AA"/>
    <w:multiLevelType w:val="hybridMultilevel"/>
    <w:lvl w:ilvl="0">
      <w:lvlJc w:val="left"/>
      <w:lvlText w:val="%1"/>
      <w:numFmt w:val="lowerLetter"/>
      <w:start w:val="1"/>
    </w:lvl>
    <w:lvl w:ilvl="1">
      <w:lvlJc w:val="left"/>
      <w:lvlText w:val="(%2)"/>
      <w:numFmt w:val="decimal"/>
      <w:start w:val="1"/>
    </w:lvl>
  </w:abstractNum>
  <w:abstractNum w:abstractNumId="37">
    <w:nsid w:val="4BD8591A"/>
    <w:multiLevelType w:val="hybridMultilevel"/>
    <w:lvl w:ilvl="0">
      <w:lvlJc w:val="left"/>
      <w:lvlText w:val="(%1)"/>
      <w:numFmt w:val="lowerLetter"/>
      <w:start w:val="5"/>
    </w:lvl>
    <w:lvl w:ilvl="1">
      <w:lvlJc w:val="left"/>
      <w:lvlText w:val="%2"/>
      <w:numFmt w:val="decimal"/>
      <w:start w:val="1"/>
    </w:lvl>
  </w:abstractNum>
  <w:abstractNum w:abstractNumId="38">
    <w:nsid w:val="78DF6A55"/>
    <w:multiLevelType w:val="hybridMultilevel"/>
    <w:lvl w:ilvl="0">
      <w:lvlJc w:val="left"/>
      <w:lvlText w:val="(%1)"/>
      <w:numFmt w:val="lowerRoman"/>
      <w:start w:val="1"/>
    </w:lvl>
  </w:abstractNum>
  <w:abstractNum w:abstractNumId="39">
    <w:nsid w:val="39B7AAA2"/>
    <w:multiLevelType w:val="hybridMultilevel"/>
    <w:lvl w:ilvl="0">
      <w:lvlJc w:val="left"/>
      <w:lvlText w:val="(%1)"/>
      <w:numFmt w:val="decimal"/>
      <w:start w:val="1"/>
    </w:lvl>
  </w:abstractNum>
  <w:abstractNum w:abstractNumId="40">
    <w:nsid w:val="2B0D8DBE"/>
    <w:multiLevelType w:val="hybridMultilevel"/>
    <w:lvl w:ilvl="0">
      <w:lvlJc w:val="left"/>
      <w:lvlText w:val="(%1)"/>
      <w:numFmt w:val="lowerLetter"/>
      <w:start w:val="6"/>
    </w:lvl>
  </w:abstractNum>
  <w:abstractNum w:abstractNumId="41">
    <w:nsid w:val="6C80EC70"/>
    <w:multiLevelType w:val="hybridMultilevel"/>
    <w:lvl w:ilvl="0">
      <w:lvlJc w:val="left"/>
      <w:lvlText w:val="(%1)"/>
      <w:numFmt w:val="lowerLetter"/>
      <w:start w:val="7"/>
    </w:lvl>
  </w:abstractNum>
  <w:abstractNum w:abstractNumId="42">
    <w:nsid w:val="379E21B5"/>
    <w:multiLevelType w:val="hybridMultilevel"/>
    <w:lvl w:ilvl="0">
      <w:lvlJc w:val="left"/>
      <w:lvlText w:val="%1."/>
      <w:numFmt w:val="decimal"/>
      <w:start w:val="5"/>
    </w:lvl>
  </w:abstractNum>
  <w:abstractNum w:abstractNumId="43">
    <w:nsid w:val="69E373"/>
    <w:multiLevelType w:val="hybridMultilevel"/>
    <w:lvl w:ilvl="0">
      <w:lvlJc w:val="left"/>
      <w:lvlText w:val="(%1)"/>
      <w:numFmt w:val="lowerLetter"/>
      <w:start w:val="1"/>
    </w:lvl>
  </w:abstractNum>
  <w:abstractNum w:abstractNumId="44">
    <w:nsid w:val="2C27173B"/>
    <w:multiLevelType w:val="hybridMultilevel"/>
    <w:lvl w:ilvl="0">
      <w:lvlJc w:val="left"/>
      <w:lvlText w:val="(%1)"/>
      <w:numFmt w:val="lowerLetter"/>
      <w:start w:val="2"/>
    </w:lvl>
  </w:abstractNum>
  <w:abstractNum w:abstractNumId="45">
    <w:nsid w:val="4C9B0904"/>
    <w:multiLevelType w:val="hybridMultilevel"/>
    <w:lvl w:ilvl="0">
      <w:lvlJc w:val="left"/>
      <w:lvlText w:val="(%1)"/>
      <w:numFmt w:val="lowerRoman"/>
      <w:start w:val="1"/>
    </w:lvl>
  </w:abstractNum>
  <w:abstractNum w:abstractNumId="46">
    <w:nsid w:val="6AA7B75C"/>
    <w:multiLevelType w:val="hybridMultilevel"/>
    <w:lvl w:ilvl="0">
      <w:lvlJc w:val="left"/>
      <w:lvlText w:val="(%1)"/>
      <w:numFmt w:val="lowerLetter"/>
      <w:start w:val="6"/>
    </w:lvl>
  </w:abstractNum>
  <w:abstractNum w:abstractNumId="47">
    <w:nsid w:val="1DF029D3"/>
    <w:multiLevelType w:val="hybridMultilevel"/>
    <w:lvl w:ilvl="0">
      <w:lvlJc w:val="left"/>
      <w:lvlText w:val="(%1)"/>
      <w:numFmt w:val="lowerRoman"/>
      <w:start w:val="1"/>
    </w:lvl>
  </w:abstractNum>
  <w:abstractNum w:abstractNumId="48">
    <w:nsid w:val="5675FF36"/>
    <w:multiLevelType w:val="hybridMultilevel"/>
    <w:lvl w:ilvl="0">
      <w:lvlJc w:val="left"/>
      <w:lvlText w:val="(%1)"/>
      <w:numFmt w:val="lowerRoman"/>
      <w:start w:val="5"/>
    </w:lvl>
  </w:abstractNum>
  <w:abstractNum w:abstractNumId="49">
    <w:nsid w:val="3DD15094"/>
    <w:multiLevelType w:val="hybridMultilevel"/>
    <w:lvl w:ilvl="0">
      <w:lvlJc w:val="left"/>
      <w:lvlText w:val="(%1)"/>
      <w:numFmt w:val="lowerLetter"/>
      <w:start w:val="1"/>
    </w:lvl>
  </w:abstractNum>
  <w:abstractNum w:abstractNumId="50">
    <w:nsid w:val="3DB012B3"/>
    <w:multiLevelType w:val="hybridMultilevel"/>
    <w:lvl w:ilvl="0">
      <w:lvlJc w:val="left"/>
      <w:lvlText w:val="(%1)"/>
      <w:numFmt w:val="lowerLetter"/>
      <w:start w:val="1"/>
    </w:lvl>
  </w:abstractNum>
  <w:abstractNum w:abstractNumId="51">
    <w:nsid w:val="2708C9AF"/>
    <w:multiLevelType w:val="hybridMultilevel"/>
    <w:lvl w:ilvl="0">
      <w:lvlJc w:val="left"/>
      <w:lvlText w:val="(%1)"/>
      <w:numFmt w:val="lowerLetter"/>
      <w:start w:val="1"/>
    </w:lvl>
  </w:abstractNum>
  <w:abstractNum w:abstractNumId="52">
    <w:nsid w:val="5B25ACE2"/>
    <w:multiLevelType w:val="hybridMultilevel"/>
    <w:lvl w:ilvl="0">
      <w:lvlJc w:val="left"/>
      <w:lvlText w:val="%1."/>
      <w:numFmt w:val="decimal"/>
      <w:start w:val="6"/>
    </w:lvl>
  </w:abstractNum>
  <w:abstractNum w:abstractNumId="53">
    <w:nsid w:val="175DFCF0"/>
    <w:multiLevelType w:val="hybridMultilevel"/>
    <w:lvl w:ilvl="0">
      <w:lvlJc w:val="left"/>
      <w:lvlText w:val="%1."/>
      <w:numFmt w:val="decimal"/>
      <w:start w:val="7"/>
    </w:lvl>
  </w:abstractNum>
  <w:abstractNum w:abstractNumId="54">
    <w:nsid w:val="4F97E3E4"/>
    <w:multiLevelType w:val="hybridMultilevel"/>
    <w:lvl w:ilvl="0">
      <w:lvlJc w:val="left"/>
      <w:lvlText w:val="(%1)"/>
      <w:numFmt w:val="lowerLetter"/>
      <w:start w:val="1"/>
    </w:lvl>
  </w:abstractNum>
  <w:abstractNum w:abstractNumId="55">
    <w:nsid w:val="53B0A9E"/>
    <w:multiLevelType w:val="hybridMultilevel"/>
    <w:lvl w:ilvl="0">
      <w:lvlJc w:val="left"/>
      <w:lvlText w:val="(%1)"/>
      <w:numFmt w:val="lowerLetter"/>
      <w:start w:val="1"/>
    </w:lvl>
  </w:abstractNum>
  <w:abstractNum w:abstractNumId="56">
    <w:nsid w:val="34FD6B4F"/>
    <w:multiLevelType w:val="hybridMultilevel"/>
    <w:lvl w:ilvl="0">
      <w:lvlJc w:val="left"/>
      <w:lvlText w:val="(%1)"/>
      <w:numFmt w:val="lowerRoman"/>
      <w:start w:val="1"/>
    </w:lvl>
  </w:abstractNum>
  <w:abstractNum w:abstractNumId="57">
    <w:nsid w:val="5915FF32"/>
    <w:multiLevelType w:val="hybridMultilevel"/>
    <w:lvl w:ilvl="0">
      <w:lvlJc w:val="left"/>
      <w:lvlText w:val="(%1)"/>
      <w:numFmt w:val="lowerLetter"/>
      <w:start w:val="1"/>
    </w:lvl>
  </w:abstractNum>
  <w:abstractNum w:abstractNumId="58">
    <w:nsid w:val="56438D15"/>
    <w:multiLevelType w:val="hybridMultilevel"/>
    <w:lvl w:ilvl="0">
      <w:lvlJc w:val="left"/>
      <w:lvlText w:val="(%1)"/>
      <w:numFmt w:val="lowerLetter"/>
      <w:start w:val="1"/>
    </w:lvl>
    <w:lvl w:ilvl="1">
      <w:lvlJc w:val="left"/>
      <w:lvlText w:val="(%2)"/>
      <w:numFmt w:val="lowerRoman"/>
      <w:start w:val="1"/>
    </w:lvl>
  </w:abstractNum>
  <w:abstractNum w:abstractNumId="59">
    <w:nsid w:val="519E3149"/>
    <w:multiLevelType w:val="hybridMultilevel"/>
    <w:lvl w:ilvl="0">
      <w:lvlJc w:val="left"/>
      <w:lvlText w:val="(%1)"/>
      <w:numFmt w:val="lowerLetter"/>
      <w:start w:val="2"/>
    </w:lvl>
    <w:lvl w:ilvl="1">
      <w:lvlJc w:val="left"/>
      <w:lvlText w:val="(%2)"/>
      <w:numFmt w:val="lowerRoman"/>
      <w:start w:val="1"/>
    </w:lvl>
  </w:abstractNum>
  <w:abstractNum w:abstractNumId="60">
    <w:nsid w:val="2C6E4AFD"/>
    <w:multiLevelType w:val="hybridMultilevel"/>
    <w:lvl w:ilvl="0">
      <w:lvlJc w:val="left"/>
      <w:lvlText w:val="%1."/>
      <w:numFmt w:val="decimal"/>
      <w:start w:val="8"/>
    </w:lvl>
  </w:abstractNum>
  <w:abstractNum w:abstractNumId="61">
    <w:nsid w:val="17A1B582"/>
    <w:multiLevelType w:val="hybridMultilevel"/>
    <w:lvl w:ilvl="0">
      <w:lvlJc w:val="left"/>
      <w:lvlText w:val="(%1)"/>
      <w:numFmt w:val="lowerLetter"/>
      <w:start w:val="1"/>
    </w:lvl>
  </w:abstractNum>
  <w:abstractNum w:abstractNumId="62">
    <w:nsid w:val="4DF72E4E"/>
    <w:multiLevelType w:val="hybridMultilevel"/>
    <w:lvl w:ilvl="0">
      <w:lvlJc w:val="left"/>
      <w:lvlText w:val="(%1)"/>
      <w:numFmt w:val="lowerLetter"/>
      <w:start w:val="2"/>
    </w:lvl>
  </w:abstractNum>
  <w:abstractNum w:abstractNumId="63">
    <w:nsid w:val="5046B5A9"/>
    <w:multiLevelType w:val="hybridMultilevel"/>
    <w:lvl w:ilvl="0">
      <w:lvlJc w:val="left"/>
      <w:lvlText w:val="%1"/>
      <w:numFmt w:val="decimal"/>
      <w:start w:val="1"/>
    </w:lvl>
    <w:lvl w:ilvl="1">
      <w:lvlJc w:val="left"/>
      <w:lvlText w:val="(%2)"/>
      <w:numFmt w:val="lowerLetter"/>
      <w:start w:val="1"/>
    </w:lvl>
  </w:abstractNum>
  <w:abstractNum w:abstractNumId="64">
    <w:nsid w:val="5D888A08"/>
    <w:multiLevelType w:val="hybridMultilevel"/>
    <w:lvl w:ilvl="0">
      <w:lvlJc w:val="left"/>
      <w:lvlText w:val="%1."/>
      <w:numFmt w:val="decimal"/>
      <w:start w:val="9"/>
    </w:lvl>
    <w:lvl w:ilvl="1">
      <w:lvlJc w:val="left"/>
      <w:lvlText w:val="%2"/>
      <w:numFmt w:val="lowerLetter"/>
      <w:start w:val="1"/>
    </w:lvl>
  </w:abstractNum>
  <w:abstractNum w:abstractNumId="65">
    <w:nsid w:val="2A082C70"/>
    <w:multiLevelType w:val="hybridMultilevel"/>
    <w:lvl w:ilvl="0">
      <w:lvlJc w:val="left"/>
      <w:lvlText w:val="(%1)"/>
      <w:numFmt w:val="lowerLetter"/>
      <w:start w:val="1"/>
    </w:lvl>
  </w:abstractNum>
  <w:abstractNum w:abstractNumId="66">
    <w:nsid w:val="5EC6AFD4"/>
    <w:multiLevelType w:val="hybridMultilevel"/>
    <w:lvl w:ilvl="0">
      <w:lvlJc w:val="left"/>
      <w:lvlText w:val="%1."/>
      <w:numFmt w:val="decimal"/>
      <w:start w:val="10"/>
    </w:lvl>
  </w:abstractNum>
  <w:abstractNum w:abstractNumId="67">
    <w:nsid w:val="19E21BB2"/>
    <w:multiLevelType w:val="hybridMultilevel"/>
    <w:lvl w:ilvl="0">
      <w:lvlJc w:val="left"/>
      <w:lvlText w:val="(%1)"/>
      <w:numFmt w:val="lowerLetter"/>
      <w:start w:val="1"/>
    </w:lvl>
  </w:abstractNum>
  <w:abstractNum w:abstractNumId="68">
    <w:nsid w:val="75E0858A"/>
    <w:multiLevelType w:val="hybridMultilevel"/>
    <w:lvl w:ilvl="0">
      <w:lvlJc w:val="left"/>
      <w:lvlText w:val="(%1)"/>
      <w:numFmt w:val="lowerLetter"/>
      <w:start w:val="1"/>
    </w:lvl>
  </w:abstractNum>
  <w:abstractNum w:abstractNumId="69">
    <w:nsid w:val="57A61A29"/>
    <w:multiLevelType w:val="hybridMultilevel"/>
    <w:lvl w:ilvl="0">
      <w:lvlJc w:val="left"/>
      <w:lvlText w:val="%1."/>
      <w:numFmt w:val="decimal"/>
      <w:start w:val="11"/>
    </w:lvl>
  </w:abstractNum>
  <w:abstractNum w:abstractNumId="70">
    <w:nsid w:val="5399C654"/>
    <w:multiLevelType w:val="hybridMultilevel"/>
    <w:lvl w:ilvl="0">
      <w:lvlJc w:val="left"/>
      <w:lvlText w:val="(%1)"/>
      <w:numFmt w:val="lowerLetter"/>
      <w:start w:val="1"/>
    </w:lvl>
  </w:abstractNum>
  <w:abstractNum w:abstractNumId="71">
    <w:nsid w:val="20EE1348"/>
    <w:multiLevelType w:val="hybridMultilevel"/>
    <w:lvl w:ilvl="0">
      <w:lvlJc w:val="left"/>
      <w:lvlText w:val="(%1)"/>
      <w:numFmt w:val="lowerLetter"/>
      <w:start w:val="2"/>
    </w:lvl>
  </w:abstractNum>
  <w:abstractNum w:abstractNumId="72">
    <w:nsid w:val="4427069A"/>
    <w:multiLevelType w:val="hybridMultilevel"/>
    <w:lvl w:ilvl="0">
      <w:lvlJc w:val="left"/>
      <w:lvlText w:val="(%1)"/>
      <w:numFmt w:val="lowerLetter"/>
      <w:start w:val="1"/>
    </w:lvl>
  </w:abstractNum>
  <w:abstractNum w:abstractNumId="73">
    <w:nsid w:val="B37E80A"/>
    <w:multiLevelType w:val="hybridMultilevel"/>
    <w:lvl w:ilvl="0">
      <w:lvlJc w:val="left"/>
      <w:lvlText w:val="%1."/>
      <w:numFmt w:val="decimal"/>
      <w:start w:val="12"/>
    </w:lvl>
  </w:abstractNum>
  <w:abstractNum w:abstractNumId="74">
    <w:nsid w:val="2157F6BC"/>
    <w:multiLevelType w:val="hybridMultilevel"/>
    <w:lvl w:ilvl="0">
      <w:lvlJc w:val="left"/>
      <w:lvlText w:val="(%1)"/>
      <w:numFmt w:val="lowerLetter"/>
      <w:start w:val="1"/>
    </w:lvl>
  </w:abstractNum>
  <w:abstractNum w:abstractNumId="75">
    <w:nsid w:val="704E1DD5"/>
    <w:multiLevelType w:val="hybridMultilevel"/>
    <w:lvl w:ilvl="0">
      <w:lvlJc w:val="left"/>
      <w:lvlText w:val="(%1)"/>
      <w:numFmt w:val="lowerRoman"/>
      <w:start w:val="1"/>
    </w:lvl>
  </w:abstractNum>
  <w:abstractNum w:abstractNumId="76">
    <w:nsid w:val="57D2F10E"/>
    <w:multiLevelType w:val="hybridMultilevel"/>
    <w:lvl w:ilvl="0">
      <w:lvlJc w:val="left"/>
      <w:lvlText w:val="%1."/>
      <w:numFmt w:val="decimal"/>
      <w:start w:val="1"/>
    </w:lvl>
  </w:abstractNum>
  <w:abstractNum w:abstractNumId="77">
    <w:nsid w:val="BFFAE18"/>
    <w:multiLevelType w:val="hybridMultilevel"/>
    <w:lvl w:ilvl="0">
      <w:lvlJc w:val="left"/>
      <w:lvlText w:val="%1."/>
      <w:numFmt w:val="decimal"/>
      <w:start w:val="6"/>
    </w:lvl>
  </w:abstractNum>
  <w:abstractNum w:abstractNumId="78">
    <w:nsid w:val="E3E47A8"/>
    <w:multiLevelType w:val="hybridMultilevel"/>
    <w:lvl w:ilvl="0">
      <w:lvlJc w:val="left"/>
      <w:lvlText w:val="(%1)"/>
      <w:numFmt w:val="decimal"/>
      <w:start w:val="1"/>
    </w:lvl>
  </w:abstractNum>
  <w:abstractNum w:abstractNumId="79">
    <w:nsid w:val="2E48F044"/>
    <w:multiLevelType w:val="hybridMultilevel"/>
    <w:lvl w:ilvl="0">
      <w:lvlJc w:val="left"/>
      <w:lvlText w:val="(%1)"/>
      <w:numFmt w:val="decimal"/>
      <w:start w:val="3"/>
    </w:lvl>
  </w:abstractNum>
  <w:abstractNum w:abstractNumId="80">
    <w:nsid w:val="49D0FEAC"/>
    <w:multiLevelType w:val="hybridMultilevel"/>
    <w:lvl w:ilvl="0">
      <w:lvlJc w:val="left"/>
      <w:lvlText w:val="%1."/>
      <w:numFmt w:val="decimal"/>
      <w:start w:val="7"/>
    </w:lvl>
  </w:abstractNum>
  <w:abstractNum w:abstractNumId="81">
    <w:nsid w:val="4BEE5A5B"/>
    <w:multiLevelType w:val="hybridMultilevel"/>
    <w:lvl w:ilvl="0">
      <w:lvlJc w:val="left"/>
      <w:lvlText w:val="(%1)"/>
      <w:numFmt w:val="decimal"/>
      <w:start w:val="1"/>
    </w:lvl>
  </w:abstractNum>
  <w:abstractNum w:abstractNumId="82">
    <w:nsid w:val="5551B9F3"/>
    <w:multiLevelType w:val="hybridMultilevel"/>
    <w:lvl w:ilvl="0">
      <w:lvlJc w:val="left"/>
      <w:lvlText w:val="%1."/>
      <w:numFmt w:val="decimal"/>
      <w:start w:val="8"/>
    </w:lvl>
    <w:lvl w:ilvl="1">
      <w:lvlJc w:val="left"/>
      <w:lvlText w:val="(%2)"/>
      <w:numFmt w:val="lowerLetter"/>
      <w:start w:val="1"/>
    </w:lvl>
  </w:abstractNum>
  <w:abstractNum w:abstractNumId="83">
    <w:nsid w:val="24F6AB8E"/>
    <w:multiLevelType w:val="hybridMultilevel"/>
    <w:lvl w:ilvl="0">
      <w:lvlJc w:val="left"/>
      <w:lvlText w:val="(%1)"/>
      <w:numFmt w:val="decimal"/>
      <w:start w:val="1"/>
    </w:lvl>
  </w:abstractNum>
  <w:abstractNum w:abstractNumId="84">
    <w:nsid w:val="634C574C"/>
    <w:multiLevelType w:val="hybridMultilevel"/>
    <w:lvl w:ilvl="0">
      <w:lvlJc w:val="left"/>
      <w:lvlText w:val="(%1)"/>
      <w:numFmt w:val="decimal"/>
      <w:start w:val="2"/>
    </w:lvl>
  </w:abstractNum>
  <w:abstractNum w:abstractNumId="85">
    <w:nsid w:val="24E99DD7"/>
    <w:multiLevelType w:val="hybridMultilevel"/>
    <w:lvl w:ilvl="0">
      <w:lvlJc w:val="left"/>
      <w:lvlText w:val="%1."/>
      <w:numFmt w:val="decimal"/>
      <w:start w:val="10"/>
    </w:lvl>
  </w:abstractNum>
  <w:abstractNum w:abstractNumId="86">
    <w:nsid w:val="2A31B62D"/>
    <w:multiLevelType w:val="hybridMultilevel"/>
    <w:lvl w:ilvl="0">
      <w:lvlJc w:val="left"/>
      <w:lvlText w:val="(%1)"/>
      <w:numFmt w:val="decimal"/>
      <w:start w:val="1"/>
    </w:lvl>
  </w:abstractNum>
  <w:abstractNum w:abstractNumId="87">
    <w:nsid w:val="1849C29B"/>
    <w:multiLevelType w:val="hybridMultilevel"/>
    <w:lvl w:ilvl="0">
      <w:lvlJc w:val="left"/>
      <w:lvlText w:val="%1."/>
      <w:numFmt w:val="decimal"/>
      <w:start w:val="12"/>
    </w:lvl>
  </w:abstractNum>
  <w:abstractNum w:abstractNumId="88">
    <w:nsid w:val="7DFF9D09"/>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2"/>
    </w:lvl>
  </w:abstractNum>
  <w:abstractNum w:abstractNumId="89">
    <w:nsid w:val="754342"/>
    <w:multiLevelType w:val="hybridMultilevel"/>
    <w:lvl w:ilvl="0">
      <w:lvlJc w:val="left"/>
      <w:lvlText w:val="%1."/>
      <w:numFmt w:val="decimal"/>
      <w:start w:val="15"/>
    </w:lvl>
    <w:lvl w:ilvl="1">
      <w:lvlJc w:val="left"/>
      <w:lvlText w:val="(%2)"/>
      <w:numFmt w:val="lowerLetter"/>
      <w:start w:val="1"/>
    </w:lvl>
  </w:abstractNum>
  <w:abstractNum w:abstractNumId="90">
    <w:nsid w:val="69E7F3E5"/>
    <w:multiLevelType w:val="hybridMultilevel"/>
    <w:lvl w:ilvl="0">
      <w:lvlJc w:val="left"/>
      <w:lvlText w:val="%1."/>
      <w:numFmt w:val="decimal"/>
      <w:start w:val="17"/>
    </w:lvl>
  </w:abstractNum>
  <w:abstractNum w:abstractNumId="91">
    <w:nsid w:val="2A6DE806"/>
    <w:multiLevelType w:val="hybridMultilevel"/>
    <w:lvl w:ilvl="0">
      <w:lvlJc w:val="left"/>
      <w:lvlText w:val="%1."/>
      <w:numFmt w:val="decimal"/>
      <w:start w:val="21"/>
    </w:lvl>
    <w:lvl w:ilvl="1">
      <w:lvlJc w:val="left"/>
      <w:lvlText w:val="(%2)"/>
      <w:numFmt w:val="lowerLetter"/>
      <w:start w:val="1"/>
    </w:lvl>
  </w:abstractNum>
  <w:abstractNum w:abstractNumId="92">
    <w:nsid w:val="1816F8C4"/>
    <w:multiLevelType w:val="hybridMultilevel"/>
    <w:lvl w:ilvl="0">
      <w:lvlJc w:val="left"/>
      <w:lvlText w:val="%1."/>
      <w:numFmt w:val="decimal"/>
      <w:start w:val="22"/>
    </w:lvl>
    <w:lvl w:ilvl="1">
      <w:lvlJc w:val="left"/>
      <w:lvlText w:val="(%2)"/>
      <w:numFmt w:val="lowerLetter"/>
      <w:start w:val="1"/>
    </w:lvl>
  </w:abstractNum>
  <w:abstractNum w:abstractNumId="93">
    <w:nsid w:val="37DF2233"/>
    <w:multiLevelType w:val="hybridMultilevel"/>
    <w:lvl w:ilvl="0">
      <w:lvlJc w:val="left"/>
      <w:lvlText w:val="%1."/>
      <w:numFmt w:val="decimal"/>
      <w:start w:val="26"/>
    </w:lvl>
    <w:lvl w:ilvl="1">
      <w:lvlJc w:val="left"/>
      <w:lvlText w:val="(%2)"/>
      <w:numFmt w:val="lowerLetter"/>
      <w:start w:val="1"/>
    </w:lvl>
  </w:abstractNum>
  <w:abstractNum w:abstractNumId="94">
    <w:nsid w:val="7AB49DAF"/>
    <w:multiLevelType w:val="hybridMultilevel"/>
    <w:lvl w:ilvl="0">
      <w:lvlJc w:val="left"/>
      <w:lvlText w:val="%1"/>
      <w:numFmt w:val="decimal"/>
      <w:start w:val="1"/>
    </w:lvl>
    <w:lvl w:ilvl="1">
      <w:lvlJc w:val="left"/>
      <w:lvlText w:val="(%2)"/>
      <w:numFmt w:val="lowerLetter"/>
      <w:start w:val="2"/>
    </w:lvl>
  </w:abstractNum>
  <w:abstractNum w:abstractNumId="95">
    <w:nsid w:val="759F82CD"/>
    <w:multiLevelType w:val="hybridMultilevel"/>
    <w:lvl w:ilvl="0">
      <w:lvlJc w:val="left"/>
      <w:lvlText w:val="%1."/>
      <w:numFmt w:val="decimal"/>
      <w:start w:val="27"/>
    </w:lvl>
    <w:lvl w:ilvl="1">
      <w:lvlJc w:val="left"/>
      <w:lvlText w:val="%2"/>
      <w:numFmt w:val="lowerLetter"/>
      <w:start w:val="1"/>
    </w:lvl>
  </w:abstractNum>
  <w:abstractNum w:abstractNumId="96">
    <w:nsid w:val="61E74EA3"/>
    <w:multiLevelType w:val="hybridMultilevel"/>
    <w:lvl w:ilvl="0">
      <w:lvlJc w:val="left"/>
      <w:lvlText w:val="%1."/>
      <w:numFmt w:val="decimal"/>
      <w:start w:val="28"/>
    </w:lvl>
  </w:abstractNum>
  <w:abstractNum w:abstractNumId="97">
    <w:nsid w:val="597B4D84"/>
    <w:multiLevelType w:val="hybridMultilevel"/>
    <w:lvl w:ilvl="0">
      <w:lvlJc w:val="left"/>
      <w:lvlText w:val="%1."/>
      <w:numFmt w:val="decimal"/>
      <w:start w:val="33"/>
    </w:lvl>
    <w:lvl w:ilvl="1">
      <w:lvlJc w:val="left"/>
      <w:lvlText w:val="(%2)"/>
      <w:numFmt w:val="lowerLetter"/>
      <w:start w:val="1"/>
    </w:lvl>
  </w:abstractNum>
  <w:abstractNum w:abstractNumId="98">
    <w:nsid w:val="F819E7F"/>
    <w:multiLevelType w:val="hybridMultilevel"/>
    <w:lvl w:ilvl="0">
      <w:lvlJc w:val="left"/>
      <w:lvlText w:val="%1."/>
      <w:numFmt w:val="decimal"/>
      <w:start w:val="35"/>
    </w:lvl>
  </w:abstractNum>
  <w:abstractNum w:abstractNumId="99">
    <w:nsid w:val="57C7D42D"/>
    <w:multiLevelType w:val="hybridMultilevel"/>
    <w:lvl w:ilvl="0">
      <w:lvlJc w:val="left"/>
      <w:lvlText w:val="%1."/>
      <w:numFmt w:val="decimal"/>
      <w:start w:val="36"/>
    </w:lvl>
  </w:abstractNum>
  <w:abstractNum w:abstractNumId="100">
    <w:nsid w:val="312167AD"/>
    <w:multiLevelType w:val="hybridMultilevel"/>
    <w:lvl w:ilvl="0">
      <w:lvlJc w:val="left"/>
      <w:lvlText w:val="(%1)"/>
      <w:numFmt w:val="decimal"/>
      <w:start w:val="1"/>
    </w:lvl>
  </w:abstractNum>
  <w:abstractNum w:abstractNumId="101">
    <w:nsid w:val="631B64D4"/>
    <w:multiLevelType w:val="hybridMultilevel"/>
    <w:lvl w:ilvl="0">
      <w:lvlJc w:val="left"/>
      <w:lvlText w:val="(%1)"/>
      <w:numFmt w:val="decimal"/>
      <w:start w:val="3"/>
    </w:lvl>
  </w:abstractNum>
  <w:abstractNum w:abstractNumId="102">
    <w:nsid w:val="78B5E776"/>
    <w:multiLevelType w:val="hybridMultilevel"/>
    <w:lvl w:ilvl="0">
      <w:lvlJc w:val="left"/>
      <w:lvlText w:val="%1."/>
      <w:numFmt w:val="decimal"/>
      <w:start w:val="37"/>
    </w:lvl>
    <w:lvl w:ilvl="1">
      <w:lvlJc w:val="left"/>
      <w:lvlText w:val="(%2)"/>
      <w:numFmt w:val="lowerLetter"/>
      <w:start w:val="1"/>
    </w:lvl>
  </w:abstractNum>
  <w:abstractNum w:abstractNumId="103">
    <w:nsid w:val="75486E47"/>
    <w:multiLevelType w:val="hybridMultilevel"/>
    <w:lvl w:ilvl="0">
      <w:lvlJc w:val="left"/>
      <w:lvlText w:val="(%1)"/>
      <w:numFmt w:val="decimal"/>
      <w:start w:val="1"/>
    </w:lvl>
  </w:abstractNum>
  <w:abstractNum w:abstractNumId="104">
    <w:nsid w:val="6E534CDE"/>
    <w:multiLevelType w:val="hybridMultilevel"/>
    <w:lvl w:ilvl="0">
      <w:lvlJc w:val="left"/>
      <w:lvlText w:val="(%1)"/>
      <w:numFmt w:val="decimal"/>
      <w:start w:val="2"/>
    </w:lvl>
  </w:abstractNum>
  <w:abstractNum w:abstractNumId="105">
    <w:nsid w:val="1A0DDE32"/>
    <w:multiLevelType w:val="hybridMultilevel"/>
    <w:lvl w:ilvl="0">
      <w:lvlJc w:val="left"/>
      <w:lvlText w:val="%1."/>
      <w:numFmt w:val="decimal"/>
      <w:start w:val="40"/>
    </w:lvl>
  </w:abstractNum>
  <w:abstractNum w:abstractNumId="106">
    <w:nsid w:val="65968C1C"/>
    <w:multiLevelType w:val="hybridMultilevel"/>
    <w:lvl w:ilvl="0">
      <w:lvlJc w:val="left"/>
      <w:lvlText w:val="(%1)"/>
      <w:numFmt w:val="decimal"/>
      <w:start w:val="1"/>
    </w:lvl>
  </w:abstractNum>
  <w:abstractNum w:abstractNumId="107">
    <w:nsid w:val="46263DEC"/>
    <w:multiLevelType w:val="hybridMultilevel"/>
    <w:lvl w:ilvl="0">
      <w:lvlJc w:val="left"/>
      <w:lvlText w:val="%1."/>
      <w:numFmt w:val="decimal"/>
      <w:start w:val="42"/>
    </w:lvl>
  </w:abstractNum>
  <w:abstractNum w:abstractNumId="108">
    <w:nsid w:val="260D8C4A"/>
    <w:multiLevelType w:val="hybridMultilevel"/>
    <w:lvl w:ilvl="0">
      <w:lvlJc w:val="left"/>
      <w:lvlText w:val="%1."/>
      <w:numFmt w:val="decimal"/>
      <w:start w:val="44"/>
    </w:lvl>
  </w:abstractNum>
  <w:abstractNum w:abstractNumId="109">
    <w:nsid w:val="73D4D3C4"/>
    <w:multiLevelType w:val="hybridMultilevel"/>
    <w:lvl w:ilvl="0">
      <w:lvlJc w:val="left"/>
      <w:lvlText w:val="(%1)"/>
      <w:numFmt w:val="decimal"/>
      <w:start w:val="1"/>
    </w:lvl>
  </w:abstractNum>
  <w:abstractNum w:abstractNumId="110">
    <w:nsid w:val="746F2E30"/>
    <w:multiLevelType w:val="hybridMultilevel"/>
    <w:lvl w:ilvl="0">
      <w:lvlJc w:val="left"/>
      <w:lvlText w:val="%1."/>
      <w:numFmt w:val="decimal"/>
      <w:start w:val="45"/>
    </w:lvl>
    <w:lvl w:ilvl="1">
      <w:lvlJc w:val="left"/>
      <w:lvlText w:val="(%2)"/>
      <w:numFmt w:val="lowerLetter"/>
      <w:start w:val="1"/>
    </w:lvl>
  </w:abstractNum>
  <w:abstractNum w:abstractNumId="111">
    <w:nsid w:val="6FDE8AF6"/>
    <w:multiLevelType w:val="hybridMultilevel"/>
    <w:lvl w:ilvl="0">
      <w:lvlJc w:val="left"/>
      <w:lvlText w:val="%1."/>
      <w:numFmt w:val="decimal"/>
      <w:start w:val="50"/>
    </w:lvl>
  </w:abstractNum>
  <w:abstractNum w:abstractNumId="112">
    <w:nsid w:val="3FC32E20"/>
    <w:multiLevelType w:val="hybridMultilevel"/>
    <w:lvl w:ilvl="0">
      <w:lvlJc w:val="left"/>
      <w:lvlText w:val="(%1)"/>
      <w:numFmt w:val="decimal"/>
      <w:start w:val="1"/>
    </w:lvl>
  </w:abstractNum>
  <w:abstractNum w:abstractNumId="113">
    <w:nsid w:val="49C0E823"/>
    <w:multiLevelType w:val="hybridMultilevel"/>
    <w:lvl w:ilvl="0">
      <w:lvlJc w:val="left"/>
      <w:lvlText w:val="(%1)"/>
      <w:numFmt w:val="decimal"/>
      <w:start w:val="2"/>
    </w:lvl>
  </w:abstractNum>
  <w:abstractNum w:abstractNumId="114">
    <w:nsid w:val="14D53685"/>
    <w:multiLevelType w:val="hybridMultilevel"/>
    <w:lvl w:ilvl="0">
      <w:lvlJc w:val="left"/>
      <w:lvlText w:val="%1."/>
      <w:numFmt w:val="decimal"/>
      <w:start w:val="51"/>
    </w:lvl>
  </w:abstractNum>
  <w:abstractNum w:abstractNumId="115">
    <w:nsid w:val="230F856C"/>
    <w:multiLevelType w:val="hybridMultilevel"/>
    <w:lvl w:ilvl="0">
      <w:lvlJc w:val="left"/>
      <w:lvlText w:val="%1."/>
      <w:numFmt w:val="decimal"/>
      <w:start w:val="55"/>
    </w:lvl>
  </w:abstractNum>
  <w:abstractNum w:abstractNumId="116">
    <w:nsid w:val="6EAA85FB"/>
    <w:multiLevelType w:val="hybridMultilevel"/>
    <w:lvl w:ilvl="0">
      <w:lvlJc w:val="left"/>
      <w:lvlText w:val="%1."/>
      <w:numFmt w:val="decimal"/>
      <w:start w:val="56"/>
    </w:lvl>
    <w:lvl w:ilvl="1">
      <w:lvlJc w:val="left"/>
      <w:lvlText w:val="(%2)"/>
      <w:numFmt w:val="lowerLetter"/>
      <w:start w:val="1"/>
    </w:lvl>
  </w:abstractNum>
  <w:abstractNum w:abstractNumId="117">
    <w:nsid w:val="3F06ECB2"/>
    <w:multiLevelType w:val="hybridMultilevel"/>
    <w:lvl w:ilvl="0">
      <w:lvlJc w:val="left"/>
      <w:lvlText w:val="%1."/>
      <w:numFmt w:val="decimal"/>
      <w:start w:val="57"/>
    </w:lvl>
  </w:abstractNum>
  <w:abstractNum w:abstractNumId="118">
    <w:nsid w:val="3B594807"/>
    <w:multiLevelType w:val="hybridMultilevel"/>
    <w:lvl w:ilvl="0">
      <w:lvlJc w:val="left"/>
      <w:lvlText w:val="%1."/>
      <w:numFmt w:val="decimal"/>
      <w:start w:val="62"/>
    </w:lvl>
  </w:abstractNum>
  <w:abstractNum w:abstractNumId="119">
    <w:nsid w:val="6CAA2304"/>
    <w:multiLevelType w:val="hybridMultilevel"/>
    <w:lvl w:ilvl="0">
      <w:lvlJc w:val="left"/>
      <w:lvlText w:val="(%1)"/>
      <w:numFmt w:val="decimal"/>
      <w:start w:val="1"/>
    </w:lvl>
  </w:abstractNum>
  <w:abstractNum w:abstractNumId="120">
    <w:nsid w:val="3F7C2FF4"/>
    <w:multiLevelType w:val="hybridMultilevel"/>
    <w:lvl w:ilvl="0">
      <w:lvlJc w:val="left"/>
      <w:lvlText w:val="%1."/>
      <w:numFmt w:val="decimal"/>
      <w:start w:val="65"/>
    </w:lvl>
  </w:abstractNum>
  <w:abstractNum w:abstractNumId="121">
    <w:nsid w:val="25413BEC"/>
    <w:multiLevelType w:val="hybridMultilevel"/>
    <w:lvl w:ilvl="0">
      <w:lvlJc w:val="left"/>
      <w:lvlText w:val="(%1)"/>
      <w:numFmt w:val="decimal"/>
      <w:start w:val="1"/>
    </w:lvl>
  </w:abstractNum>
  <w:abstractNum w:abstractNumId="122">
    <w:nsid w:val="17180B0B"/>
    <w:multiLevelType w:val="hybridMultilevel"/>
    <w:lvl w:ilvl="0">
      <w:lvlJc w:val="left"/>
      <w:lvlText w:val="(%1)"/>
      <w:numFmt w:val="lowerLetter"/>
      <w:start w:val="1"/>
    </w:lvl>
  </w:abstractNum>
  <w:abstractNum w:abstractNumId="123">
    <w:nsid w:val="579328B9"/>
    <w:multiLevelType w:val="hybridMultilevel"/>
    <w:lvl w:ilvl="0">
      <w:lvlJc w:val="left"/>
      <w:lvlText w:val="(%1)"/>
      <w:numFmt w:val="decimal"/>
      <w:start w:val="4"/>
    </w:lvl>
    <w:lvl w:ilvl="1">
      <w:lvlJc w:val="left"/>
      <w:lvlText w:val="(%2)"/>
      <w:numFmt w:val="lowerLetter"/>
      <w:start w:val="1"/>
    </w:lvl>
  </w:abstractNum>
  <w:abstractNum w:abstractNumId="124">
    <w:nsid w:val="5D205E20"/>
    <w:multiLevelType w:val="hybridMultilevel"/>
    <w:lvl w:ilvl="0">
      <w:lvlJc w:val="left"/>
      <w:lvlText w:val="%1."/>
      <w:numFmt w:val="decimal"/>
      <w:start w:val="68"/>
    </w:lvl>
  </w:abstractNum>
  <w:abstractNum w:abstractNumId="125">
    <w:nsid w:val="11CCA8BA"/>
    <w:multiLevelType w:val="hybridMultilevel"/>
    <w:lvl w:ilvl="0">
      <w:lvlJc w:val="left"/>
      <w:lvlText w:val="(%1)"/>
      <w:numFmt w:val="decimal"/>
      <w:start w:val="1"/>
    </w:lvl>
  </w:abstractNum>
  <w:abstractNum w:abstractNumId="126">
    <w:nsid w:val="4D32AB86"/>
    <w:multiLevelType w:val="hybridMultilevel"/>
    <w:lvl w:ilvl="0">
      <w:lvlJc w:val="left"/>
      <w:lvlText w:val="(%1)"/>
      <w:numFmt w:val="decimal"/>
      <w:start w:val="2"/>
    </w:lvl>
  </w:abstractNum>
  <w:abstractNum w:abstractNumId="127">
    <w:nsid w:val="3F07ACC3"/>
    <w:multiLevelType w:val="hybridMultilevel"/>
    <w:lvl w:ilvl="0">
      <w:lvlJc w:val="left"/>
      <w:lvlText w:val="%1."/>
      <w:numFmt w:val="decimal"/>
      <w:start w:val="71"/>
    </w:lvl>
    <w:lvl w:ilvl="1">
      <w:lvlJc w:val="left"/>
      <w:lvlText w:val="(%2)"/>
      <w:numFmt w:val="lowerLetter"/>
      <w:start w:val="1"/>
    </w:lvl>
  </w:abstractNum>
  <w:abstractNum w:abstractNumId="128">
    <w:nsid w:val="6B47F63E"/>
    <w:multiLevelType w:val="hybridMultilevel"/>
    <w:lvl w:ilvl="0">
      <w:lvlJc w:val="left"/>
      <w:lvlText w:val="(%1)"/>
      <w:numFmt w:val="decimal"/>
      <w:start w:val="1"/>
    </w:lvl>
  </w:abstractNum>
  <w:abstractNum w:abstractNumId="129">
    <w:nsid w:val="5CB44A05"/>
    <w:multiLevelType w:val="hybridMultilevel"/>
    <w:lvl w:ilvl="0">
      <w:lvlJc w:val="left"/>
      <w:lvlText w:val="%1"/>
      <w:numFmt w:val="decimal"/>
      <w:start w:val="1"/>
    </w:lvl>
    <w:lvl w:ilvl="1">
      <w:lvlJc w:val="left"/>
      <w:lvlText w:val="(%2)"/>
      <w:numFmt w:val="decimal"/>
      <w:start w:val="6"/>
    </w:lvl>
  </w:abstractNum>
  <w:abstractNum w:abstractNumId="130">
    <w:nsid w:val="16CF80F1"/>
    <w:multiLevelType w:val="hybridMultilevel"/>
    <w:lvl w:ilvl="0">
      <w:lvlJc w:val="left"/>
      <w:lvlText w:val="%1."/>
      <w:numFmt w:val="decimal"/>
      <w:start w:val="74"/>
    </w:lvl>
    <w:lvl w:ilvl="1">
      <w:lvlJc w:val="left"/>
      <w:lvlText w:val="%2"/>
      <w:numFmt w:val="decimal"/>
      <w:start w:val="1"/>
    </w:lvl>
  </w:abstractNum>
  <w:abstractNum w:abstractNumId="131">
    <w:nsid w:val="1C695DEC"/>
    <w:multiLevelType w:val="hybridMultilevel"/>
    <w:lvl w:ilvl="0">
      <w:lvlJc w:val="left"/>
      <w:lvlText w:val="(%1)"/>
      <w:numFmt w:val="decimal"/>
      <w:start w:val="1"/>
    </w:lvl>
    <w:lvl w:ilvl="1">
      <w:lvlJc w:val="left"/>
      <w:lvlText w:val="(%2)"/>
      <w:numFmt w:val="lowerLetter"/>
      <w:start w:val="1"/>
    </w:lvl>
  </w:abstractNum>
  <w:abstractNum w:abstractNumId="132">
    <w:nsid w:val="3FCFAED9"/>
    <w:multiLevelType w:val="hybridMultilevel"/>
    <w:lvl w:ilvl="0">
      <w:lvlJc w:val="left"/>
      <w:lvlText w:val="%1"/>
      <w:numFmt w:val="decimal"/>
      <w:start w:val="1"/>
    </w:lvl>
    <w:lvl w:ilvl="1">
      <w:lvlJc w:val="left"/>
      <w:lvlText w:val="(%2)"/>
      <w:numFmt w:val="decimal"/>
      <w:start w:val="3"/>
    </w:lvl>
  </w:abstractNum>
  <w:abstractNum w:abstractNumId="133">
    <w:nsid w:val="F856867"/>
    <w:multiLevelType w:val="hybridMultilevel"/>
    <w:lvl w:ilvl="0">
      <w:lvlJc w:val="left"/>
      <w:lvlText w:val="%1."/>
      <w:numFmt w:val="decimal"/>
      <w:start w:val="79"/>
    </w:lvl>
    <w:lvl w:ilvl="1">
      <w:lvlJc w:val="left"/>
      <w:lvlText w:val="%2"/>
      <w:numFmt w:val="decimal"/>
      <w:start w:val="1"/>
    </w:lvl>
  </w:abstractNum>
  <w:abstractNum w:abstractNumId="134">
    <w:nsid w:val="11B1CC33"/>
    <w:multiLevelType w:val="hybridMultilevel"/>
    <w:lvl w:ilvl="0">
      <w:lvlJc w:val="left"/>
      <w:lvlText w:val="(%1)"/>
      <w:numFmt w:val="lowerLetter"/>
      <w:start w:val="1"/>
    </w:lvl>
  </w:abstractNum>
  <w:abstractNum w:abstractNumId="135">
    <w:nsid w:val="2E22FBB7"/>
    <w:multiLevelType w:val="hybridMultilevel"/>
    <w:lvl w:ilvl="0">
      <w:lvlJc w:val="left"/>
      <w:lvlText w:val="(%1)"/>
      <w:numFmt w:val="lowerLetter"/>
      <w:start w:val="2"/>
    </w:lvl>
  </w:abstractNum>
  <w:abstractNum w:abstractNumId="136">
    <w:nsid w:val="29934699"/>
    <w:multiLevelType w:val="hybridMultilevel"/>
    <w:lvl w:ilvl="0">
      <w:lvlJc w:val="left"/>
      <w:lvlText w:val="%1"/>
      <w:numFmt w:val="decimal"/>
      <w:start w:val="1"/>
    </w:lvl>
    <w:lvl w:ilvl="1">
      <w:lvlJc w:val="left"/>
      <w:lvlText w:val="(%2)"/>
      <w:numFmt w:val="lowerLetter"/>
      <w:start w:val="3"/>
    </w:lvl>
  </w:abstractNum>
  <w:abstractNum w:abstractNumId="137">
    <w:nsid w:val="77485850"/>
    <w:multiLevelType w:val="hybridMultilevel"/>
    <w:lvl w:ilvl="0">
      <w:lvlJc w:val="left"/>
      <w:lvlText w:val="%1."/>
      <w:numFmt w:val="decimal"/>
      <w:start w:val="81"/>
    </w:lvl>
    <w:lvl w:ilvl="1">
      <w:lvlJc w:val="left"/>
      <w:lvlText w:val="%2"/>
      <w:numFmt w:val="lowerLetter"/>
      <w:start w:val="1"/>
    </w:lvl>
  </w:abstractNum>
  <w:abstractNum w:abstractNumId="138">
    <w:nsid w:val="744939A3"/>
    <w:multiLevelType w:val="hybridMultilevel"/>
    <w:lvl w:ilvl="0">
      <w:lvlJc w:val="left"/>
      <w:lvlText w:val="%1."/>
      <w:numFmt w:val="decimal"/>
      <w:start w:val="82"/>
    </w:lvl>
  </w:abstractNum>
  <w:abstractNum w:abstractNumId="139">
    <w:nsid w:val="4FA0D2E3"/>
    <w:multiLevelType w:val="hybridMultilevel"/>
    <w:lvl w:ilvl="0">
      <w:lvlJc w:val="left"/>
      <w:lvlText w:val="(%1)"/>
      <w:numFmt w:val="decimal"/>
      <w:start w:val="1"/>
    </w:lvl>
    <w:lvl w:ilvl="1">
      <w:lvlJc w:val="left"/>
      <w:lvlText w:val="(%2)"/>
      <w:numFmt w:val="lowerLetter"/>
      <w:start w:val="1"/>
    </w:lvl>
  </w:abstractNum>
  <w:abstractNum w:abstractNumId="140">
    <w:nsid w:val="6B1D2C14"/>
    <w:multiLevelType w:val="hybridMultilevel"/>
    <w:lvl w:ilvl="0">
      <w:lvlJc w:val="left"/>
      <w:lvlText w:val="(%1)"/>
      <w:numFmt w:val="lowerLetter"/>
      <w:start w:val="6"/>
    </w:lvl>
  </w:abstractNum>
  <w:abstractNum w:abstractNumId="141">
    <w:nsid w:val="68B867D3"/>
    <w:multiLevelType w:val="hybridMultilevel"/>
    <w:lvl w:ilvl="0">
      <w:lvlJc w:val="left"/>
      <w:lvlText w:val="%1"/>
      <w:numFmt w:val="decimal"/>
      <w:start w:val="1"/>
    </w:lvl>
    <w:lvl w:ilvl="1">
      <w:lvlJc w:val="left"/>
      <w:lvlText w:val="(%2)"/>
      <w:numFmt w:val="lowerLetter"/>
      <w:start w:val="18"/>
    </w:lvl>
  </w:abstractNum>
  <w:abstractNum w:abstractNumId="142">
    <w:nsid w:val="3F7F5DD9"/>
    <w:multiLevelType w:val="hybridMultilevel"/>
    <w:lvl w:ilvl="0">
      <w:lvlJc w:val="left"/>
      <w:lvlText w:val="(%1)"/>
      <w:numFmt w:val="decimal"/>
      <w:start w:val="2"/>
    </w:lvl>
    <w:lvl w:ilvl="1">
      <w:lvlJc w:val="left"/>
      <w:lvlText w:val="(%2)"/>
      <w:numFmt w:val="lowerLetter"/>
      <w:start w:val="1"/>
    </w:lvl>
  </w:abstractNum>
  <w:abstractNum w:abstractNumId="143">
    <w:nsid w:val="2AE05A34"/>
    <w:multiLevelType w:val="hybridMultilevel"/>
    <w:lvl w:ilvl="0">
      <w:lvlJc w:val="left"/>
      <w:lvlText w:val="(%1)"/>
      <w:numFmt w:val="lowerLetter"/>
      <w:start w:val="11"/>
    </w:lvl>
  </w:abstractNum>
  <w:abstractNum w:abstractNumId="144">
    <w:nsid w:val="32794FF7"/>
    <w:multiLevelType w:val="hybridMultilevel"/>
    <w:lvl w:ilvl="0">
      <w:lvlJc w:val="left"/>
      <w:lvlText w:val="%1."/>
      <w:numFmt w:val="decimal"/>
      <w:start w:val="83"/>
    </w:lvl>
    <w:lvl w:ilvl="1">
      <w:lvlJc w:val="left"/>
      <w:lvlText w:val="(%2)"/>
      <w:numFmt w:val="lowerLetter"/>
      <w:start w:val="1"/>
    </w:lvl>
  </w:abstractNum>
  <w:abstractNum w:abstractNumId="145">
    <w:nsid w:val="5454945E"/>
    <w:multiLevelType w:val="hybridMultilevel"/>
    <w:lvl w:ilvl="0">
      <w:lvlJc w:val="left"/>
      <w:lvlText w:val="%1"/>
      <w:numFmt w:val="decimal"/>
      <w:start w:val="1"/>
    </w:lvl>
    <w:lvl w:ilvl="1">
      <w:lvlJc w:val="left"/>
      <w:lvlText w:val="(%2)"/>
      <w:numFmt w:val="lowerLetter"/>
      <w:start w:val="8"/>
    </w:lvl>
  </w:abstractNum>
  <w:abstractNum w:abstractNumId="146">
    <w:nsid w:val="4DEFDFA0"/>
    <w:multiLevelType w:val="hybridMultilevel"/>
    <w:lvl w:ilvl="0">
      <w:lvlJc w:val="left"/>
      <w:lvlText w:val="%1."/>
      <w:numFmt w:val="decimal"/>
      <w:start w:val="84"/>
    </w:lvl>
    <w:lvl w:ilvl="1">
      <w:lvlJc w:val="left"/>
      <w:lvlText w:val="(%2)"/>
      <w:numFmt w:val="lowerLetter"/>
      <w:start w:val="1"/>
    </w:lvl>
  </w:abstractNum>
  <w:abstractNum w:abstractNumId="147">
    <w:nsid w:val="2123D5F2"/>
    <w:multiLevelType w:val="hybridMultilevel"/>
    <w:lvl w:ilvl="0">
      <w:lvlJc w:val="left"/>
      <w:lvlText w:val="%1."/>
      <w:numFmt w:val="decimal"/>
      <w:start w:val="86"/>
    </w:lvl>
    <w:lvl w:ilvl="1">
      <w:lvlJc w:val="left"/>
      <w:lvlText w:val="(%2)"/>
      <w:numFmt w:val="lowerLetter"/>
      <w:start w:val="1"/>
    </w:lvl>
  </w:abstractNum>
  <w:abstractNum w:abstractNumId="148">
    <w:nsid w:val="135B8110"/>
    <w:multiLevelType w:val="hybridMultilevel"/>
    <w:lvl w:ilvl="0">
      <w:lvlJc w:val="left"/>
      <w:lvlText w:val="%1."/>
      <w:numFmt w:val="decimal"/>
      <w:start w:val="93"/>
    </w:lvl>
  </w:abstractNum>
  <w:abstractNum w:abstractNumId="149">
    <w:nsid w:val="94927A8"/>
    <w:multiLevelType w:val="hybridMultilevel"/>
    <w:lvl w:ilvl="0">
      <w:lvlJc w:val="left"/>
      <w:lvlText w:val="%1."/>
      <w:numFmt w:val="decimal"/>
      <w:start w:val="95"/>
    </w:lvl>
  </w:abstractNum>
  <w:abstractNum w:abstractNumId="150">
    <w:nsid w:val="DCDF8F6"/>
    <w:multiLevelType w:val="hybridMultilevel"/>
    <w:lvl w:ilvl="0">
      <w:lvlJc w:val="left"/>
      <w:lvlText w:val="(%1)"/>
      <w:numFmt w:val="decimal"/>
      <w:start w:val="1"/>
    </w:lvl>
    <w:lvl w:ilvl="1">
      <w:lvlJc w:val="left"/>
      <w:lvlText w:val="(%2)"/>
      <w:numFmt w:val="lowerLetter"/>
      <w:start w:val="1"/>
    </w:lvl>
  </w:abstractNum>
  <w:abstractNum w:abstractNumId="151">
    <w:nsid w:val="52D7B105"/>
    <w:multiLevelType w:val="hybridMultilevel"/>
    <w:lvl w:ilvl="0">
      <w:lvlJc w:val="left"/>
      <w:lvlText w:val="%1."/>
      <w:numFmt w:val="decimal"/>
      <w:start w:val="97"/>
    </w:lvl>
  </w:abstractNum>
  <w:abstractNum w:abstractNumId="152">
    <w:nsid w:val="2E8A6394"/>
    <w:multiLevelType w:val="hybridMultilevel"/>
    <w:lvl w:ilvl="0">
      <w:lvlJc w:val="left"/>
      <w:lvlText w:val="(%1)"/>
      <w:numFmt w:val="decimal"/>
      <w:start w:val="1"/>
    </w:lvl>
  </w:abstractNum>
  <w:abstractNum w:abstractNumId="153">
    <w:nsid w:val="24E60401"/>
    <w:multiLevelType w:val="hybridMultilevel"/>
    <w:lvl w:ilvl="0">
      <w:lvlJc w:val="left"/>
      <w:lvlText w:val="(%1)"/>
      <w:numFmt w:val="decimal"/>
      <w:start w:val="2"/>
    </w:lvl>
  </w:abstractNum>
  <w:abstractNum w:abstractNumId="154">
    <w:nsid w:val="2A6AD9BE"/>
    <w:multiLevelType w:val="hybridMultilevel"/>
    <w:lvl w:ilvl="0">
      <w:lvlJc w:val="left"/>
      <w:lvlText w:val="%1."/>
      <w:numFmt w:val="decimal"/>
      <w:start w:val="98"/>
    </w:lvl>
    <w:lvl w:ilvl="1">
      <w:lvlJc w:val="left"/>
      <w:lvlText w:val="(%2)"/>
      <w:numFmt w:val="lowerLetter"/>
      <w:start w:val="1"/>
    </w:lvl>
  </w:abstractNum>
  <w:abstractNum w:abstractNumId="155">
    <w:nsid w:val="BAAC1B4"/>
    <w:multiLevelType w:val="hybridMultilevel"/>
    <w:lvl w:ilvl="0">
      <w:lvlJc w:val="left"/>
      <w:lvlText w:val="(%1)"/>
      <w:numFmt w:val="lowerLetter"/>
      <w:start w:val="4"/>
    </w:lvl>
  </w:abstractNum>
  <w:abstractNum w:abstractNumId="156">
    <w:nsid w:val="36B2ACBC"/>
    <w:multiLevelType w:val="hybridMultilevel"/>
    <w:lvl w:ilvl="0">
      <w:lvlJc w:val="left"/>
      <w:lvlText w:val="(%1)"/>
      <w:numFmt w:val="lowerLetter"/>
      <w:start w:val="7"/>
    </w:lvl>
  </w:abstractNum>
  <w:abstractNum w:abstractNumId="157">
    <w:nsid w:val="779D8544"/>
    <w:multiLevelType w:val="hybridMultilevel"/>
    <w:lvl w:ilvl="0">
      <w:lvlJc w:val="left"/>
      <w:lvlText w:val="(%1)"/>
      <w:numFmt w:val="decimal"/>
      <w:start w:val="1"/>
    </w:lvl>
  </w:abstractNum>
  <w:abstractNum w:abstractNumId="158">
    <w:nsid w:val="4AB26E78"/>
    <w:multiLevelType w:val="hybridMultilevel"/>
    <w:lvl w:ilvl="0">
      <w:lvlJc w:val="left"/>
      <w:lvlText w:val="(%1)"/>
      <w:numFmt w:val="decimal"/>
      <w:start w:val="1"/>
    </w:lvl>
  </w:abstractNum>
  <w:abstractNum w:abstractNumId="159">
    <w:nsid w:val="21FAA2FA"/>
    <w:multiLevelType w:val="hybridMultilevel"/>
    <w:lvl w:ilvl="0">
      <w:lvlJc w:val="left"/>
      <w:lvlText w:val="(%1)"/>
      <w:numFmt w:val="decimal"/>
      <w:start w:val="1"/>
    </w:lvl>
  </w:abstractNum>
  <w:abstractNum w:abstractNumId="160">
    <w:nsid w:val="5451CF49"/>
    <w:multiLevelType w:val="hybridMultilevel"/>
    <w:lvl w:ilvl="0">
      <w:lvlJc w:val="left"/>
      <w:lvlText w:val="(%1)"/>
      <w:numFmt w:val="decimal"/>
      <w:start w:val="2"/>
    </w:lvl>
  </w:abstractNum>
  <w:abstractNum w:abstractNumId="161">
    <w:nsid w:val="6181EF69"/>
    <w:multiLevelType w:val="hybridMultilevel"/>
    <w:lvl w:ilvl="0">
      <w:lvlJc w:val="left"/>
      <w:lvlText w:val="(%1)"/>
      <w:numFmt w:val="decimal"/>
      <w:start w:val="1"/>
    </w:lvl>
  </w:abstractNum>
  <w:abstractNum w:abstractNumId="162">
    <w:nsid w:val="3E6400E6"/>
    <w:multiLevelType w:val="hybridMultilevel"/>
    <w:lvl w:ilvl="0">
      <w:lvlJc w:val="left"/>
      <w:lvlText w:val="%1."/>
      <w:numFmt w:val="decimal"/>
      <w:start w:val="104"/>
    </w:lvl>
    <w:lvl w:ilvl="1">
      <w:lvlJc w:val="left"/>
      <w:lvlText w:val="(%2)"/>
      <w:numFmt w:val="lowerRoman"/>
      <w:start w:val="4"/>
    </w:lvl>
  </w:abstractNum>
  <w:abstractNum w:abstractNumId="163">
    <w:nsid w:val="14217E23"/>
    <w:multiLevelType w:val="hybridMultilevel"/>
    <w:lvl w:ilvl="0">
      <w:lvlJc w:val="left"/>
      <w:lvlText w:val="%1."/>
      <w:numFmt w:val="decimal"/>
      <w:start w:val="1"/>
    </w:lvl>
    <w:lvl w:ilvl="1">
      <w:lvlJc w:val="left"/>
      <w:lvlText w:val="(%2)"/>
      <w:numFmt w:val="lowerLetter"/>
      <w:start w:val="1"/>
    </w:lvl>
  </w:abstractNum>
  <w:abstractNum w:abstractNumId="164">
    <w:nsid w:val="710757D0"/>
    <w:multiLevelType w:val="hybridMultilevel"/>
    <w:lvl w:ilvl="0">
      <w:lvlJc w:val="left"/>
      <w:lvlText w:val="(%1)"/>
      <w:numFmt w:val="lowerRoman"/>
      <w:start w:val="1"/>
    </w:lvl>
    <w:lvl w:ilvl="1">
      <w:lvlJc w:val="left"/>
      <w:lvlText w:val="(%2)"/>
      <w:numFmt w:val="lowerRoman"/>
      <w:start w:val="1"/>
    </w:lvl>
  </w:abstractNum>
  <w:abstractNum w:abstractNumId="165">
    <w:nsid w:val="5015CD1A"/>
    <w:multiLevelType w:val="hybridMultilevel"/>
    <w:lvl w:ilvl="0">
      <w:lvlJc w:val="left"/>
      <w:lvlText w:val="(%1)"/>
      <w:numFmt w:val="lowerLetter"/>
      <w:start w:val="10"/>
    </w:lvl>
    <w:lvl w:ilvl="1">
      <w:lvlJc w:val="left"/>
      <w:lvlText w:val="(%2)"/>
      <w:numFmt w:val="lowerRoman"/>
      <w:start w:val="2"/>
    </w:lvl>
  </w:abstractNum>
  <w:abstractNum w:abstractNumId="166">
    <w:nsid w:val="424479DA"/>
    <w:multiLevelType w:val="hybridMultilevel"/>
    <w:lvl w:ilvl="0">
      <w:lvlJc w:val="left"/>
      <w:lvlText w:val="(%1)"/>
      <w:numFmt w:val="lowerLetter"/>
      <w:start w:val="15"/>
    </w:lvl>
  </w:abstractNum>
  <w:abstractNum w:abstractNumId="167">
    <w:nsid w:val="1A9A9E69"/>
    <w:multiLevelType w:val="hybridMultilevel"/>
    <w:lvl w:ilvl="0">
      <w:lvlJc w:val="left"/>
      <w:lvlText w:val="(%1)"/>
      <w:numFmt w:val="lowerLetter"/>
      <w:start w:val="25"/>
    </w:lvl>
  </w:abstractNum>
  <w:abstractNum w:abstractNumId="168">
    <w:nsid w:val="475E256A"/>
    <w:multiLevelType w:val="hybridMultilevel"/>
    <w:lvl w:ilvl="0">
      <w:lvlJc w:val="left"/>
      <w:lvlText w:val="(%1)"/>
      <w:numFmt w:val="lowerLetter"/>
      <w:start w:val="27"/>
    </w:lvl>
  </w:abstractNum>
  <w:abstractNum w:abstractNumId="169">
    <w:nsid w:val="368DB37E"/>
    <w:multiLevelType w:val="hybridMultilevel"/>
    <w:lvl w:ilvl="0">
      <w:lvlJc w:val="left"/>
      <w:lvlText w:val="%1"/>
      <w:numFmt w:val="decimal"/>
      <w:start w:val="1"/>
    </w:lvl>
    <w:lvl w:ilvl="1">
      <w:lvlJc w:val="left"/>
      <w:lvlText w:val="(%2)"/>
      <w:numFmt w:val="lowerLetter"/>
      <w:start w:val="36"/>
    </w:lvl>
    <w:lvl w:ilvl="2">
      <w:lvlJc w:val="left"/>
      <w:lvlText w:val="%3"/>
      <w:numFmt w:val="lowerRoman"/>
      <w:start w:val="1"/>
    </w:lvl>
  </w:abstractNum>
  <w:abstractNum w:abstractNumId="170">
    <w:nsid w:val="6A3B714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1">
    <w:nsid w:val="327B517E"/>
    <w:multiLevelType w:val="hybridMultilevel"/>
    <w:lvl w:ilvl="0">
      <w:lvlJc w:val="left"/>
      <w:lvlText w:val="(%1)"/>
      <w:numFmt w:val="lowerLetter"/>
      <w:start w:val="3"/>
    </w:lvl>
  </w:abstractNum>
  <w:abstractNum w:abstractNumId="172">
    <w:nsid w:val="1F461B51"/>
    <w:multiLevelType w:val="hybridMultilevel"/>
    <w:lvl w:ilvl="0">
      <w:lvlJc w:val="left"/>
      <w:lvlText w:val="(%1)"/>
      <w:numFmt w:val="lowerLetter"/>
      <w:start w:val="5"/>
    </w:lvl>
  </w:abstractNum>
  <w:abstractNum w:abstractNumId="173">
    <w:nsid w:val="29BACF25"/>
    <w:multiLevelType w:val="hybridMultilevel"/>
    <w:lvl w:ilvl="0">
      <w:lvlJc w:val="left"/>
      <w:lvlText w:val="(%1)"/>
      <w:numFmt w:val="lowerLetter"/>
      <w:start w:val="15"/>
    </w:lvl>
  </w:abstractNum>
  <w:abstractNum w:abstractNumId="174">
    <w:nsid w:val="5D5BABB3"/>
    <w:multiLevelType w:val="hybridMultilevel"/>
    <w:lvl w:ilvl="0">
      <w:lvlJc w:val="left"/>
      <w:lvlText w:val="(%1)"/>
      <w:numFmt w:val="lowerLetter"/>
      <w:start w:val="27"/>
    </w:lvl>
  </w:abstractNum>
  <w:abstractNum w:abstractNumId="175">
    <w:nsid w:val="51BF6B48"/>
    <w:multiLevelType w:val="hybridMultilevel"/>
    <w:lvl w:ilvl="0">
      <w:lvlJc w:val="left"/>
      <w:lvlText w:val="%1"/>
      <w:numFmt w:val="decimal"/>
      <w:start w:val="1"/>
    </w:lvl>
    <w:lvl w:ilvl="1">
      <w:lvlJc w:val="left"/>
      <w:lvlText w:val="(%2)"/>
      <w:numFmt w:val="lowerLetter"/>
      <w:start w:val="29"/>
    </w:lvl>
  </w:abstractNum>
  <w:abstractNum w:abstractNumId="176">
    <w:nsid w:val="7E0F6384"/>
    <w:multiLevelType w:val="hybridMultilevel"/>
    <w:lvl w:ilvl="0">
      <w:lvlJc w:val="left"/>
      <w:lvlText w:val="%1."/>
      <w:numFmt w:val="decimal"/>
      <w:start w:val="3"/>
    </w:lvl>
    <w:lvl w:ilvl="1">
      <w:lvlJc w:val="left"/>
      <w:lvlText w:val="(%2)"/>
      <w:numFmt w:val="lowerLetter"/>
      <w:start w:val="1"/>
    </w:lvl>
  </w:abstractNum>
  <w:abstractNum w:abstractNumId="177">
    <w:nsid w:val="2B4B8B53"/>
    <w:multiLevelType w:val="hybridMultilevel"/>
    <w:lvl w:ilvl="0">
      <w:lvlJc w:val="left"/>
      <w:lvlText w:val="(%1)"/>
      <w:numFmt w:val="lowerLetter"/>
      <w:start w:val="5"/>
    </w:lvl>
  </w:abstractNum>
  <w:abstractNum w:abstractNumId="178">
    <w:nsid w:val="72E3413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79">
    <w:nsid w:val="116AE49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0">
    <w:nsid w:val="3494B2FB"/>
    <w:multiLevelType w:val="hybridMultilevel"/>
    <w:lvl w:ilvl="0">
      <w:lvlJc w:val="left"/>
      <w:lvlText w:val="%1"/>
      <w:numFmt w:val="decimal"/>
      <w:start w:val="1"/>
    </w:lvl>
    <w:lvl w:ilvl="1">
      <w:lvlJc w:val="left"/>
      <w:lvlText w:val="(%2)"/>
      <w:numFmt w:val="lowerLetter"/>
      <w:start w:val="5"/>
    </w:lvl>
  </w:abstractNum>
  <w:abstractNum w:abstractNumId="181">
    <w:nsid w:val="B13A31"/>
    <w:multiLevelType w:val="hybridMultilevel"/>
    <w:lvl w:ilvl="0">
      <w:lvlJc w:val="left"/>
      <w:lvlText w:val="%1."/>
      <w:numFmt w:val="decimal"/>
      <w:start w:val="6"/>
    </w:lvl>
    <w:lvl w:ilvl="1">
      <w:lvlJc w:val="left"/>
      <w:lvlText w:val="(%2)"/>
      <w:numFmt w:val="lowerLetter"/>
      <w:start w:val="1"/>
    </w:lvl>
  </w:abstractNum>
  <w:abstractNum w:abstractNumId="182">
    <w:nsid w:val="64429599"/>
    <w:multiLevelType w:val="hybridMultilevel"/>
    <w:lvl w:ilvl="0">
      <w:lvlJc w:val="left"/>
      <w:lvlText w:val="%1"/>
      <w:numFmt w:val="decimal"/>
      <w:start w:val="1"/>
    </w:lvl>
    <w:lvl w:ilvl="1">
      <w:lvlJc w:val="left"/>
      <w:lvlText w:val="(%2)"/>
      <w:numFmt w:val="lowerLetter"/>
      <w:start w:val="9"/>
    </w:lvl>
  </w:abstractNum>
  <w:abstractNum w:abstractNumId="183">
    <w:nsid w:val="631F1690"/>
    <w:multiLevelType w:val="hybridMultilevel"/>
    <w:lvl w:ilvl="0">
      <w:lvlJc w:val="left"/>
      <w:lvlText w:val="%1."/>
      <w:numFmt w:val="decimal"/>
      <w:start w:val="7"/>
    </w:lvl>
    <w:lvl w:ilvl="1">
      <w:lvlJc w:val="left"/>
      <w:lvlText w:val="(%2)"/>
      <w:numFmt w:val="lowerLetter"/>
      <w:start w:val="1"/>
    </w:lvl>
  </w:abstractNum>
  <w:abstractNum w:abstractNumId="184">
    <w:nsid w:val="25973E32"/>
    <w:multiLevelType w:val="hybridMultilevel"/>
    <w:lvl w:ilvl="0">
      <w:lvlJc w:val="left"/>
      <w:lvlText w:val="(%1)"/>
      <w:numFmt w:val="lowerLetter"/>
      <w:start w:val="2"/>
    </w:lvl>
  </w:abstractNum>
  <w:abstractNum w:abstractNumId="185">
    <w:nsid w:val="EAD6F57"/>
    <w:multiLevelType w:val="hybridMultilevel"/>
    <w:lvl w:ilvl="0">
      <w:lvlJc w:val="left"/>
      <w:lvlText w:val="%1."/>
      <w:numFmt w:val="decimal"/>
      <w:start w:val="1"/>
    </w:lvl>
  </w:abstractNum>
  <w:abstractNum w:abstractNumId="186">
    <w:nsid w:val="6EC9D844"/>
    <w:multiLevelType w:val="hybridMultilevel"/>
    <w:lvl w:ilvl="0">
      <w:lvlJc w:val="left"/>
      <w:lvlText w:val="%1."/>
      <w:numFmt w:val="decimal"/>
      <w:start w:val="5"/>
    </w:lvl>
  </w:abstractNum>
  <w:abstractNum w:abstractNumId="187">
    <w:nsid w:val="5C49EAEE"/>
    <w:multiLevelType w:val="hybridMultilevel"/>
    <w:lvl w:ilvl="0">
      <w:lvlJc w:val="left"/>
      <w:lvlText w:val="%1."/>
      <w:numFmt w:val="decimal"/>
      <w:start w:val="8"/>
    </w:lvl>
    <w:lvl w:ilvl="1">
      <w:lvlJc w:val="left"/>
      <w:lvlText w:val="-"/>
      <w:numFmt w:val="bullet"/>
      <w:start w:val="1"/>
    </w:lvl>
  </w:abstractNum>
  <w:abstractNum w:abstractNumId="188">
    <w:nsid w:val="64AF49B"/>
    <w:multiLevelType w:val="hybridMultilevel"/>
    <w:lvl w:ilvl="0">
      <w:lvlJc w:val="left"/>
      <w:lvlText w:val="%1."/>
      <w:numFmt w:val="decimal"/>
      <w:start w:val="1"/>
    </w:lvl>
  </w:abstractNum>
  <w:abstractNum w:abstractNumId="189">
    <w:nsid w:val="397C46BC"/>
    <w:multiLevelType w:val="hybridMultilevel"/>
    <w:lvl w:ilvl="0">
      <w:lvlJc w:val="left"/>
      <w:lvlText w:val="%1."/>
      <w:numFmt w:val="decimal"/>
      <w:start w:val="8"/>
    </w:lvl>
  </w:abstractNum>
  <w:abstractNum w:abstractNumId="190">
    <w:nsid w:val="7E448DE9"/>
    <w:multiLevelType w:val="hybridMultilevel"/>
    <w:lvl w:ilvl="0">
      <w:lvlJc w:val="left"/>
      <w:lvlText w:val="%1."/>
      <w:numFmt w:val="decimal"/>
      <w:start w:val="11"/>
    </w:lvl>
  </w:abstractNum>
  <w:abstractNum w:abstractNumId="191">
    <w:nsid w:val="5A9CC3E5"/>
    <w:multiLevelType w:val="hybridMultilevel"/>
    <w:lvl w:ilvl="0">
      <w:lvlJc w:val="left"/>
      <w:lvlText w:val="%1."/>
      <w:numFmt w:val="decimal"/>
      <w:start w:val="1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2019-12-13T18:07:38Z</dcterms:created>
  <dcterms:modified xsi:type="dcterms:W3CDTF">2019-12-13T18:07:38Z</dcterms:modified>
</cp:coreProperties>
</file>