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40" w:before="0" w:after="0"/>
        <w:ind w:left="0" w:right="0" w:hanging="0"/>
        <w:jc w:val="center"/>
        <w:rPr>
          <w:rFonts w:ascii="Times New Roman" w:hAnsi="Times New Roman"/>
          <w:b/>
          <w:sz w:val="32"/>
        </w:rPr>
      </w:pPr>
      <w:bookmarkStart w:id="0" w:name="clro-20221231.htm"/>
      <w:bookmarkStart w:id="1" w:name="ksclro20221231"/>
      <w:bookmarkEnd w:id="0"/>
      <w:bookmarkEnd w:id="1"/>
      <w:r>
        <w:rPr>
          <w:rFonts w:ascii="Times New Roman" w:hAnsi="Times New Roman"/>
          <w:b/>
          <w:sz w:val="32"/>
        </w:rPr>
        <w:t>UNITED STATES SECURITIES AND EXCHANGE COMMISSION</w:t>
      </w:r>
    </w:p>
    <w:p>
      <w:pPr>
        <w:pStyle w:val="TextBody"/>
        <w:spacing w:lineRule="auto" w:line="240"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rFonts w:ascii="Times New Roman" w:hAnsi="Times New Roman"/>
          <w:b/>
          <w:sz w:val="36"/>
        </w:rPr>
      </w:pPr>
      <w:r>
        <w:rPr>
          <w:rFonts w:ascii="Times New Roman" w:hAnsi="Times New Roman"/>
          <w:b/>
          <w:sz w:val="36"/>
        </w:rPr>
        <w:t>Form 10-K</w:t>
      </w:r>
    </w:p>
    <w:p>
      <w:pPr>
        <w:pStyle w:val="TextBody"/>
        <w:spacing w:lineRule="auto" w:line="240" w:before="0" w:after="0"/>
        <w:ind w:left="0" w:right="0" w:hanging="0"/>
        <w:rPr>
          <w:rFonts w:ascii="Times New Roman" w:hAnsi="Times New Roman"/>
          <w:sz w:val="20"/>
        </w:rPr>
      </w:pPr>
      <w:r>
        <w:rPr>
          <w:rFonts w:ascii="Times New Roman" w:hAnsi="Times New Roman"/>
          <w:sz w:val="20"/>
        </w:rPr>
        <w:t>(Mark One)</w:t>
      </w:r>
    </w:p>
    <w:p>
      <w:pPr>
        <w:sectPr>
          <w:type w:val="nextPage"/>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286"/>
        <w:gridCol w:w="9919"/>
      </w:tblGrid>
      <w:tr>
        <w:trPr/>
        <w:tc>
          <w:tcPr>
            <w:tcW w:w="286" w:type="dxa"/>
            <w:tcBorders/>
            <w:shd w:fill="auto" w:val="clear"/>
            <w:vAlign w:val="center"/>
          </w:tcPr>
          <w:p>
            <w:pPr>
              <w:pStyle w:val="TableContents"/>
              <w:spacing w:before="0" w:after="0"/>
              <w:ind w:left="0" w:right="0" w:hanging="0"/>
              <w:rPr/>
            </w:pPr>
            <w:r>
              <w:rPr/>
              <w:t>☒</w:t>
            </w:r>
          </w:p>
        </w:tc>
        <w:tc>
          <w:tcPr>
            <w:tcW w:w="9919"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ANNUAL REPORT PURSUANT TO SECTION 13 OR 15(d) OF THE SECURITIES EXCHANGE ACT OF 1934</w:t>
            </w:r>
          </w:p>
        </w:tc>
      </w:tr>
      <w:tr>
        <w:trPr/>
        <w:tc>
          <w:tcPr>
            <w:tcW w:w="286" w:type="dxa"/>
            <w:tcBorders/>
            <w:shd w:fill="auto" w:val="clear"/>
            <w:vAlign w:val="center"/>
          </w:tcPr>
          <w:p>
            <w:pPr>
              <w:pStyle w:val="TableContents"/>
              <w:spacing w:before="0" w:after="0"/>
              <w:ind w:left="0" w:right="0" w:hanging="0"/>
              <w:rPr/>
            </w:pPr>
            <w:r>
              <w:rPr/>
              <w:t xml:space="preserve">  </w:t>
            </w:r>
          </w:p>
        </w:tc>
        <w:tc>
          <w:tcPr>
            <w:tcW w:w="991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fiscal year ended December 31, 2022</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288" w:right="288"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0"/>
              <w:ind w:left="0" w:right="0" w:hanging="0"/>
              <w:rPr/>
            </w:pPr>
            <w:r>
              <w:rPr/>
              <w:t>☐</w:t>
            </w:r>
          </w:p>
        </w:tc>
        <w:tc>
          <w:tcPr>
            <w:tcW w:w="9931"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274" w:type="dxa"/>
            <w:tcBorders/>
            <w:shd w:fill="auto" w:val="clear"/>
            <w:vAlign w:val="center"/>
          </w:tcPr>
          <w:p>
            <w:pPr>
              <w:pStyle w:val="TableContents"/>
              <w:spacing w:before="0" w:after="0"/>
              <w:ind w:left="0" w:right="0" w:hanging="0"/>
              <w:rPr/>
            </w:pPr>
            <w:r>
              <w:rPr/>
              <w:t xml:space="preserve">  </w:t>
            </w:r>
          </w:p>
        </w:tc>
        <w:tc>
          <w:tcPr>
            <w:tcW w:w="993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transition period from _________ to _________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288" w:right="288" w:hanging="0"/>
        <w:jc w:val="center"/>
        <w:rPr/>
      </w:pPr>
      <w:r>
        <w:rPr/>
        <w:t> </w:t>
      </w:r>
    </w:p>
    <w:p>
      <w:pPr>
        <w:pStyle w:val="TextBody"/>
        <w:spacing w:lineRule="auto" w:line="240" w:before="0" w:after="0"/>
        <w:ind w:left="0" w:right="0" w:hanging="0"/>
        <w:rPr>
          <w:rFonts w:ascii="times new roman;times" w:hAnsi="times new roman;times"/>
          <w:sz w:val="20"/>
        </w:rPr>
      </w:pPr>
      <w:r>
        <w:rPr>
          <w:rFonts w:ascii="Times New Roman" w:hAnsi="Times New Roman"/>
          <w:sz w:val="20"/>
        </w:rPr>
        <w:t xml:space="preserve">Commission file number </w:t>
      </w:r>
      <w:r>
        <w:rPr>
          <w:rFonts w:ascii="Times New Roman" w:hAnsi="Times New Roman"/>
          <w:sz w:val="20"/>
          <w:u w:val="single"/>
        </w:rPr>
        <w:t>001-33660</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36"/>
        </w:rPr>
      </w:pPr>
      <w:r>
        <w:rPr>
          <w:rFonts w:ascii="Times New Roman" w:hAnsi="Times New Roman"/>
          <w:b/>
          <w:sz w:val="36"/>
        </w:rPr>
        <w:t>CLEARONE, INC.</w:t>
      </w:r>
    </w:p>
    <w:p>
      <w:pPr>
        <w:pStyle w:val="TextBody"/>
        <w:spacing w:lineRule="auto" w:line="240"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28" w:type="dxa"/>
          <w:right w:w="0" w:type="dxa"/>
        </w:tblCellMar>
      </w:tblPr>
      <w:tblGrid>
        <w:gridCol w:w="5964"/>
        <w:gridCol w:w="201"/>
        <w:gridCol w:w="4040"/>
      </w:tblGrid>
      <w:tr>
        <w:trPr/>
        <w:tc>
          <w:tcPr>
            <w:tcW w:w="5964"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201" w:type="dxa"/>
            <w:tcBorders/>
            <w:shd w:fill="auto" w:val="clear"/>
            <w:tcMar>
              <w:bottom w:w="0" w:type="dxa"/>
            </w:tcMar>
            <w:vAlign w:val="center"/>
          </w:tcPr>
          <w:p>
            <w:pPr>
              <w:pStyle w:val="TableContents"/>
              <w:spacing w:before="0" w:after="0"/>
              <w:ind w:left="0" w:right="16" w:hanging="0"/>
              <w:rPr/>
            </w:pPr>
            <w:r>
              <w:rPr/>
              <w:t xml:space="preserve">  </w:t>
            </w:r>
          </w:p>
        </w:tc>
        <w:tc>
          <w:tcPr>
            <w:tcW w:w="4040" w:type="dxa"/>
            <w:tcBorders>
              <w:bottom w:val="single" w:sz="6" w:space="0" w:color="000000"/>
            </w:tcBorders>
            <w:shd w:fill="auto" w:val="clear"/>
            <w:vAlign w:val="center"/>
          </w:tcPr>
          <w:p>
            <w:pPr>
              <w:pStyle w:val="TableContents"/>
              <w:spacing w:before="0" w:after="0"/>
              <w:ind w:left="0" w:right="16" w:hanging="0"/>
              <w:jc w:val="center"/>
              <w:rPr>
                <w:rFonts w:ascii="Times New Roman" w:hAnsi="Times New Roman"/>
                <w:b/>
                <w:sz w:val="20"/>
              </w:rPr>
            </w:pPr>
            <w:r>
              <w:rPr>
                <w:rFonts w:ascii="Times New Roman" w:hAnsi="Times New Roman"/>
                <w:b/>
                <w:sz w:val="20"/>
              </w:rPr>
              <w:t>87-0398877</w:t>
            </w:r>
          </w:p>
        </w:tc>
      </w:tr>
      <w:tr>
        <w:trPr/>
        <w:tc>
          <w:tcPr>
            <w:tcW w:w="5964"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(State or other jurisdiction of incorporation or organization)</w:t>
            </w:r>
          </w:p>
        </w:tc>
        <w:tc>
          <w:tcPr>
            <w:tcW w:w="201" w:type="dxa"/>
            <w:tcBorders/>
            <w:shd w:fill="auto" w:val="clear"/>
            <w:tcMar>
              <w:bottom w:w="0" w:type="dxa"/>
            </w:tcMar>
            <w:vAlign w:val="center"/>
          </w:tcPr>
          <w:p>
            <w:pPr>
              <w:pStyle w:val="TableContents"/>
              <w:spacing w:before="0" w:after="0"/>
              <w:ind w:left="0" w:right="16" w:hanging="0"/>
              <w:rPr/>
            </w:pPr>
            <w:r>
              <w:rPr/>
              <w:t xml:space="preserve">  </w:t>
            </w:r>
          </w:p>
        </w:tc>
        <w:tc>
          <w:tcPr>
            <w:tcW w:w="4040"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(I.R.S. employer identification number)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294" w:right="294"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28" w:type="dxa"/>
          <w:right w:w="0" w:type="dxa"/>
        </w:tblCellMar>
      </w:tblPr>
      <w:tblGrid>
        <w:gridCol w:w="8071"/>
        <w:gridCol w:w="293"/>
        <w:gridCol w:w="1841"/>
      </w:tblGrid>
      <w:tr>
        <w:trPr/>
        <w:tc>
          <w:tcPr>
            <w:tcW w:w="8071"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5225 Wiley Post Way, Suite 500, Salt Lake City, </w:t>
            </w:r>
            <w:r>
              <w:rPr>
                <w:rFonts w:ascii="Times New Roman" w:hAnsi="Times New Roman"/>
                <w:b/>
                <w:sz w:val="20"/>
              </w:rPr>
              <w:t>Utah</w:t>
            </w:r>
          </w:p>
        </w:tc>
        <w:tc>
          <w:tcPr>
            <w:tcW w:w="293" w:type="dxa"/>
            <w:tcBorders/>
            <w:shd w:fill="auto" w:val="clear"/>
            <w:tcMar>
              <w:bottom w:w="0" w:type="dxa"/>
            </w:tcMar>
            <w:vAlign w:val="center"/>
          </w:tcPr>
          <w:p>
            <w:pPr>
              <w:pStyle w:val="TableContents"/>
              <w:spacing w:before="0" w:after="0"/>
              <w:ind w:left="0" w:right="16" w:hanging="0"/>
              <w:rPr/>
            </w:pPr>
            <w:r>
              <w:rPr/>
              <w:t xml:space="preserve">  </w:t>
            </w:r>
          </w:p>
        </w:tc>
        <w:tc>
          <w:tcPr>
            <w:tcW w:w="1841" w:type="dxa"/>
            <w:tcBorders>
              <w:bottom w:val="single" w:sz="6" w:space="0" w:color="000000"/>
            </w:tcBorders>
            <w:shd w:fill="auto" w:val="clear"/>
            <w:vAlign w:val="center"/>
          </w:tcPr>
          <w:p>
            <w:pPr>
              <w:pStyle w:val="TableContents"/>
              <w:spacing w:before="0" w:after="0"/>
              <w:ind w:left="0" w:right="16" w:hanging="0"/>
              <w:jc w:val="center"/>
              <w:rPr>
                <w:rFonts w:ascii="Times New Roman" w:hAnsi="Times New Roman"/>
                <w:b/>
                <w:sz w:val="20"/>
              </w:rPr>
            </w:pPr>
            <w:r>
              <w:rPr>
                <w:rFonts w:ascii="Times New Roman" w:hAnsi="Times New Roman"/>
                <w:b/>
                <w:sz w:val="20"/>
              </w:rPr>
              <w:t>84116</w:t>
            </w:r>
          </w:p>
        </w:tc>
      </w:tr>
      <w:tr>
        <w:trPr/>
        <w:tc>
          <w:tcPr>
            <w:tcW w:w="8071"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(Address of principal executive offices) </w:t>
            </w:r>
          </w:p>
        </w:tc>
        <w:tc>
          <w:tcPr>
            <w:tcW w:w="293" w:type="dxa"/>
            <w:tcBorders/>
            <w:shd w:fill="auto" w:val="clear"/>
            <w:tcMar>
              <w:bottom w:w="0" w:type="dxa"/>
            </w:tcMar>
            <w:vAlign w:val="center"/>
          </w:tcPr>
          <w:p>
            <w:pPr>
              <w:pStyle w:val="TableContents"/>
              <w:spacing w:before="0" w:after="0"/>
              <w:ind w:left="0" w:right="16" w:hanging="0"/>
              <w:rPr/>
            </w:pPr>
            <w:r>
              <w:rPr/>
              <w:t xml:space="preserve">  </w:t>
            </w:r>
          </w:p>
        </w:tc>
        <w:tc>
          <w:tcPr>
            <w:tcW w:w="1841"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(Zip Code)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(801)975-7200</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Securities registered pursuant to Section 12(b) of the Act:</w:t>
      </w:r>
    </w:p>
    <w:p>
      <w:pPr>
        <w:pStyle w:val="TextBody"/>
        <w:spacing w:lineRule="auto" w:line="240"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28" w:type="dxa"/>
          <w:right w:w="0" w:type="dxa"/>
        </w:tblCellMar>
      </w:tblPr>
      <w:tblGrid>
        <w:gridCol w:w="3335"/>
        <w:gridCol w:w="63"/>
        <w:gridCol w:w="2119"/>
        <w:gridCol w:w="63"/>
        <w:gridCol w:w="4625"/>
      </w:tblGrid>
      <w:tr>
        <w:trPr/>
        <w:tc>
          <w:tcPr>
            <w:tcW w:w="3335"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Title of each class </w:t>
            </w:r>
          </w:p>
        </w:tc>
        <w:tc>
          <w:tcPr>
            <w:tcW w:w="63" w:type="dxa"/>
            <w:tcBorders/>
            <w:shd w:fill="auto" w:val="clear"/>
            <w:tcMar>
              <w:bottom w:w="0" w:type="dxa"/>
            </w:tcMar>
            <w:vAlign w:val="center"/>
          </w:tcPr>
          <w:p>
            <w:pPr>
              <w:pStyle w:val="TableContents"/>
              <w:spacing w:before="0" w:after="283"/>
              <w:rPr/>
            </w:pPr>
            <w:r>
              <w:rPr/>
            </w:r>
          </w:p>
        </w:tc>
        <w:tc>
          <w:tcPr>
            <w:tcW w:w="2119" w:type="dxa"/>
            <w:tcBorders>
              <w:bottom w:val="single" w:sz="6" w:space="0" w:color="000000"/>
            </w:tcBorders>
            <w:shd w:fill="auto" w:val="clear"/>
            <w:vAlign w:val="center"/>
          </w:tcPr>
          <w:p>
            <w:pPr>
              <w:pStyle w:val="TableContents"/>
              <w:spacing w:before="0" w:after="0"/>
              <w:ind w:left="0" w:right="16" w:hanging="0"/>
              <w:jc w:val="center"/>
              <w:rPr/>
            </w:pPr>
            <w:r>
              <w:rPr/>
              <w:t xml:space="preserve">  </w:t>
            </w:r>
            <w:r>
              <w:rPr>
                <w:rFonts w:ascii="Times New Roman" w:hAnsi="Times New Roman"/>
                <w:b/>
                <w:sz w:val="20"/>
              </w:rPr>
              <w:t>Trading Symbol(s)</w:t>
            </w:r>
          </w:p>
        </w:tc>
        <w:tc>
          <w:tcPr>
            <w:tcW w:w="63" w:type="dxa"/>
            <w:tcBorders/>
            <w:shd w:fill="auto" w:val="clear"/>
            <w:tcMar>
              <w:bottom w:w="0" w:type="dxa"/>
            </w:tcMar>
            <w:vAlign w:val="center"/>
          </w:tcPr>
          <w:p>
            <w:pPr>
              <w:pStyle w:val="TableContents"/>
              <w:spacing w:before="0" w:after="283"/>
              <w:rPr/>
            </w:pPr>
            <w:r>
              <w:rPr/>
            </w:r>
          </w:p>
        </w:tc>
        <w:tc>
          <w:tcPr>
            <w:tcW w:w="4625" w:type="dxa"/>
            <w:tcBorders>
              <w:bottom w:val="single" w:sz="6" w:space="0" w:color="000000"/>
            </w:tcBorders>
            <w:shd w:fill="auto" w:val="clear"/>
            <w:vAlign w:val="center"/>
          </w:tcPr>
          <w:p>
            <w:pPr>
              <w:pStyle w:val="TableContents"/>
              <w:spacing w:before="0" w:after="0"/>
              <w:ind w:left="0" w:right="16" w:hanging="0"/>
              <w:jc w:val="center"/>
              <w:rPr>
                <w:rFonts w:ascii="Times New Roman" w:hAnsi="Times New Roman"/>
                <w:b/>
                <w:sz w:val="20"/>
              </w:rPr>
            </w:pPr>
            <w:r>
              <w:rPr>
                <w:rFonts w:ascii="Times New Roman" w:hAnsi="Times New Roman"/>
                <w:b/>
                <w:sz w:val="20"/>
              </w:rPr>
              <w:t xml:space="preserve">Name on each exchange on which registered </w:t>
            </w:r>
          </w:p>
        </w:tc>
      </w:tr>
      <w:tr>
        <w:trPr/>
        <w:tc>
          <w:tcPr>
            <w:tcW w:w="3335"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Common Stock, $0.001 par value</w:t>
            </w:r>
          </w:p>
        </w:tc>
        <w:tc>
          <w:tcPr>
            <w:tcW w:w="63" w:type="dxa"/>
            <w:tcBorders/>
            <w:shd w:fill="auto" w:val="clear"/>
            <w:tcMar>
              <w:bottom w:w="0" w:type="dxa"/>
            </w:tcMar>
            <w:vAlign w:val="center"/>
          </w:tcPr>
          <w:p>
            <w:pPr>
              <w:pStyle w:val="TableContents"/>
              <w:spacing w:before="0" w:after="283"/>
              <w:rPr/>
            </w:pPr>
            <w:r>
              <w:rPr/>
            </w:r>
          </w:p>
        </w:tc>
        <w:tc>
          <w:tcPr>
            <w:tcW w:w="2119" w:type="dxa"/>
            <w:tcBorders/>
            <w:shd w:fill="auto" w:val="clear"/>
            <w:tcMar>
              <w:bottom w:w="0" w:type="dxa"/>
            </w:tcMar>
            <w:vAlign w:val="center"/>
          </w:tcPr>
          <w:p>
            <w:pPr>
              <w:pStyle w:val="TableContents"/>
              <w:spacing w:before="0" w:after="0"/>
              <w:ind w:left="0" w:right="16" w:hanging="0"/>
              <w:jc w:val="center"/>
              <w:rPr/>
            </w:pPr>
            <w:r>
              <w:rPr/>
              <w:t xml:space="preserve">  </w:t>
            </w:r>
            <w:r>
              <w:rPr>
                <w:rFonts w:ascii="Times New Roman" w:hAnsi="Times New Roman"/>
                <w:sz w:val="20"/>
              </w:rPr>
              <w:t>CLRO</w:t>
            </w:r>
          </w:p>
        </w:tc>
        <w:tc>
          <w:tcPr>
            <w:tcW w:w="63" w:type="dxa"/>
            <w:tcBorders/>
            <w:shd w:fill="auto" w:val="clear"/>
            <w:tcMar>
              <w:bottom w:w="0" w:type="dxa"/>
            </w:tcMar>
            <w:vAlign w:val="center"/>
          </w:tcPr>
          <w:p>
            <w:pPr>
              <w:pStyle w:val="TableContents"/>
              <w:spacing w:before="0" w:after="283"/>
              <w:rPr/>
            </w:pPr>
            <w:r>
              <w:rPr/>
            </w:r>
          </w:p>
        </w:tc>
        <w:tc>
          <w:tcPr>
            <w:tcW w:w="4625" w:type="dxa"/>
            <w:tcBorders/>
            <w:shd w:fill="auto" w:val="clear"/>
            <w:tcMar>
              <w:bottom w:w="0" w:type="dxa"/>
            </w:tcMar>
            <w:vAlign w:val="center"/>
          </w:tcPr>
          <w:p>
            <w:pPr>
              <w:pStyle w:val="TableContents"/>
              <w:spacing w:before="0" w:after="0"/>
              <w:ind w:left="0" w:right="16" w:hanging="0"/>
              <w:jc w:val="center"/>
              <w:rPr>
                <w:rFonts w:ascii="Times New Roman" w:hAnsi="Times New Roman"/>
                <w:sz w:val="20"/>
              </w:rPr>
            </w:pPr>
            <w:r>
              <w:rPr>
                <w:rFonts w:ascii="Times New Roman" w:hAnsi="Times New Roman"/>
                <w:sz w:val="20"/>
              </w:rPr>
              <w:t xml:space="preserve">The Nasdaq Capital Market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294" w:right="294" w:hanging="0"/>
        <w:rPr/>
      </w:pPr>
      <w:r>
        <w:rPr/>
        <w:t> </w:t>
      </w:r>
    </w:p>
    <w:p>
      <w:pPr>
        <w:pStyle w:val="TextBody"/>
        <w:spacing w:lineRule="auto" w:line="240" w:before="0" w:after="0"/>
        <w:ind w:left="0" w:right="0" w:hanging="0"/>
        <w:jc w:val="center"/>
        <w:rPr>
          <w:rFonts w:ascii="Times New Roman" w:hAnsi="Times New Roman"/>
          <w:sz w:val="20"/>
        </w:rPr>
      </w:pPr>
      <w:r>
        <w:rPr>
          <w:rFonts w:ascii="Times New Roman" w:hAnsi="Times New Roman"/>
          <w:sz w:val="20"/>
        </w:rPr>
        <w:t>Securities registered pursuant to Section 12(g) of the Act: None</w:t>
      </w:r>
    </w:p>
    <w:p>
      <w:pPr>
        <w:pStyle w:val="TextBody"/>
        <w:spacing w:lineRule="auto" w:line="240" w:before="0" w:after="0"/>
        <w:ind w:left="0" w:right="0" w:hanging="0"/>
        <w:jc w:val="center"/>
        <w:rPr>
          <w:rFonts w:ascii="Times New Roman" w:hAnsi="Times New Roman"/>
          <w:sz w:val="20"/>
        </w:rPr>
      </w:pPr>
      <w:r>
        <w:rPr>
          <w:rFonts w:ascii="Times New Roman" w:hAnsi="Times New Roman"/>
          <w:sz w:val="20"/>
        </w:rPr>
        <w:t>________________</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Indicate by check mark if the registrant is a well-known seasoned issuer, as defined in Rule 405 of the Securities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Indicate by check mark if the registrant is not required to file reports pursuant to Section 13 or Section 15(d) of the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240" w:before="0" w:after="0"/>
        <w:ind w:left="0" w:right="0" w:hanging="0"/>
        <w:rPr/>
      </w:pPr>
      <w:r>
        <w:rPr/>
        <w:t> </w:t>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 w:hAnsi="times new roman;times"/>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Yes </w:t>
      </w:r>
      <w:r>
        <w:rPr>
          <w:rFonts w:ascii="times new roman;times" w:hAnsi="times new roman;times"/>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No</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widowControl/>
        <w:spacing w:before="0" w:after="0"/>
        <w:ind w:left="144" w:right="144" w:hanging="0"/>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4581"/>
        <w:gridCol w:w="5624"/>
      </w:tblGrid>
      <w:tr>
        <w:trPr/>
        <w:tc>
          <w:tcPr>
            <w:tcW w:w="4581"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Larger Accelerated Filer ☐</w:t>
            </w:r>
          </w:p>
        </w:tc>
        <w:tc>
          <w:tcPr>
            <w:tcW w:w="5624" w:type="dxa"/>
            <w:tcBorders/>
            <w:shd w:fill="auto" w:val="clear"/>
            <w:vAlign w:val="center"/>
          </w:tcPr>
          <w:p>
            <w:pPr>
              <w:pStyle w:val="TableContents"/>
              <w:spacing w:before="0" w:after="0"/>
              <w:ind w:left="0" w:right="144" w:hanging="0"/>
              <w:jc w:val="both"/>
              <w:rPr>
                <w:rFonts w:ascii="Times New Roman" w:hAnsi="Times New Roman"/>
                <w:sz w:val="20"/>
              </w:rPr>
            </w:pPr>
            <w:r>
              <w:rPr>
                <w:rFonts w:ascii="Times New Roman" w:hAnsi="Times New Roman"/>
                <w:sz w:val="20"/>
              </w:rPr>
              <w:t>Accelerated Filer ☐ </w:t>
            </w:r>
          </w:p>
        </w:tc>
      </w:tr>
      <w:tr>
        <w:trPr/>
        <w:tc>
          <w:tcPr>
            <w:tcW w:w="4581" w:type="dxa"/>
            <w:tcBorders/>
            <w:shd w:fill="auto" w:val="clear"/>
            <w:vAlign w:val="center"/>
          </w:tcPr>
          <w:p>
            <w:pPr>
              <w:pStyle w:val="TableContents"/>
              <w:widowControl/>
              <w:spacing w:before="0" w:after="0"/>
              <w:ind w:left="0" w:right="144" w:hanging="0"/>
              <w:jc w:val="both"/>
              <w:rPr>
                <w:rFonts w:ascii="Times New Roman" w:hAnsi="Times New Roman"/>
                <w:sz w:val="20"/>
              </w:rPr>
            </w:pPr>
            <w:r>
              <w:rPr>
                <w:rFonts w:ascii="Times New Roman" w:hAnsi="Times New Roman"/>
                <w:sz w:val="20"/>
              </w:rPr>
              <w:t>Non-Accelerated Filer </w:t>
            </w:r>
            <w:r>
              <w:rPr>
                <w:rFonts w:ascii="Times New Roman" w:hAnsi="Times New Roman"/>
                <w:caps w:val="false"/>
                <w:smallCaps w:val="false"/>
                <w:color w:val="000000"/>
                <w:spacing w:val="0"/>
                <w:sz w:val="20"/>
              </w:rPr>
              <w:t>☒</w:t>
            </w:r>
            <w:r>
              <w:rPr>
                <w:rFonts w:ascii="Times New Roman" w:hAnsi="Times New Roman"/>
                <w:sz w:val="20"/>
              </w:rPr>
              <w:t>  </w:t>
            </w:r>
          </w:p>
        </w:tc>
        <w:tc>
          <w:tcPr>
            <w:tcW w:w="5624" w:type="dxa"/>
            <w:tcBorders/>
            <w:shd w:fill="auto" w:val="clear"/>
            <w:vAlign w:val="center"/>
          </w:tcPr>
          <w:p>
            <w:pPr>
              <w:pStyle w:val="TableContents"/>
              <w:spacing w:before="0" w:after="0"/>
              <w:ind w:left="0" w:right="144" w:hanging="0"/>
              <w:jc w:val="both"/>
              <w:rPr>
                <w:rFonts w:ascii="Times New Roman" w:hAnsi="Times New Roman"/>
                <w:sz w:val="20"/>
              </w:rPr>
            </w:pPr>
            <w:r>
              <w:rPr>
                <w:rFonts w:ascii="Times New Roman" w:hAnsi="Times New Roman"/>
                <w:sz w:val="20"/>
              </w:rPr>
              <w:t>Smaller Reporting Company</w:t>
            </w:r>
            <w:r>
              <w:rPr>
                <w:rFonts w:ascii="Times New Roman" w:hAnsi="Times New Roman"/>
                <w:sz w:val="20"/>
              </w:rPr>
              <w:t> ☒ </w:t>
            </w:r>
          </w:p>
        </w:tc>
      </w:tr>
      <w:tr>
        <w:trPr/>
        <w:tc>
          <w:tcPr>
            <w:tcW w:w="4581" w:type="dxa"/>
            <w:tcBorders/>
            <w:shd w:fill="auto" w:val="clear"/>
            <w:vAlign w:val="center"/>
          </w:tcPr>
          <w:p>
            <w:pPr>
              <w:pStyle w:val="TableContents"/>
              <w:spacing w:before="0" w:after="0"/>
              <w:ind w:left="0" w:right="0" w:hanging="0"/>
              <w:rPr/>
            </w:pPr>
            <w:r>
              <w:rPr/>
              <w:t> </w:t>
            </w:r>
          </w:p>
        </w:tc>
        <w:tc>
          <w:tcPr>
            <w:tcW w:w="5624" w:type="dxa"/>
            <w:tcBorders/>
            <w:shd w:fill="auto" w:val="clear"/>
            <w:vAlign w:val="center"/>
          </w:tcPr>
          <w:p>
            <w:pPr>
              <w:pStyle w:val="TableContents"/>
              <w:spacing w:before="0" w:after="0"/>
              <w:ind w:left="0" w:right="144" w:hanging="0"/>
              <w:jc w:val="both"/>
              <w:rPr>
                <w:rFonts w:ascii="Times New Roman" w:hAnsi="Times New Roman"/>
                <w:sz w:val="20"/>
              </w:rPr>
            </w:pPr>
            <w:r>
              <w:rPr>
                <w:rFonts w:ascii="Times New Roman" w:hAnsi="Times New Roman"/>
                <w:sz w:val="20"/>
              </w:rPr>
              <w:t>Emerging Growth Company ☐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144" w:right="144" w:hanging="0"/>
        <w:rPr>
          <w:caps w:val="false"/>
          <w:smallCaps w:val="false"/>
          <w:color w:val="000000"/>
          <w:spacing w:val="0"/>
        </w:rPr>
      </w:pPr>
      <w:r>
        <w:rPr>
          <w:caps w:val="false"/>
          <w:smallCaps w:val="false"/>
          <w:color w:val="000000"/>
          <w:spacing w:val="0"/>
        </w:rPr>
        <w:t>  </w:t>
      </w:r>
    </w:p>
    <w:tbl>
      <w:tblPr>
        <w:tblW w:w="169" w:type="dxa"/>
        <w:jc w:val="left"/>
        <w:tblInd w:w="0" w:type="dxa"/>
        <w:tblCellMar>
          <w:top w:w="0" w:type="dxa"/>
          <w:left w:w="0" w:type="dxa"/>
          <w:bottom w:w="0" w:type="dxa"/>
          <w:right w:w="0" w:type="dxa"/>
        </w:tblCellMar>
      </w:tblPr>
      <w:tblGrid>
        <w:gridCol w:w="169"/>
      </w:tblGrid>
      <w:tr>
        <w:trPr/>
        <w:tc>
          <w:tcPr>
            <w:tcW w:w="169" w:type="dxa"/>
            <w:tcBorders/>
            <w:shd w:fill="auto" w:val="clear"/>
            <w:vAlign w:val="center"/>
          </w:tcPr>
          <w:p>
            <w:pPr>
              <w:pStyle w:val="TableContents"/>
              <w:spacing w:before="0" w:after="283"/>
              <w:rPr/>
            </w:pPr>
            <w:r>
              <w:rPr/>
            </w:r>
          </w:p>
        </w:tc>
      </w:tr>
    </w:tbl>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b w:val="false"/>
          <w:i w:val="false"/>
          <w:caps w:val="false"/>
          <w:smallCaps w:val="false"/>
          <w:color w:val="000000"/>
          <w:spacing w:val="0"/>
          <w:sz w:val="20"/>
        </w:rPr>
        <w:t>☐</w:t>
      </w:r>
    </w:p>
    <w:p>
      <w:pPr>
        <w:pStyle w:val="TextBody"/>
        <w:widowControl/>
        <w:spacing w:before="0" w:after="0"/>
        <w:ind w:left="0" w:right="0" w:hanging="0"/>
        <w:rPr>
          <w:rFonts w:ascii="Segoe UI Symbol" w:hAnsi="Segoe UI Symbol"/>
          <w:sz w:val="20"/>
        </w:rPr>
      </w:pPr>
      <w:r>
        <w:rPr>
          <w:rFonts w:ascii="Segoe UI Symbol" w:hAnsi="Segoe UI Symbol"/>
          <w:sz w:val="20"/>
        </w:rPr>
      </w:r>
    </w:p>
    <w:p>
      <w:pPr>
        <w:pStyle w:val="TextBody"/>
        <w:spacing w:lineRule="auto" w:line="240" w:before="0" w:after="0"/>
        <w:ind w:left="0" w:right="0" w:hanging="0"/>
        <w:rPr>
          <w:rFonts w:ascii="Times New Roman" w:hAnsi="Times New Roman"/>
          <w:sz w:val="20"/>
        </w:rPr>
      </w:pPr>
      <w:r>
        <w:rPr>
          <w:rFonts w:ascii="Times New Roman" w:hAnsi="Times New Roman"/>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rPr>
          <w:rFonts w:ascii="Times New Roman" w:hAnsi="Times New Roman"/>
          <w:sz w:val="20"/>
        </w:rPr>
      </w:pPr>
      <w:r>
        <w:rPr>
          <w:rFonts w:ascii="Times New Roman" w:hAnsi="Times New Roman"/>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rPr>
          <w:rFonts w:ascii="Times New Roman" w:hAnsi="Times New Roman"/>
          <w:sz w:val="20"/>
        </w:rPr>
      </w:pPr>
      <w:r>
        <w:rPr>
          <w:rFonts w:ascii="Times New Roman" w:hAnsi="Times New Roman"/>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rPr>
          <w:rFonts w:ascii="times new roman;times" w:hAnsi="times new roman;times"/>
          <w:sz w:val="20"/>
        </w:rPr>
      </w:pPr>
      <w:r>
        <w:rPr>
          <w:rFonts w:ascii="Times New Roman" w:hAnsi="Times New Roman"/>
          <w:sz w:val="20"/>
        </w:rPr>
        <w:t xml:space="preserve">Indicate by check mark whether the registrant is a shell Company (as defined in Rule 12b-2 of the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aggregate market value of the shares of voting common stock held by non-affiliates was approximately $6.7 million at June 30, 2022</w:t>
      </w:r>
      <w:r>
        <w:rPr>
          <w:rFonts w:ascii="Times New Roman" w:hAnsi="Times New Roman"/>
          <w:b/>
          <w:sz w:val="20"/>
        </w:rPr>
        <w:t>,</w:t>
      </w:r>
      <w:r>
        <w:rPr>
          <w:rFonts w:ascii="times new roman;times" w:hAnsi="times new roman;times"/>
          <w:sz w:val="20"/>
        </w:rPr>
        <w:t xml:space="preserve"> </w:t>
      </w:r>
      <w:r>
        <w:rPr>
          <w:rFonts w:ascii="Times New Roman" w:hAnsi="Times New Roman"/>
          <w:sz w:val="20"/>
        </w:rPr>
        <w:t>(the Company’s most recently completed second fiscal quarter), based on the $0.54</w:t>
      </w:r>
      <w:r>
        <w:rPr>
          <w:rFonts w:ascii="times new roman;times" w:hAnsi="times new roman;times"/>
          <w:sz w:val="20"/>
        </w:rPr>
        <w:t> </w:t>
      </w:r>
      <w:r>
        <w:rPr>
          <w:rFonts w:ascii="Times New Roman" w:hAnsi="Times New Roman"/>
          <w:sz w:val="20"/>
        </w:rPr>
        <w:t>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times" w:hAnsi="times new roman;times"/>
          <w:sz w:val="20"/>
        </w:rPr>
      </w:pPr>
      <w:r>
        <w:rPr>
          <w:rFonts w:ascii="Times New Roman" w:hAnsi="Times New Roman"/>
          <w:sz w:val="20"/>
        </w:rPr>
        <w:t xml:space="preserve">The number of shares of ClearOne common stock outstanding as of </w:t>
      </w:r>
      <w:r>
        <w:rPr>
          <w:rFonts w:ascii="times new roman;times" w:hAnsi="times new roman;times"/>
          <w:sz w:val="20"/>
        </w:rPr>
        <w:t xml:space="preserve">March 30, 2023 </w:t>
      </w:r>
      <w:r>
        <w:rPr>
          <w:rFonts w:ascii="Times New Roman" w:hAnsi="Times New Roman"/>
          <w:sz w:val="20"/>
        </w:rPr>
        <w:t xml:space="preserve">was </w:t>
      </w:r>
      <w:r>
        <w:rPr>
          <w:rFonts w:ascii="Times New Roman" w:hAnsi="Times New Roman"/>
          <w:sz w:val="20"/>
        </w:rPr>
        <w:t>23,955,767</w:t>
      </w:r>
      <w:r>
        <w:rPr>
          <w:rFonts w:ascii="Times New Roman" w:hAnsi="Times New Roman"/>
          <w:sz w:val="20"/>
        </w:rPr>
        <w:t>.</w:t>
      </w:r>
      <w:r>
        <w:rPr>
          <w:rFonts w:ascii="times new roman;times" w:hAnsi="times new roman;times"/>
          <w:sz w:val="20"/>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rPr>
          <w:rFonts w:ascii="Times New Roman" w:hAnsi="Times New Roman"/>
          <w:sz w:val="20"/>
        </w:rPr>
      </w:pPr>
      <w:r>
        <w:rPr>
          <w:rFonts w:ascii="Times New Roman" w:hAnsi="Times New Roman"/>
          <w:b/>
          <w:sz w:val="20"/>
        </w:rPr>
        <w:t>Documents Incorporated by Reference:</w:t>
      </w:r>
      <w:r>
        <w:rPr>
          <w:rFonts w:ascii="Times New Roman" w:hAnsi="Times New Roman"/>
          <w:sz w:val="20"/>
        </w:rPr>
        <w:t xml:space="preserve"> None</w:t>
      </w:r>
    </w:p>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CLEARONE, INC.</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times" w:hAnsi="times new roman;times"/>
          <w:sz w:val="20"/>
        </w:rPr>
      </w:pPr>
      <w:r>
        <w:rPr>
          <w:rFonts w:ascii="Times New Roman" w:hAnsi="Times New Roman"/>
          <w:b/>
          <w:sz w:val="20"/>
        </w:rPr>
        <w:t>Annual Report on Form 10-K For the year ended</w:t>
      </w:r>
      <w:r>
        <w:rPr>
          <w:rFonts w:ascii="times new roman;times" w:hAnsi="times new roman;times"/>
          <w:b/>
          <w:sz w:val="20"/>
        </w:rPr>
        <w:t>December 31, 2022</w:t>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lineRule="auto" w:line="240" w:before="0" w:after="0"/>
        <w:ind w:left="144" w:right="144" w:hanging="0"/>
        <w:rPr/>
      </w:pPr>
      <w:r>
        <w:rPr/>
        <w:t>​</w:t>
      </w:r>
    </w:p>
    <w:p>
      <w:pPr>
        <w:pStyle w:val="Normal"/>
        <w:spacing w:before="0" w:after="0"/>
        <w:rPr>
          <w:sz w:val="4"/>
          <w:szCs w:val="4"/>
        </w:rPr>
      </w:pPr>
      <w:r>
        <w:rPr>
          <w:sz w:val="4"/>
          <w:szCs w:val="4"/>
        </w:rPr>
      </w:r>
      <w:bookmarkStart w:id="2" w:name="TOC"/>
      <w:bookmarkStart w:id="3" w:name="TOC"/>
      <w:bookmarkEnd w:id="3"/>
    </w:p>
    <w:tbl>
      <w:tblPr>
        <w:tblW w:w="5000" w:type="pct"/>
        <w:jc w:val="left"/>
        <w:tblInd w:w="0" w:type="dxa"/>
        <w:tblCellMar>
          <w:top w:w="0" w:type="dxa"/>
          <w:left w:w="0" w:type="dxa"/>
          <w:bottom w:w="0" w:type="dxa"/>
          <w:right w:w="0" w:type="dxa"/>
        </w:tblCellMar>
      </w:tblPr>
      <w:tblGrid>
        <w:gridCol w:w="732"/>
        <w:gridCol w:w="8926"/>
        <w:gridCol w:w="547"/>
      </w:tblGrid>
      <w:tr>
        <w:trPr/>
        <w:tc>
          <w:tcPr>
            <w:tcW w:w="732" w:type="dxa"/>
            <w:tcBorders/>
            <w:shd w:fill="auto" w:val="clear"/>
            <w:vAlign w:val="center"/>
          </w:tcPr>
          <w:p>
            <w:pPr>
              <w:pStyle w:val="TableContents"/>
              <w:spacing w:before="0" w:after="283"/>
              <w:jc w:val="center"/>
              <w:rPr/>
            </w:pPr>
            <w:r>
              <w:rPr/>
              <w:t> </w:t>
            </w:r>
          </w:p>
        </w:tc>
        <w:tc>
          <w:tcPr>
            <w:tcW w:w="8926" w:type="dxa"/>
            <w:tcBorders/>
            <w:shd w:fill="auto" w:val="clear"/>
            <w:vAlign w:val="center"/>
          </w:tcPr>
          <w:p>
            <w:pPr>
              <w:pStyle w:val="TableContents"/>
              <w:spacing w:before="0" w:after="0"/>
              <w:ind w:left="0" w:right="0" w:hanging="0"/>
              <w:jc w:val="left"/>
              <w:rPr/>
            </w:pPr>
            <w:r>
              <w:rPr/>
            </w:r>
          </w:p>
        </w:tc>
        <w:tc>
          <w:tcPr>
            <w:tcW w:w="547" w:type="dxa"/>
            <w:tcBorders>
              <w:bottom w:val="single" w:sz="8" w:space="0" w:color="000000"/>
            </w:tcBorders>
            <w:shd w:fill="auto" w:val="clear"/>
            <w:tcMar>
              <w:bottom w:w="28" w:type="dxa"/>
            </w:tcMar>
            <w:vAlign w:val="center"/>
          </w:tcPr>
          <w:p>
            <w:pPr>
              <w:pStyle w:val="TableContents"/>
              <w:spacing w:before="0" w:after="283"/>
              <w:jc w:val="center"/>
              <w:rPr/>
            </w:pPr>
            <w:r>
              <w:rPr/>
              <w:t>Page</w:t>
            </w:r>
          </w:p>
        </w:tc>
      </w:tr>
      <w:tr>
        <w:trPr/>
        <w:tc>
          <w:tcPr>
            <w:tcW w:w="732" w:type="dxa"/>
            <w:tcBorders/>
            <w:shd w:fill="auto" w:val="clear"/>
            <w:vAlign w:val="center"/>
          </w:tcPr>
          <w:p>
            <w:pPr>
              <w:pStyle w:val="TableContents"/>
              <w:spacing w:before="0" w:after="283"/>
              <w:rPr/>
            </w:pPr>
            <w:r>
              <w:rPr/>
            </w:r>
            <w:bookmarkStart w:id="4" w:name="BM_BA_CFOVR5EM8000000000000000000000"/>
            <w:bookmarkStart w:id="5" w:name="BM_BA_CFOVR5EM8000000000000000000000"/>
            <w:bookmarkEnd w:id="5"/>
          </w:p>
        </w:tc>
        <w:tc>
          <w:tcPr>
            <w:tcW w:w="8926" w:type="dxa"/>
            <w:tcBorders/>
            <w:shd w:fill="auto" w:val="clear"/>
            <w:vAlign w:val="center"/>
          </w:tcPr>
          <w:p>
            <w:pPr>
              <w:pStyle w:val="TableContents"/>
              <w:spacing w:before="0" w:after="283"/>
              <w:jc w:val="center"/>
              <w:rPr/>
            </w:pPr>
            <w:hyperlink w:anchor="BA_CFOVR5EM8000000000000000000000">
              <w:r>
                <w:rPr>
                  <w:rStyle w:val="InternetLink"/>
                  <w:rFonts w:ascii="times new roman;times" w:hAnsi="times new roman;times"/>
                  <w:sz w:val="20"/>
                </w:rPr>
                <w:t>PART I</w:t>
              </w:r>
            </w:hyperlink>
            <w:bookmarkStart w:id="6" w:name="BMP_BA_CFOVR5EM8000000000000000000000"/>
            <w:bookmarkEnd w:id="6"/>
          </w:p>
        </w:tc>
        <w:tc>
          <w:tcPr>
            <w:tcW w:w="547" w:type="dxa"/>
            <w:tcBorders/>
            <w:shd w:fill="auto" w:val="clear"/>
            <w:vAlign w:val="center"/>
          </w:tcPr>
          <w:p>
            <w:pPr>
              <w:pStyle w:val="TableContents"/>
              <w:spacing w:before="0" w:after="283"/>
              <w:jc w:val="center"/>
              <w:rPr/>
            </w:pPr>
            <w:r>
              <w:rPr/>
              <w:t>2</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7" w:name="BM_BB_SWO1LCYT7400000000000000000000"/>
            <w:bookmarkEnd w:id="7"/>
          </w:p>
        </w:tc>
        <w:tc>
          <w:tcPr>
            <w:tcW w:w="8926" w:type="dxa"/>
            <w:tcBorders/>
            <w:shd w:fill="auto" w:val="clear"/>
            <w:vAlign w:val="center"/>
          </w:tcPr>
          <w:p>
            <w:pPr>
              <w:pStyle w:val="TableContents"/>
              <w:spacing w:before="0" w:after="283"/>
              <w:rPr/>
            </w:pPr>
            <w:hyperlink w:anchor="BB_SWO1LCYT7400000000000000000000">
              <w:r>
                <w:rPr>
                  <w:rStyle w:val="InternetLink"/>
                  <w:rFonts w:ascii="times new roman;times" w:hAnsi="times new roman;times"/>
                  <w:sz w:val="20"/>
                </w:rPr>
                <w:t>Business</w:t>
              </w:r>
            </w:hyperlink>
            <w:bookmarkStart w:id="8" w:name="BMP_BB_SWO1LCYT7400000000000000000000"/>
            <w:bookmarkEnd w:id="8"/>
          </w:p>
        </w:tc>
        <w:tc>
          <w:tcPr>
            <w:tcW w:w="547" w:type="dxa"/>
            <w:tcBorders/>
            <w:shd w:fill="auto" w:val="clear"/>
            <w:vAlign w:val="center"/>
          </w:tcPr>
          <w:p>
            <w:pPr>
              <w:pStyle w:val="TableContents"/>
              <w:spacing w:before="0" w:after="283"/>
              <w:jc w:val="center"/>
              <w:rPr/>
            </w:pPr>
            <w:r>
              <w:rPr/>
              <w:t>2</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9" w:name="BM_BRF_KNJT6EYARK00000000000000000000"/>
            <w:bookmarkEnd w:id="9"/>
          </w:p>
        </w:tc>
        <w:tc>
          <w:tcPr>
            <w:tcW w:w="8926" w:type="dxa"/>
            <w:tcBorders/>
            <w:shd w:fill="auto" w:val="clear"/>
            <w:vAlign w:val="center"/>
          </w:tcPr>
          <w:p>
            <w:pPr>
              <w:pStyle w:val="TableContents"/>
              <w:spacing w:before="0" w:after="283"/>
              <w:rPr/>
            </w:pPr>
            <w:hyperlink w:anchor="BRF_KNJT6EYARK00000000000000000000">
              <w:r>
                <w:rPr>
                  <w:rStyle w:val="InternetLink"/>
                  <w:rFonts w:ascii="times new roman;times" w:hAnsi="times new roman;times"/>
                  <w:sz w:val="20"/>
                </w:rPr>
                <w:t>Risk Factors</w:t>
              </w:r>
            </w:hyperlink>
            <w:bookmarkStart w:id="10" w:name="BMP_BRF_KNJT6EYARK00000000000000000000"/>
            <w:bookmarkEnd w:id="10"/>
          </w:p>
        </w:tc>
        <w:tc>
          <w:tcPr>
            <w:tcW w:w="547" w:type="dxa"/>
            <w:tcBorders/>
            <w:shd w:fill="auto" w:val="clear"/>
            <w:vAlign w:val="center"/>
          </w:tcPr>
          <w:p>
            <w:pPr>
              <w:pStyle w:val="TableContents"/>
              <w:spacing w:before="0" w:after="283"/>
              <w:jc w:val="center"/>
              <w:rPr/>
            </w:pPr>
            <w:r>
              <w:rPr/>
              <w:t>17</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1B.</w:t>
            </w:r>
            <w:bookmarkStart w:id="11" w:name="BM_BAAA_B36RTR4S7400000000000000000000"/>
            <w:bookmarkEnd w:id="11"/>
          </w:p>
        </w:tc>
        <w:tc>
          <w:tcPr>
            <w:tcW w:w="8926" w:type="dxa"/>
            <w:tcBorders/>
            <w:shd w:fill="auto" w:val="clear"/>
            <w:vAlign w:val="center"/>
          </w:tcPr>
          <w:p>
            <w:pPr>
              <w:pStyle w:val="TableContents"/>
              <w:spacing w:before="0" w:after="283"/>
              <w:rPr/>
            </w:pPr>
            <w:hyperlink w:anchor="BAAA_B36RTR4S7400000000000000000000">
              <w:r>
                <w:rPr>
                  <w:rStyle w:val="InternetLink"/>
                  <w:rFonts w:ascii="times new roman;times" w:hAnsi="times new roman;times"/>
                  <w:sz w:val="20"/>
                </w:rPr>
                <w:t>Unresolved Staff Comments</w:t>
              </w:r>
            </w:hyperlink>
            <w:bookmarkStart w:id="12" w:name="BMP_BAAA_B36RTR4S7400000000000000000000"/>
            <w:bookmarkEnd w:id="12"/>
          </w:p>
        </w:tc>
        <w:tc>
          <w:tcPr>
            <w:tcW w:w="547" w:type="dxa"/>
            <w:tcBorders/>
            <w:shd w:fill="auto" w:val="clear"/>
            <w:vAlign w:val="center"/>
          </w:tcPr>
          <w:p>
            <w:pPr>
              <w:pStyle w:val="TableContents"/>
              <w:spacing w:before="0" w:after="283"/>
              <w:jc w:val="center"/>
              <w:rPr/>
            </w:pPr>
            <w:r>
              <w:rPr/>
              <w:t>28</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13" w:name="BM_BE_HMXOBBKDZ400000000000000000000"/>
            <w:bookmarkEnd w:id="13"/>
          </w:p>
        </w:tc>
        <w:tc>
          <w:tcPr>
            <w:tcW w:w="8926" w:type="dxa"/>
            <w:tcBorders/>
            <w:shd w:fill="auto" w:val="clear"/>
            <w:vAlign w:val="center"/>
          </w:tcPr>
          <w:p>
            <w:pPr>
              <w:pStyle w:val="TableContents"/>
              <w:spacing w:before="0" w:after="283"/>
              <w:rPr/>
            </w:pPr>
            <w:hyperlink w:anchor="BE_HMXOBBKDZ400000000000000000000">
              <w:r>
                <w:rPr>
                  <w:rStyle w:val="InternetLink"/>
                  <w:rFonts w:ascii="times new roman;times" w:hAnsi="times new roman;times"/>
                  <w:sz w:val="20"/>
                </w:rPr>
                <w:t>Properties</w:t>
              </w:r>
            </w:hyperlink>
            <w:bookmarkStart w:id="14" w:name="BMP_BE_HMXOBBKDZ400000000000000000000"/>
            <w:bookmarkEnd w:id="14"/>
          </w:p>
        </w:tc>
        <w:tc>
          <w:tcPr>
            <w:tcW w:w="547" w:type="dxa"/>
            <w:tcBorders/>
            <w:shd w:fill="auto" w:val="clear"/>
            <w:vAlign w:val="center"/>
          </w:tcPr>
          <w:p>
            <w:pPr>
              <w:pStyle w:val="TableContents"/>
              <w:spacing w:before="0" w:after="283"/>
              <w:jc w:val="center"/>
              <w:rPr/>
            </w:pPr>
            <w:r>
              <w:rPr/>
              <w:t>28</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15" w:name="BM_BF_6R0M0IZUU800000000000000000000"/>
            <w:bookmarkEnd w:id="15"/>
          </w:p>
        </w:tc>
        <w:tc>
          <w:tcPr>
            <w:tcW w:w="8926" w:type="dxa"/>
            <w:tcBorders/>
            <w:shd w:fill="auto" w:val="clear"/>
            <w:vAlign w:val="center"/>
          </w:tcPr>
          <w:p>
            <w:pPr>
              <w:pStyle w:val="TableContents"/>
              <w:spacing w:before="0" w:after="283"/>
              <w:rPr/>
            </w:pPr>
            <w:hyperlink w:anchor="BF_6R0M0IZUU800000000000000000000">
              <w:r>
                <w:rPr>
                  <w:rStyle w:val="InternetLink"/>
                  <w:rFonts w:ascii="times new roman;times" w:hAnsi="times new roman;times"/>
                  <w:sz w:val="20"/>
                </w:rPr>
                <w:t>Legal Proceedings</w:t>
              </w:r>
            </w:hyperlink>
            <w:bookmarkStart w:id="16" w:name="BMP_BF_6R0M0IZUU800000000000000000000"/>
            <w:bookmarkEnd w:id="16"/>
          </w:p>
        </w:tc>
        <w:tc>
          <w:tcPr>
            <w:tcW w:w="547" w:type="dxa"/>
            <w:tcBorders/>
            <w:shd w:fill="auto" w:val="clear"/>
            <w:vAlign w:val="center"/>
          </w:tcPr>
          <w:p>
            <w:pPr>
              <w:pStyle w:val="TableContents"/>
              <w:spacing w:before="0" w:after="283"/>
              <w:jc w:val="center"/>
              <w:rPr/>
            </w:pPr>
            <w:r>
              <w:rPr/>
              <w:t>28</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17" w:name="BM_BG_ODMGIDN1RK00000000000000000000"/>
            <w:bookmarkEnd w:id="17"/>
          </w:p>
        </w:tc>
        <w:tc>
          <w:tcPr>
            <w:tcW w:w="8926" w:type="dxa"/>
            <w:tcBorders/>
            <w:shd w:fill="auto" w:val="clear"/>
            <w:vAlign w:val="center"/>
          </w:tcPr>
          <w:p>
            <w:pPr>
              <w:pStyle w:val="TableContents"/>
              <w:spacing w:before="0" w:after="283"/>
              <w:rPr/>
            </w:pPr>
            <w:hyperlink w:anchor="BG_ODMGIDN1RK00000000000000000000">
              <w:r>
                <w:rPr>
                  <w:rStyle w:val="InternetLink"/>
                  <w:rFonts w:ascii="times new roman;times" w:hAnsi="times new roman;times"/>
                  <w:sz w:val="20"/>
                </w:rPr>
                <w:t>Mine Safety Disclosures</w:t>
              </w:r>
            </w:hyperlink>
            <w:bookmarkStart w:id="18" w:name="BMP_BG_ODMGIDN1RK00000000000000000000"/>
            <w:bookmarkEnd w:id="18"/>
          </w:p>
        </w:tc>
        <w:tc>
          <w:tcPr>
            <w:tcW w:w="547" w:type="dxa"/>
            <w:tcBorders/>
            <w:shd w:fill="auto" w:val="clear"/>
            <w:vAlign w:val="center"/>
          </w:tcPr>
          <w:p>
            <w:pPr>
              <w:pStyle w:val="TableContents"/>
              <w:spacing w:before="0" w:after="283"/>
              <w:jc w:val="center"/>
              <w:rPr/>
            </w:pPr>
            <w:r>
              <w:rPr/>
              <w:t>28</w:t>
            </w:r>
          </w:p>
        </w:tc>
      </w:tr>
      <w:tr>
        <w:trPr/>
        <w:tc>
          <w:tcPr>
            <w:tcW w:w="732" w:type="dxa"/>
            <w:tcBorders/>
            <w:shd w:fill="auto" w:val="clear"/>
            <w:vAlign w:val="center"/>
          </w:tcPr>
          <w:p>
            <w:pPr>
              <w:pStyle w:val="TableContents"/>
              <w:spacing w:before="0" w:after="283"/>
              <w:rPr/>
            </w:pPr>
            <w:r>
              <w:rPr/>
            </w:r>
            <w:bookmarkStart w:id="19" w:name="BM_BH_Q9L7TKCHZ400000000000000000000"/>
            <w:bookmarkStart w:id="20" w:name="BM_BH_Q9L7TKCHZ400000000000000000000"/>
            <w:bookmarkEnd w:id="20"/>
          </w:p>
        </w:tc>
        <w:tc>
          <w:tcPr>
            <w:tcW w:w="8926" w:type="dxa"/>
            <w:tcBorders/>
            <w:shd w:fill="auto" w:val="clear"/>
            <w:vAlign w:val="center"/>
          </w:tcPr>
          <w:p>
            <w:pPr>
              <w:pStyle w:val="TableContents"/>
              <w:spacing w:before="0" w:after="283"/>
              <w:jc w:val="center"/>
              <w:rPr/>
            </w:pPr>
            <w:hyperlink w:anchor="BH_Q9L7TKCHZ400000000000000000000">
              <w:r>
                <w:rPr>
                  <w:rStyle w:val="InternetLink"/>
                  <w:rFonts w:ascii="times new roman;times" w:hAnsi="times new roman;times"/>
                  <w:sz w:val="20"/>
                </w:rPr>
                <w:t>PART II</w:t>
              </w:r>
            </w:hyperlink>
            <w:bookmarkStart w:id="21" w:name="BMP_BH_Q9L7TKCHZ400000000000000000000"/>
            <w:bookmarkEnd w:id="21"/>
          </w:p>
        </w:tc>
        <w:tc>
          <w:tcPr>
            <w:tcW w:w="547" w:type="dxa"/>
            <w:tcBorders/>
            <w:shd w:fill="auto" w:val="clear"/>
            <w:vAlign w:val="center"/>
          </w:tcPr>
          <w:p>
            <w:pPr>
              <w:pStyle w:val="TableContents"/>
              <w:spacing w:before="0" w:after="283"/>
              <w:jc w:val="center"/>
              <w:rPr/>
            </w:pPr>
            <w:r>
              <w:rPr/>
              <w:t>29</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22" w:name="BM_BI_LPR1G1JEZ400000000000000000000"/>
            <w:bookmarkEnd w:id="22"/>
          </w:p>
        </w:tc>
        <w:tc>
          <w:tcPr>
            <w:tcW w:w="8926" w:type="dxa"/>
            <w:tcBorders/>
            <w:shd w:fill="auto" w:val="clear"/>
            <w:vAlign w:val="center"/>
          </w:tcPr>
          <w:p>
            <w:pPr>
              <w:pStyle w:val="TableContents"/>
              <w:spacing w:before="0" w:after="283"/>
              <w:rPr/>
            </w:pPr>
            <w:hyperlink w:anchor="BI_LPR1G1JEZ400000000000000000000">
              <w:r>
                <w:rPr>
                  <w:rStyle w:val="InternetLink"/>
                  <w:rFonts w:ascii="times new roman;times" w:hAnsi="times new roman;times"/>
                  <w:sz w:val="20"/>
                </w:rPr>
                <w:t>Market for Registrant’s Common Equity, Related Stockholder Matters and Issuer Purchases of Equity Securities</w:t>
              </w:r>
            </w:hyperlink>
            <w:bookmarkStart w:id="23" w:name="BMP_BI_LPR1G1JEZ400000000000000000000"/>
            <w:bookmarkEnd w:id="23"/>
          </w:p>
        </w:tc>
        <w:tc>
          <w:tcPr>
            <w:tcW w:w="547" w:type="dxa"/>
            <w:tcBorders/>
            <w:shd w:fill="auto" w:val="clear"/>
            <w:vAlign w:val="center"/>
          </w:tcPr>
          <w:p>
            <w:pPr>
              <w:pStyle w:val="TableContents"/>
              <w:spacing w:before="0" w:after="283"/>
              <w:jc w:val="center"/>
              <w:rPr/>
            </w:pPr>
            <w:r>
              <w:rPr/>
              <w:t>29</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24" w:name="BM_BJ_E6DCU6PUGG00000000000000000000"/>
            <w:bookmarkEnd w:id="24"/>
          </w:p>
        </w:tc>
        <w:tc>
          <w:tcPr>
            <w:tcW w:w="8926" w:type="dxa"/>
            <w:tcBorders/>
            <w:shd w:fill="auto" w:val="clear"/>
            <w:vAlign w:val="center"/>
          </w:tcPr>
          <w:p>
            <w:pPr>
              <w:pStyle w:val="TableContents"/>
              <w:spacing w:before="0" w:after="283"/>
              <w:rPr/>
            </w:pPr>
            <w:hyperlink w:anchor="BJ_E6DCU6PUGG00000000000000000000">
              <w:r>
                <w:rPr>
                  <w:rStyle w:val="InternetLink"/>
                  <w:rFonts w:ascii="times new roman;times" w:hAnsi="times new roman;times"/>
                  <w:sz w:val="20"/>
                </w:rPr>
                <w:t>Reserved</w:t>
              </w:r>
            </w:hyperlink>
            <w:bookmarkStart w:id="25" w:name="BMP_BJ_E6DCU6PUGG00000000000000000000"/>
            <w:bookmarkEnd w:id="25"/>
          </w:p>
        </w:tc>
        <w:tc>
          <w:tcPr>
            <w:tcW w:w="547" w:type="dxa"/>
            <w:tcBorders/>
            <w:shd w:fill="auto" w:val="clear"/>
            <w:vAlign w:val="center"/>
          </w:tcPr>
          <w:p>
            <w:pPr>
              <w:pStyle w:val="TableContents"/>
              <w:spacing w:before="0" w:after="283"/>
              <w:jc w:val="center"/>
              <w:rPr/>
            </w:pPr>
            <w:r>
              <w:rPr/>
              <w:t>29</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w:t>
            </w:r>
            <w:bookmarkStart w:id="26" w:name="BM_BK_SAPU2DDP7K00000000000000000000"/>
            <w:bookmarkEnd w:id="26"/>
          </w:p>
        </w:tc>
        <w:tc>
          <w:tcPr>
            <w:tcW w:w="8926" w:type="dxa"/>
            <w:tcBorders/>
            <w:shd w:fill="auto" w:val="clear"/>
            <w:vAlign w:val="center"/>
          </w:tcPr>
          <w:p>
            <w:pPr>
              <w:pStyle w:val="TableContents"/>
              <w:spacing w:before="0" w:after="283"/>
              <w:rPr/>
            </w:pPr>
            <w:hyperlink w:anchor="BK_SAPU2DDP7K00000000000000000000">
              <w:r>
                <w:rPr>
                  <w:rStyle w:val="InternetLink"/>
                  <w:rFonts w:ascii="times new roman;times" w:hAnsi="times new roman;times"/>
                  <w:sz w:val="20"/>
                </w:rPr>
                <w:t>Management’s Discussion and Analysis of Financial Condition and Results of Operations</w:t>
              </w:r>
            </w:hyperlink>
            <w:bookmarkStart w:id="27" w:name="BMP_BK_SAPU2DDP7K00000000000000000000"/>
            <w:bookmarkEnd w:id="27"/>
          </w:p>
        </w:tc>
        <w:tc>
          <w:tcPr>
            <w:tcW w:w="547" w:type="dxa"/>
            <w:tcBorders/>
            <w:shd w:fill="auto" w:val="clear"/>
            <w:vAlign w:val="center"/>
          </w:tcPr>
          <w:p>
            <w:pPr>
              <w:pStyle w:val="TableContents"/>
              <w:spacing w:before="0" w:after="283"/>
              <w:jc w:val="center"/>
              <w:rPr/>
            </w:pPr>
            <w:r>
              <w:rPr/>
              <w:t>30</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7A.</w:t>
            </w:r>
            <w:bookmarkStart w:id="28" w:name="BM_BL_KEF9VQT3PC00000000000000000000"/>
            <w:bookmarkEnd w:id="28"/>
          </w:p>
        </w:tc>
        <w:tc>
          <w:tcPr>
            <w:tcW w:w="8926" w:type="dxa"/>
            <w:tcBorders/>
            <w:shd w:fill="auto" w:val="clear"/>
            <w:vAlign w:val="center"/>
          </w:tcPr>
          <w:p>
            <w:pPr>
              <w:pStyle w:val="TableContents"/>
              <w:spacing w:before="0" w:after="283"/>
              <w:rPr/>
            </w:pPr>
            <w:hyperlink w:anchor="BL_KEF9VQT3PC00000000000000000000">
              <w:r>
                <w:rPr>
                  <w:rStyle w:val="InternetLink"/>
                  <w:rFonts w:ascii="times new roman;times" w:hAnsi="times new roman;times"/>
                  <w:sz w:val="20"/>
                </w:rPr>
                <w:t>Quantitative and Qualitative Disclosures about Market Risk</w:t>
              </w:r>
            </w:hyperlink>
            <w:bookmarkStart w:id="29" w:name="BMP_BL_KEF9VQT3PC00000000000000000000"/>
            <w:bookmarkEnd w:id="29"/>
          </w:p>
        </w:tc>
        <w:tc>
          <w:tcPr>
            <w:tcW w:w="547" w:type="dxa"/>
            <w:tcBorders/>
            <w:shd w:fill="auto" w:val="clear"/>
            <w:vAlign w:val="center"/>
          </w:tcPr>
          <w:p>
            <w:pPr>
              <w:pStyle w:val="TableContents"/>
              <w:spacing w:before="0" w:after="283"/>
              <w:jc w:val="center"/>
              <w:rPr/>
            </w:pPr>
            <w:r>
              <w:rPr/>
              <w:t>38</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8.</w:t>
            </w:r>
            <w:bookmarkStart w:id="30" w:name="BM_BIt8_1BI6QLLEZ400000000000000000000"/>
            <w:bookmarkEnd w:id="30"/>
          </w:p>
        </w:tc>
        <w:tc>
          <w:tcPr>
            <w:tcW w:w="8926" w:type="dxa"/>
            <w:tcBorders/>
            <w:shd w:fill="auto" w:val="clear"/>
            <w:vAlign w:val="center"/>
          </w:tcPr>
          <w:p>
            <w:pPr>
              <w:pStyle w:val="TableContents"/>
              <w:spacing w:before="0" w:after="283"/>
              <w:rPr/>
            </w:pPr>
            <w:hyperlink w:anchor="BIt8_1BI6QLLEZ400000000000000000000">
              <w:r>
                <w:rPr>
                  <w:rStyle w:val="InternetLink"/>
                  <w:rFonts w:ascii="times new roman;times" w:hAnsi="times new roman;times"/>
                  <w:sz w:val="20"/>
                </w:rPr>
                <w:t>Financial Statements and Supplementary Data</w:t>
              </w:r>
            </w:hyperlink>
            <w:bookmarkStart w:id="31" w:name="BMP_BIt8_1BI6QLLEZ400000000000000000000"/>
            <w:bookmarkEnd w:id="31"/>
          </w:p>
        </w:tc>
        <w:tc>
          <w:tcPr>
            <w:tcW w:w="547" w:type="dxa"/>
            <w:tcBorders/>
            <w:shd w:fill="auto" w:val="clear"/>
            <w:vAlign w:val="center"/>
          </w:tcPr>
          <w:p>
            <w:pPr>
              <w:pStyle w:val="TableContents"/>
              <w:spacing w:before="0" w:after="283"/>
              <w:jc w:val="center"/>
              <w:rPr/>
            </w:pPr>
            <w:r>
              <w:rPr/>
              <w:t>38</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w:t>
            </w:r>
            <w:bookmarkStart w:id="32" w:name="BM_BN_656CSYXQWG00000000000000000000"/>
            <w:bookmarkEnd w:id="32"/>
          </w:p>
        </w:tc>
        <w:tc>
          <w:tcPr>
            <w:tcW w:w="8926" w:type="dxa"/>
            <w:tcBorders/>
            <w:shd w:fill="auto" w:val="clear"/>
            <w:vAlign w:val="center"/>
          </w:tcPr>
          <w:p>
            <w:pPr>
              <w:pStyle w:val="TableContents"/>
              <w:spacing w:before="0" w:after="283"/>
              <w:rPr/>
            </w:pPr>
            <w:hyperlink w:anchor="BN_656CSYXQWG00000000000000000000">
              <w:r>
                <w:rPr>
                  <w:rStyle w:val="InternetLink"/>
                  <w:rFonts w:ascii="times new roman;times" w:hAnsi="times new roman;times"/>
                  <w:sz w:val="20"/>
                </w:rPr>
                <w:t>Changes in and Disagreements with Accountants on Accounting and Financial Disclosure</w:t>
              </w:r>
            </w:hyperlink>
            <w:bookmarkStart w:id="33" w:name="BMP_BN_656CSYXQWG00000000000000000000"/>
            <w:bookmarkEnd w:id="33"/>
          </w:p>
        </w:tc>
        <w:tc>
          <w:tcPr>
            <w:tcW w:w="547" w:type="dxa"/>
            <w:tcBorders/>
            <w:shd w:fill="auto" w:val="clear"/>
            <w:vAlign w:val="center"/>
          </w:tcPr>
          <w:p>
            <w:pPr>
              <w:pStyle w:val="TableContents"/>
              <w:spacing w:before="0" w:after="283"/>
              <w:jc w:val="center"/>
              <w:rPr/>
            </w:pPr>
            <w:r>
              <w:rPr/>
              <w:t>39</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9A.</w:t>
            </w:r>
            <w:bookmarkStart w:id="34" w:name="BM_BO_XFEHFTGHAO00000000000000000000"/>
            <w:bookmarkEnd w:id="34"/>
          </w:p>
        </w:tc>
        <w:tc>
          <w:tcPr>
            <w:tcW w:w="8926" w:type="dxa"/>
            <w:tcBorders/>
            <w:shd w:fill="auto" w:val="clear"/>
            <w:vAlign w:val="center"/>
          </w:tcPr>
          <w:p>
            <w:pPr>
              <w:pStyle w:val="TableContents"/>
              <w:spacing w:before="0" w:after="283"/>
              <w:rPr/>
            </w:pPr>
            <w:hyperlink w:anchor="BO_XFEHFTGHAO00000000000000000000">
              <w:r>
                <w:rPr>
                  <w:rStyle w:val="InternetLink"/>
                  <w:rFonts w:ascii="times new roman;times" w:hAnsi="times new roman;times"/>
                  <w:sz w:val="20"/>
                </w:rPr>
                <w:t>Controls and Procedures</w:t>
              </w:r>
            </w:hyperlink>
            <w:bookmarkStart w:id="35" w:name="BMP_BO_XFEHFTGHAO00000000000000000000"/>
            <w:bookmarkEnd w:id="35"/>
          </w:p>
        </w:tc>
        <w:tc>
          <w:tcPr>
            <w:tcW w:w="547" w:type="dxa"/>
            <w:tcBorders/>
            <w:shd w:fill="auto" w:val="clear"/>
            <w:vAlign w:val="center"/>
          </w:tcPr>
          <w:p>
            <w:pPr>
              <w:pStyle w:val="TableContents"/>
              <w:spacing w:before="0" w:after="283"/>
              <w:jc w:val="center"/>
              <w:rPr/>
            </w:pPr>
            <w:r>
              <w:rPr/>
              <w:t>39</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9B.</w:t>
            </w:r>
            <w:bookmarkStart w:id="36" w:name="BM_BP_VPZ8QCDNYO00000000000000000000"/>
            <w:bookmarkEnd w:id="36"/>
          </w:p>
        </w:tc>
        <w:tc>
          <w:tcPr>
            <w:tcW w:w="8926" w:type="dxa"/>
            <w:tcBorders/>
            <w:shd w:fill="auto" w:val="clear"/>
            <w:vAlign w:val="center"/>
          </w:tcPr>
          <w:p>
            <w:pPr>
              <w:pStyle w:val="TableContents"/>
              <w:spacing w:before="0" w:after="283"/>
              <w:rPr/>
            </w:pPr>
            <w:hyperlink w:anchor="BP_VPZ8QCDNYO00000000000000000000">
              <w:r>
                <w:rPr>
                  <w:rStyle w:val="InternetLink"/>
                  <w:rFonts w:ascii="times new roman;times" w:hAnsi="times new roman;times"/>
                  <w:sz w:val="20"/>
                </w:rPr>
                <w:t>Other Information</w:t>
              </w:r>
            </w:hyperlink>
            <w:bookmarkStart w:id="37" w:name="BMP_BP_VPZ8QCDNYO00000000000000000000"/>
            <w:bookmarkEnd w:id="37"/>
          </w:p>
        </w:tc>
        <w:tc>
          <w:tcPr>
            <w:tcW w:w="547" w:type="dxa"/>
            <w:tcBorders/>
            <w:shd w:fill="auto" w:val="clear"/>
            <w:vAlign w:val="center"/>
          </w:tcPr>
          <w:p>
            <w:pPr>
              <w:pStyle w:val="TableContents"/>
              <w:spacing w:before="0" w:after="283"/>
              <w:jc w:val="center"/>
              <w:rPr/>
            </w:pPr>
            <w:r>
              <w:rPr/>
              <w:t>39</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9C.</w:t>
            </w:r>
          </w:p>
        </w:tc>
        <w:tc>
          <w:tcPr>
            <w:tcW w:w="8926" w:type="dxa"/>
            <w:tcBorders/>
            <w:shd w:fill="auto" w:val="clear"/>
            <w:vAlign w:val="center"/>
          </w:tcPr>
          <w:p>
            <w:pPr>
              <w:pStyle w:val="TableContents"/>
              <w:widowControl/>
              <w:spacing w:before="0" w:after="283"/>
              <w:ind w:left="0" w:right="0" w:hanging="0"/>
              <w:jc w:val="left"/>
              <w:rPr/>
            </w:pPr>
            <w:hyperlink w:anchor="BB9C_E0IXHJULOW00000000000000000000">
              <w:r>
                <w:rPr>
                  <w:rStyle w:val="InternetLink"/>
                  <w:rFonts w:ascii="times new roman;times" w:hAnsi="times new roman;times"/>
                  <w:b w:val="false"/>
                  <w:i w:val="false"/>
                  <w:caps w:val="false"/>
                  <w:smallCaps w:val="false"/>
                  <w:spacing w:val="0"/>
                  <w:sz w:val="20"/>
                </w:rPr>
                <w:t>Disclosure Regarding Foreign Jurisdictions that Prevent Inspections</w:t>
              </w:r>
            </w:hyperlink>
            <w:bookmarkStart w:id="38" w:name="BMP_BB9C_E0IXHJULOW00000000000000000000"/>
            <w:bookmarkEnd w:id="38"/>
          </w:p>
        </w:tc>
        <w:tc>
          <w:tcPr>
            <w:tcW w:w="547" w:type="dxa"/>
            <w:tcBorders/>
            <w:shd w:fill="auto" w:val="clear"/>
            <w:vAlign w:val="center"/>
          </w:tcPr>
          <w:p>
            <w:pPr>
              <w:pStyle w:val="TableContents"/>
              <w:spacing w:before="0" w:after="283"/>
              <w:jc w:val="center"/>
              <w:rPr/>
            </w:pPr>
            <w:r>
              <w:rPr/>
              <w:t>39</w:t>
            </w:r>
          </w:p>
        </w:tc>
      </w:tr>
      <w:tr>
        <w:trPr/>
        <w:tc>
          <w:tcPr>
            <w:tcW w:w="732" w:type="dxa"/>
            <w:tcBorders/>
            <w:shd w:fill="auto" w:val="clear"/>
            <w:vAlign w:val="center"/>
          </w:tcPr>
          <w:p>
            <w:pPr>
              <w:pStyle w:val="TableContents"/>
              <w:spacing w:before="0" w:after="283"/>
              <w:rPr/>
            </w:pPr>
            <w:r>
              <w:rPr/>
            </w:r>
            <w:bookmarkStart w:id="39" w:name="BM_BQ_IUEDPQACSW00000000000000000000"/>
            <w:bookmarkStart w:id="40" w:name="BM_BQ_IUEDPQACSW00000000000000000000"/>
            <w:bookmarkEnd w:id="40"/>
          </w:p>
        </w:tc>
        <w:tc>
          <w:tcPr>
            <w:tcW w:w="8926" w:type="dxa"/>
            <w:tcBorders/>
            <w:shd w:fill="auto" w:val="clear"/>
            <w:vAlign w:val="center"/>
          </w:tcPr>
          <w:p>
            <w:pPr>
              <w:pStyle w:val="TableContents"/>
              <w:spacing w:before="0" w:after="283"/>
              <w:jc w:val="center"/>
              <w:rPr/>
            </w:pPr>
            <w:hyperlink w:anchor="BQ_IUEDPQACSW00000000000000000000">
              <w:r>
                <w:rPr>
                  <w:rStyle w:val="InternetLink"/>
                  <w:rFonts w:ascii="times new roman;times" w:hAnsi="times new roman;times"/>
                  <w:sz w:val="20"/>
                </w:rPr>
                <w:t>PART III</w:t>
              </w:r>
            </w:hyperlink>
            <w:bookmarkStart w:id="41" w:name="BMP_BQ_IUEDPQACSW00000000000000000000"/>
            <w:bookmarkEnd w:id="41"/>
          </w:p>
        </w:tc>
        <w:tc>
          <w:tcPr>
            <w:tcW w:w="547" w:type="dxa"/>
            <w:tcBorders/>
            <w:shd w:fill="auto" w:val="clear"/>
            <w:vAlign w:val="center"/>
          </w:tcPr>
          <w:p>
            <w:pPr>
              <w:pStyle w:val="TableContents"/>
              <w:spacing w:before="0" w:after="283"/>
              <w:jc w:val="center"/>
              <w:rPr/>
            </w:pPr>
            <w:r>
              <w:rPr/>
              <w:t>40</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10.</w:t>
            </w:r>
            <w:bookmarkStart w:id="42" w:name="BM_BR_3C14CBQWS000000000000000000000"/>
            <w:bookmarkEnd w:id="42"/>
          </w:p>
        </w:tc>
        <w:tc>
          <w:tcPr>
            <w:tcW w:w="8926" w:type="dxa"/>
            <w:tcBorders/>
            <w:shd w:fill="auto" w:val="clear"/>
            <w:vAlign w:val="center"/>
          </w:tcPr>
          <w:p>
            <w:pPr>
              <w:pStyle w:val="TableContents"/>
              <w:spacing w:before="0" w:after="283"/>
              <w:rPr/>
            </w:pPr>
            <w:hyperlink w:anchor="BR_3C14CBQWS000000000000000000000">
              <w:r>
                <w:rPr>
                  <w:rStyle w:val="InternetLink"/>
                  <w:rFonts w:ascii="times new roman;times" w:hAnsi="times new roman;times"/>
                  <w:sz w:val="20"/>
                </w:rPr>
                <w:t>Directors, Executive Officers and Corporate Governance</w:t>
              </w:r>
            </w:hyperlink>
            <w:bookmarkStart w:id="43" w:name="BMP_BR_3C14CBQWS000000000000000000000"/>
            <w:bookmarkEnd w:id="43"/>
          </w:p>
        </w:tc>
        <w:tc>
          <w:tcPr>
            <w:tcW w:w="547" w:type="dxa"/>
            <w:tcBorders/>
            <w:shd w:fill="auto" w:val="clear"/>
            <w:vAlign w:val="center"/>
          </w:tcPr>
          <w:p>
            <w:pPr>
              <w:pStyle w:val="TableContents"/>
              <w:spacing w:before="0" w:after="283"/>
              <w:jc w:val="center"/>
              <w:rPr/>
            </w:pPr>
            <w:r>
              <w:rPr/>
              <w:t>40</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11.</w:t>
            </w:r>
            <w:bookmarkStart w:id="44" w:name="BM_BS_9H0211KAKW00000000000000000000"/>
            <w:bookmarkEnd w:id="44"/>
          </w:p>
        </w:tc>
        <w:tc>
          <w:tcPr>
            <w:tcW w:w="8926" w:type="dxa"/>
            <w:tcBorders/>
            <w:shd w:fill="auto" w:val="clear"/>
            <w:vAlign w:val="center"/>
          </w:tcPr>
          <w:p>
            <w:pPr>
              <w:pStyle w:val="TableContents"/>
              <w:spacing w:before="0" w:after="283"/>
              <w:rPr/>
            </w:pPr>
            <w:hyperlink w:anchor="BS_9H0211KAKW00000000000000000000">
              <w:r>
                <w:rPr>
                  <w:rStyle w:val="InternetLink"/>
                  <w:rFonts w:ascii="times new roman;times" w:hAnsi="times new roman;times"/>
                  <w:sz w:val="20"/>
                </w:rPr>
                <w:t>Executive Compensation</w:t>
              </w:r>
            </w:hyperlink>
            <w:bookmarkStart w:id="45" w:name="BMP_BS_9H0211KAKW00000000000000000000"/>
            <w:bookmarkEnd w:id="45"/>
          </w:p>
        </w:tc>
        <w:tc>
          <w:tcPr>
            <w:tcW w:w="547" w:type="dxa"/>
            <w:tcBorders/>
            <w:shd w:fill="auto" w:val="clear"/>
            <w:vAlign w:val="center"/>
          </w:tcPr>
          <w:p>
            <w:pPr>
              <w:pStyle w:val="TableContents"/>
              <w:spacing w:before="0" w:after="283"/>
              <w:jc w:val="center"/>
              <w:rPr/>
            </w:pPr>
            <w:r>
              <w:rPr/>
              <w:t>42</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12.</w:t>
            </w:r>
            <w:bookmarkStart w:id="46" w:name="BM_BT_7T31KB3JZ400000000000000000000"/>
            <w:bookmarkEnd w:id="46"/>
          </w:p>
        </w:tc>
        <w:tc>
          <w:tcPr>
            <w:tcW w:w="8926" w:type="dxa"/>
            <w:tcBorders/>
            <w:shd w:fill="auto" w:val="clear"/>
            <w:vAlign w:val="center"/>
          </w:tcPr>
          <w:p>
            <w:pPr>
              <w:pStyle w:val="TableContents"/>
              <w:spacing w:before="0" w:after="283"/>
              <w:rPr/>
            </w:pPr>
            <w:hyperlink w:anchor="BT_7T31KB3JZ400000000000000000000">
              <w:r>
                <w:rPr>
                  <w:rStyle w:val="InternetLink"/>
                  <w:rFonts w:ascii="times new roman;times" w:hAnsi="times new roman;times"/>
                  <w:sz w:val="20"/>
                </w:rPr>
                <w:t>Security Ownership of Certain Beneficial Owners and Management and Related Stockholder Matters</w:t>
              </w:r>
            </w:hyperlink>
            <w:bookmarkStart w:id="47" w:name="BMP_BT_7T31KB3JZ400000000000000000000"/>
            <w:bookmarkEnd w:id="47"/>
          </w:p>
        </w:tc>
        <w:tc>
          <w:tcPr>
            <w:tcW w:w="547" w:type="dxa"/>
            <w:tcBorders/>
            <w:shd w:fill="auto" w:val="clear"/>
            <w:vAlign w:val="center"/>
          </w:tcPr>
          <w:p>
            <w:pPr>
              <w:pStyle w:val="TableContents"/>
              <w:spacing w:before="0" w:after="283"/>
              <w:jc w:val="center"/>
              <w:rPr/>
            </w:pPr>
            <w:r>
              <w:rPr/>
              <w:t>43</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13.</w:t>
            </w:r>
            <w:bookmarkStart w:id="48" w:name="BM_BU_NXPJ5NC69S00000000000000000000"/>
            <w:bookmarkEnd w:id="48"/>
          </w:p>
        </w:tc>
        <w:tc>
          <w:tcPr>
            <w:tcW w:w="8926" w:type="dxa"/>
            <w:tcBorders/>
            <w:shd w:fill="auto" w:val="clear"/>
            <w:vAlign w:val="center"/>
          </w:tcPr>
          <w:p>
            <w:pPr>
              <w:pStyle w:val="TableContents"/>
              <w:spacing w:before="0" w:after="283"/>
              <w:rPr/>
            </w:pPr>
            <w:hyperlink w:anchor="BU_NXPJ5NC69S00000000000000000000">
              <w:r>
                <w:rPr>
                  <w:rStyle w:val="InternetLink"/>
                  <w:rFonts w:ascii="times new roman;times" w:hAnsi="times new roman;times"/>
                  <w:sz w:val="20"/>
                </w:rPr>
                <w:t>Certain Relationships and Related Transactions, and Director Independence</w:t>
              </w:r>
            </w:hyperlink>
            <w:bookmarkStart w:id="49" w:name="BMP_BU_NXPJ5NC69S00000000000000000000"/>
            <w:bookmarkEnd w:id="49"/>
          </w:p>
        </w:tc>
        <w:tc>
          <w:tcPr>
            <w:tcW w:w="547" w:type="dxa"/>
            <w:tcBorders/>
            <w:shd w:fill="auto" w:val="clear"/>
            <w:vAlign w:val="center"/>
          </w:tcPr>
          <w:p>
            <w:pPr>
              <w:pStyle w:val="TableContents"/>
              <w:spacing w:before="0" w:after="283"/>
              <w:jc w:val="center"/>
              <w:rPr/>
            </w:pPr>
            <w:r>
              <w:rPr/>
              <w:t>45</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14.</w:t>
            </w:r>
            <w:bookmarkStart w:id="50" w:name="BM_BV_5JJDQA3YDC00000000000000000000"/>
            <w:bookmarkEnd w:id="50"/>
          </w:p>
        </w:tc>
        <w:tc>
          <w:tcPr>
            <w:tcW w:w="8926" w:type="dxa"/>
            <w:tcBorders/>
            <w:shd w:fill="auto" w:val="clear"/>
            <w:vAlign w:val="center"/>
          </w:tcPr>
          <w:p>
            <w:pPr>
              <w:pStyle w:val="TableContents"/>
              <w:spacing w:before="0" w:after="283"/>
              <w:rPr/>
            </w:pPr>
            <w:hyperlink w:anchor="BV_5JJDQA3YDC00000000000000000000">
              <w:r>
                <w:rPr>
                  <w:rStyle w:val="InternetLink"/>
                  <w:rFonts w:ascii="times new roman;times" w:hAnsi="times new roman;times"/>
                  <w:sz w:val="20"/>
                </w:rPr>
                <w:t>Principal Accounting Fees and Services</w:t>
              </w:r>
            </w:hyperlink>
            <w:bookmarkStart w:id="51" w:name="BMP_BV_5JJDQA3YDC00000000000000000000"/>
            <w:bookmarkEnd w:id="51"/>
          </w:p>
        </w:tc>
        <w:tc>
          <w:tcPr>
            <w:tcW w:w="547" w:type="dxa"/>
            <w:tcBorders/>
            <w:shd w:fill="auto" w:val="clear"/>
            <w:vAlign w:val="center"/>
          </w:tcPr>
          <w:p>
            <w:pPr>
              <w:pStyle w:val="TableContents"/>
              <w:spacing w:before="0" w:after="283"/>
              <w:jc w:val="center"/>
              <w:rPr/>
            </w:pPr>
            <w:r>
              <w:rPr/>
              <w:t>46</w:t>
            </w:r>
          </w:p>
        </w:tc>
      </w:tr>
      <w:tr>
        <w:trPr/>
        <w:tc>
          <w:tcPr>
            <w:tcW w:w="732" w:type="dxa"/>
            <w:tcBorders/>
            <w:shd w:fill="auto" w:val="clear"/>
            <w:vAlign w:val="center"/>
          </w:tcPr>
          <w:p>
            <w:pPr>
              <w:pStyle w:val="TableContents"/>
              <w:spacing w:before="0" w:after="283"/>
              <w:rPr/>
            </w:pPr>
            <w:r>
              <w:rPr/>
            </w:r>
            <w:bookmarkStart w:id="52" w:name="BM_BW_NL3ULECWZK00000000000000000000"/>
            <w:bookmarkStart w:id="53" w:name="BM_BW_NL3ULECWZK00000000000000000000"/>
            <w:bookmarkEnd w:id="53"/>
          </w:p>
        </w:tc>
        <w:tc>
          <w:tcPr>
            <w:tcW w:w="8926" w:type="dxa"/>
            <w:tcBorders/>
            <w:shd w:fill="auto" w:val="clear"/>
            <w:vAlign w:val="center"/>
          </w:tcPr>
          <w:p>
            <w:pPr>
              <w:pStyle w:val="TableContents"/>
              <w:spacing w:before="0" w:after="283"/>
              <w:jc w:val="center"/>
              <w:rPr/>
            </w:pPr>
            <w:hyperlink w:anchor="BW_NL3ULECWZK00000000000000000000">
              <w:r>
                <w:rPr>
                  <w:rStyle w:val="InternetLink"/>
                  <w:rFonts w:ascii="times new roman;times" w:hAnsi="times new roman;times"/>
                  <w:sz w:val="20"/>
                </w:rPr>
                <w:t>PART IV</w:t>
              </w:r>
            </w:hyperlink>
            <w:bookmarkStart w:id="54" w:name="BMP_BW_NL3ULECWZK00000000000000000000"/>
            <w:bookmarkEnd w:id="54"/>
          </w:p>
        </w:tc>
        <w:tc>
          <w:tcPr>
            <w:tcW w:w="547" w:type="dxa"/>
            <w:tcBorders/>
            <w:shd w:fill="auto" w:val="clear"/>
            <w:vAlign w:val="center"/>
          </w:tcPr>
          <w:p>
            <w:pPr>
              <w:pStyle w:val="TableContents"/>
              <w:spacing w:before="0" w:after="283"/>
              <w:jc w:val="center"/>
              <w:rPr/>
            </w:pPr>
            <w:r>
              <w:rPr/>
              <w:t>47</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15.</w:t>
            </w:r>
            <w:bookmarkStart w:id="55" w:name="BM_BX_02V3936Q3K00000000000000000000"/>
            <w:bookmarkEnd w:id="55"/>
          </w:p>
        </w:tc>
        <w:tc>
          <w:tcPr>
            <w:tcW w:w="8926" w:type="dxa"/>
            <w:tcBorders/>
            <w:shd w:fill="auto" w:val="clear"/>
            <w:vAlign w:val="center"/>
          </w:tcPr>
          <w:p>
            <w:pPr>
              <w:pStyle w:val="TableContents"/>
              <w:spacing w:before="0" w:after="283"/>
              <w:rPr/>
            </w:pPr>
            <w:hyperlink w:anchor="BX_02V3936Q3K00000000000000000000">
              <w:r>
                <w:rPr>
                  <w:rStyle w:val="InternetLink"/>
                  <w:rFonts w:ascii="times new roman;times" w:hAnsi="times new roman;times"/>
                  <w:sz w:val="20"/>
                </w:rPr>
                <w:t>Exhibits, Financial Statement Schedules</w:t>
              </w:r>
            </w:hyperlink>
            <w:bookmarkStart w:id="56" w:name="BMP_BX_02V3936Q3K00000000000000000000"/>
            <w:bookmarkEnd w:id="56"/>
          </w:p>
        </w:tc>
        <w:tc>
          <w:tcPr>
            <w:tcW w:w="547" w:type="dxa"/>
            <w:tcBorders/>
            <w:shd w:fill="auto" w:val="clear"/>
            <w:vAlign w:val="center"/>
          </w:tcPr>
          <w:p>
            <w:pPr>
              <w:pStyle w:val="TableContents"/>
              <w:spacing w:before="0" w:after="283"/>
              <w:jc w:val="center"/>
              <w:rPr/>
            </w:pPr>
            <w:r>
              <w:rPr/>
              <w:t>47</w:t>
            </w:r>
          </w:p>
        </w:tc>
      </w:tr>
      <w:tr>
        <w:trPr/>
        <w:tc>
          <w:tcPr>
            <w:tcW w:w="732" w:type="dxa"/>
            <w:tcBorders/>
            <w:shd w:fill="auto" w:val="clear"/>
            <w:vAlign w:val="center"/>
          </w:tcPr>
          <w:p>
            <w:pPr>
              <w:pStyle w:val="TableContents"/>
              <w:widowControl/>
              <w:spacing w:before="0" w:after="283"/>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16.</w:t>
            </w:r>
            <w:bookmarkStart w:id="57" w:name="BM_BY_4Q3RWEAEAO00000000000000000000"/>
            <w:bookmarkEnd w:id="57"/>
          </w:p>
        </w:tc>
        <w:tc>
          <w:tcPr>
            <w:tcW w:w="8926" w:type="dxa"/>
            <w:tcBorders/>
            <w:shd w:fill="auto" w:val="clear"/>
            <w:vAlign w:val="center"/>
          </w:tcPr>
          <w:p>
            <w:pPr>
              <w:pStyle w:val="TableContents"/>
              <w:spacing w:before="0" w:after="283"/>
              <w:rPr/>
            </w:pPr>
            <w:hyperlink w:anchor="BY_4Q3RWEAEAO00000000000000000000">
              <w:r>
                <w:rPr>
                  <w:rStyle w:val="InternetLink"/>
                  <w:rFonts w:ascii="times new roman;times" w:hAnsi="times new roman;times"/>
                  <w:sz w:val="20"/>
                </w:rPr>
                <w:t>Form 10-K Summary</w:t>
              </w:r>
            </w:hyperlink>
            <w:bookmarkStart w:id="58" w:name="BMP_BY_4Q3RWEAEAO00000000000000000000"/>
            <w:bookmarkEnd w:id="58"/>
          </w:p>
        </w:tc>
        <w:tc>
          <w:tcPr>
            <w:tcW w:w="547" w:type="dxa"/>
            <w:tcBorders/>
            <w:shd w:fill="auto" w:val="clear"/>
            <w:vAlign w:val="center"/>
          </w:tcPr>
          <w:p>
            <w:pPr>
              <w:pStyle w:val="TableContents"/>
              <w:spacing w:before="0" w:after="283"/>
              <w:jc w:val="center"/>
              <w:rPr/>
            </w:pPr>
            <w:r>
              <w:rPr/>
              <w:t>47</w:t>
            </w:r>
          </w:p>
        </w:tc>
      </w:tr>
    </w:tbl>
    <w:p>
      <w:pPr>
        <w:pStyle w:val="TextBody"/>
        <w:spacing w:lineRule="auto" w:line="240" w:before="0" w:after="0"/>
        <w:ind w:left="144" w:right="144" w:hanging="0"/>
        <w:rPr/>
      </w:pPr>
      <w:r>
        <w:rPr/>
        <w:t>​</w:t>
      </w:r>
    </w:p>
    <w:tbl>
      <w:tblPr>
        <w:tblW w:w="169" w:type="dxa"/>
        <w:jc w:val="left"/>
        <w:tblInd w:w="0" w:type="dxa"/>
        <w:tblCellMar>
          <w:top w:w="0" w:type="dxa"/>
          <w:left w:w="0" w:type="dxa"/>
          <w:bottom w:w="0" w:type="dxa"/>
          <w:right w:w="0" w:type="dxa"/>
        </w:tblCellMar>
      </w:tblPr>
      <w:tblGrid>
        <w:gridCol w:w="169"/>
      </w:tblGrid>
      <w:tr>
        <w:trPr/>
        <w:tc>
          <w:tcPr>
            <w:tcW w:w="169" w:type="dxa"/>
            <w:tcBorders/>
            <w:shd w:fill="auto" w:val="clear"/>
            <w:vAlign w:val="center"/>
          </w:tcPr>
          <w:p>
            <w:pPr>
              <w:pStyle w:val="TableContents"/>
              <w:spacing w:before="0" w:after="283"/>
              <w:rPr/>
            </w:pPr>
            <w:r>
              <w:rPr/>
            </w:r>
          </w:p>
        </w:tc>
      </w:tr>
    </w:tbl>
    <w:p>
      <w:pPr>
        <w:pStyle w:val="HorizontalLine"/>
        <w:spacing w:lineRule="auto" w:line="240" w:before="0" w:after="0"/>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144" w:right="144" w:hanging="0"/>
        <w:rPr/>
      </w:pPr>
      <w:r>
        <w:rPr/>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SPECIAL NOTE REGARDING FORWARD-LOOKING STATEMENTS</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1</w:t>
            </w:r>
          </w:p>
        </w:tc>
      </w:tr>
    </w:tbl>
    <w:p>
      <w:pPr>
        <w:pStyle w:val="HorizontalLine"/>
        <w:spacing w:before="0" w:after="0"/>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pPr>
      <w:r>
        <w:rPr/>
        <w:t> </w:t>
      </w:r>
    </w:p>
    <w:p>
      <w:pPr>
        <w:pStyle w:val="TextBody"/>
        <w:widowControl/>
        <w:spacing w:before="0" w:after="0"/>
        <w:ind w:left="0" w:right="0" w:hanging="0"/>
        <w:jc w:val="center"/>
        <w:rPr>
          <w:rFonts w:ascii="Times New Roman" w:hAnsi="Times New Roman"/>
          <w:b/>
          <w:sz w:val="20"/>
        </w:rPr>
      </w:pPr>
      <w:r>
        <w:rPr>
          <w:rFonts w:ascii="Times New Roman" w:hAnsi="Times New Roman"/>
          <w:b/>
          <w:sz w:val="20"/>
        </w:rPr>
      </w:r>
    </w:p>
    <w:p>
      <w:pPr>
        <w:pStyle w:val="TextBody"/>
        <w:spacing w:lineRule="auto" w:line="240" w:before="0" w:after="0"/>
        <w:ind w:left="0" w:right="0" w:hanging="0"/>
        <w:jc w:val="center"/>
        <w:rPr/>
      </w:pPr>
      <w:hyperlink r:id="rId2">
        <w:bookmarkStart w:id="59" w:name="BA_CFOVR5EM8000000000000000000000"/>
        <w:bookmarkEnd w:id="59"/>
        <w:r>
          <w:rPr>
            <w:rStyle w:val="VisitedInternetLink"/>
            <w:rFonts w:ascii="Times New Roman" w:hAnsi="Times New Roman"/>
            <w:b/>
            <w:strike w:val="false"/>
            <w:dstrike w:val="false"/>
            <w:color w:val="000000"/>
            <w:sz w:val="20"/>
            <w:u w:val="none"/>
            <w:effect w:val="none"/>
          </w:rPr>
          <w:t>PART I</w:t>
        </w:r>
      </w:hyperlink>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References in this Annual Report on Form 10-K to “ClearOne,” “we,” “us,” “CLRO” or “the Company” refer to ClearOne, Inc., a Delaware</w:t>
      </w:r>
      <w:r>
        <w:rPr>
          <w:rFonts w:ascii="times new roman;times" w:hAnsi="times new roman;times"/>
          <w:sz w:val="20"/>
        </w:rPr>
        <w:t> </w:t>
      </w:r>
      <w:r>
        <w:rPr>
          <w:rFonts w:ascii="Times New Roman" w:hAnsi="Times New Roman"/>
          <w:sz w:val="20"/>
        </w:rPr>
        <w:t>corporation, and, unless the context otherwise requires or is otherwise expressly stated, its subsidiaries.</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r>
    </w:p>
    <w:p>
      <w:pPr>
        <w:pStyle w:val="TextBody"/>
        <w:spacing w:lineRule="auto" w:line="240" w:before="0" w:after="0"/>
        <w:ind w:left="0" w:right="0" w:hanging="0"/>
        <w:jc w:val="both"/>
        <w:rPr/>
      </w:pPr>
      <w:hyperlink r:id="rId3">
        <w:bookmarkStart w:id="60" w:name="BB_SWO1LCYT7400000000000000000000"/>
        <w:bookmarkEnd w:id="60"/>
        <w:r>
          <w:rPr>
            <w:rStyle w:val="VisitedInternetLink"/>
            <w:rFonts w:ascii="Times New Roman" w:hAnsi="Times New Roman"/>
            <w:b/>
            <w:strike w:val="false"/>
            <w:dstrike w:val="false"/>
            <w:color w:val="000000"/>
            <w:sz w:val="20"/>
            <w:u w:val="none"/>
            <w:effect w:val="none"/>
          </w:rPr>
          <w:t>ITEM 1. BUSINESS</w:t>
        </w:r>
      </w:hyperlink>
    </w:p>
    <w:p>
      <w:pPr>
        <w:pStyle w:val="TextBody"/>
        <w:spacing w:lineRule="auto" w:line="240" w:before="0" w:after="0"/>
        <w:ind w:left="0" w:right="0" w:hanging="0"/>
        <w:jc w:val="left"/>
        <w:rPr>
          <w:rFonts w:ascii="Times New Roman" w:hAnsi="Times New Roman"/>
          <w:b/>
          <w:sz w:val="20"/>
        </w:rPr>
      </w:pPr>
      <w:r>
        <w:rPr>
          <w:rFonts w:ascii="Times New Roman" w:hAnsi="Times New Roman"/>
          <w:b/>
          <w:sz w:val="20"/>
        </w:rPr>
      </w:r>
    </w:p>
    <w:p>
      <w:pPr>
        <w:pStyle w:val="TextBody"/>
        <w:spacing w:lineRule="auto" w:line="240" w:before="0" w:after="0"/>
        <w:ind w:left="0" w:right="0" w:hanging="0"/>
        <w:jc w:val="left"/>
        <w:rPr>
          <w:rFonts w:ascii="Times New Roman" w:hAnsi="Times New Roman"/>
          <w:b/>
          <w:sz w:val="20"/>
        </w:rPr>
      </w:pPr>
      <w:r>
        <w:rPr>
          <w:rFonts w:ascii="Times New Roman" w:hAnsi="Times New Roman"/>
          <w:b/>
          <w:sz w:val="20"/>
        </w:rPr>
        <w:t>GENERAL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ClearOne, Inc. (the Company) was incorporated in Utah in 1983 and reincorporated in Delaware on October 25, 2018. The Company is headquartered in Salt Lake City, Utah. The Company has other locations in Gainesville, Florida; Zaragoza, Spain; Chennai, India; and Dubai, United Arab Emirates.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Our comprehensive line of high-quality conferencing and collaboration products are targeted for</w:t>
      </w:r>
      <w:r>
        <w:rPr>
          <w:rFonts w:ascii="times new roman;times" w:hAnsi="times new roman;times"/>
          <w:sz w:val="20"/>
        </w:rPr>
        <w:t> </w:t>
      </w:r>
      <w:r>
        <w:rPr>
          <w:rFonts w:ascii="Times New Roman" w:hAnsi="Times New Roman"/>
          <w:sz w:val="20"/>
        </w:rPr>
        <w:t>large, medium and small businesses, as well as for personal use. We</w:t>
      </w:r>
      <w:r>
        <w:rPr>
          <w:rFonts w:ascii="times new roman;times" w:hAnsi="times new roman;times"/>
          <w:sz w:val="20"/>
        </w:rPr>
        <w:t> </w:t>
      </w:r>
      <w:r>
        <w:rPr>
          <w:rFonts w:ascii="Times New Roman" w:hAnsi="Times New Roman"/>
          <w:sz w:val="20"/>
        </w:rPr>
        <w:t>have been</w:t>
      </w:r>
      <w:r>
        <w:rPr>
          <w:rFonts w:ascii="times new roman;times" w:hAnsi="times new roman;times"/>
          <w:sz w:val="20"/>
        </w:rPr>
        <w:t> </w:t>
      </w:r>
      <w:r>
        <w:rPr>
          <w:rFonts w:ascii="Times New Roman" w:hAnsi="Times New Roman"/>
          <w:sz w:val="20"/>
        </w:rPr>
        <w:t>a global market leader in the installed professional audio conferencing</w:t>
      </w:r>
      <w:r>
        <w:rPr>
          <w:rFonts w:ascii="times new roman;times" w:hAnsi="times new roman;times"/>
          <w:sz w:val="20"/>
        </w:rPr>
        <w:t xml:space="preserve"> </w:t>
      </w:r>
      <w:r>
        <w:rPr>
          <w:rFonts w:ascii="Times New Roman" w:hAnsi="Times New Roman"/>
          <w:sz w:val="20"/>
        </w:rPr>
        <w:t>market, where our products are used in numerous industries such as enterprise, healthcare, education, government, legal and finance.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benefit from simpler</w:t>
      </w:r>
      <w:r>
        <w:rPr>
          <w:rFonts w:ascii="times new roman;times" w:hAnsi="times new roman;times"/>
          <w:sz w:val="20"/>
        </w:rPr>
        <w:t> </w:t>
      </w:r>
      <w:r>
        <w:rPr>
          <w:rFonts w:ascii="Times New Roman" w:hAnsi="Times New Roman"/>
          <w:sz w:val="20"/>
        </w:rPr>
        <w:t>project designs and lower support costs</w:t>
      </w:r>
      <w:r>
        <w:rPr>
          <w:rFonts w:ascii="times new roman;times" w:hAnsi="times new roman;times"/>
          <w:sz w:val="20"/>
        </w:rPr>
        <w:t> </w:t>
      </w:r>
      <w:r>
        <w:rPr>
          <w:rFonts w:ascii="Times New Roman" w:hAnsi="Times New Roman"/>
          <w:sz w:val="20"/>
        </w:rPr>
        <w:t>because our products are designed and built to work with each other seamlessly.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$10,000,000 and net proceeds of $9,288,000 after deducting placement agent fees and related offering expenses. In a concurrent private placement the Company also issued to the same purchasers warrants exercisable for an aggregate of 3,623,189 shares of common stock at an exercise price of $2.64 per share. Each warrant became immediately exercisable and will expire on March 15, 2027.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On July 2, 2021, the Company obtained a bridge loan in the principal amount of $2,000,000 from Edward D. Bagley (the “2021 Bridge Loan”), an affiliate of the Company. The Bridge Loan was evidenced by a promissory note dated July 2, 2021 (the “Note”) issued by the Company to Mr. Bagley. The Note carried interest at a rate of 8.0% per annum, and was set to mature on the earlier to occur of (i) October 1, 2021 or (ii) within two business days of the Company’s receipt of its expected U.S. federal income tax refund, and contained other customary covenants and events of default. On September 11, 2021, the Company amended and restated the terms of the 2021 Bridge Loan to extend the latest maturity date from October 1, 2021 to January 3, 2022. All other terms and conditions of the Bridge Loan remained the same. On January 4, 2022, the Company entered into a Securities Purchase Agreement with Edward D. Bagley, pursuant to which the Company issued and sold to Mr. Bagley, in a private placement 1,538,461 shares (the “Shares”) of the Company’s common stock, par value $0.001 per share, at a purchase price of $1.30 per share of Common Stock. The consideration for the Shares was the cancellation and termination of Mr. Bagley’s outstanding bridge loan to the Company in the principal amount of $2,000,000 originally issued on July 2, 2021 and amended and restated on September 11, 2021. Mr. Bagley is an affiliate of the Company and the Company’s single largest stockholder.</w:t>
      </w:r>
    </w:p>
    <w:p>
      <w:pPr>
        <w:pStyle w:val="TextBody"/>
        <w:widowControl/>
        <w:spacing w:before="0" w:after="0"/>
        <w:ind w:left="0" w:right="0" w:hanging="0"/>
        <w:jc w:val="center"/>
        <w:rPr>
          <w:rFonts w:ascii="Times New Roman" w:hAnsi="Times New Roman"/>
          <w:b/>
          <w:sz w:val="20"/>
        </w:rPr>
      </w:pPr>
      <w:r>
        <w:rPr>
          <w:rFonts w:ascii="Times New Roman" w:hAnsi="Times New Roman"/>
          <w:b/>
          <w:sz w:val="20"/>
        </w:rPr>
      </w:r>
    </w:p>
    <w:p>
      <w:pPr>
        <w:pStyle w:val="TextBody"/>
        <w:widowControl/>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Company Information</w:t>
      </w:r>
    </w:p>
    <w:p>
      <w:pPr>
        <w:pStyle w:val="TextBody"/>
        <w:spacing w:lineRule="auto"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r>
    </w:p>
    <w:p>
      <w:pPr>
        <w:pStyle w:val="TextBody"/>
        <w:spacing w:lineRule="auto"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t>Our website address is http://www.clearone.com.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 These reports are also available on the SEC’s website, which is located at http://www.sec.gov.</w:t>
      </w:r>
    </w:p>
    <w:p>
      <w:pPr>
        <w:pStyle w:val="TextBody"/>
        <w:spacing w:lineRule="auto"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sz w:val="20"/>
              </w:rPr>
            </w:pPr>
            <w:r>
              <w:rPr>
                <w:sz w:val="20"/>
              </w:rPr>
              <w:t>2</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widowControl/>
        <w:spacing w:lineRule="auto" w:line="240" w:before="0" w:after="0"/>
        <w:ind w:left="0" w:right="0" w:hanging="0"/>
        <w:jc w:val="center"/>
        <w:rPr>
          <w:rFonts w:ascii="times new roman;times" w:hAnsi="times new roman;times"/>
          <w:sz w:val="20"/>
        </w:rPr>
      </w:pPr>
      <w:r>
        <w:rPr>
          <w:rFonts w:ascii="Times New Roman" w:hAnsi="Times New Roman"/>
          <w:b/>
          <w:i w:val="false"/>
          <w:caps w:val="false"/>
          <w:smallCaps w:val="false"/>
          <w:color w:val="000000"/>
          <w:spacing w:val="0"/>
          <w:sz w:val="20"/>
        </w:rPr>
        <w:t>ITEM 1</w:t>
      </w:r>
      <w:r>
        <w:rPr>
          <w:rFonts w:ascii="times new roman;times" w:hAnsi="times new roman;times"/>
          <w:caps w:val="false"/>
          <w:smallCaps w:val="false"/>
          <w:color w:val="000000"/>
          <w:spacing w:val="0"/>
          <w:sz w:val="20"/>
        </w:rPr>
        <w:t> </w:t>
      </w:r>
      <w:r>
        <w:rPr>
          <w:rFonts w:ascii="Times New Roman" w:hAnsi="Times New Roman"/>
          <w:b/>
          <w:i w:val="false"/>
          <w:caps w:val="false"/>
          <w:smallCaps w:val="false"/>
          <w:color w:val="000000"/>
          <w:spacing w:val="0"/>
          <w:sz w:val="20"/>
        </w:rPr>
        <w:t>- BUSINESS</w:t>
      </w:r>
    </w:p>
    <w:p>
      <w:pPr>
        <w:pStyle w:val="TextBody"/>
        <w:widowControl/>
        <w:spacing w:before="0" w:after="0"/>
        <w:ind w:left="0" w:right="0" w:hanging="0"/>
        <w:jc w:val="center"/>
        <w:rPr>
          <w:rFonts w:ascii="Times New Roman;serif" w:hAnsi="Times New Roman;serif"/>
          <w:b w:val="false"/>
          <w:i w:val="false"/>
          <w:caps w:val="false"/>
          <w:smallCaps w:val="false"/>
          <w:strike w:val="false"/>
          <w:dstrike w:val="false"/>
          <w:color w:val="000000"/>
          <w:spacing w:val="0"/>
          <w:sz w:val="20"/>
          <w:u w:val="none"/>
          <w:effect w:val="none"/>
        </w:rPr>
      </w:pPr>
      <w:r>
        <w:rPr>
          <w:rFonts w:ascii="Times New Roman;serif" w:hAnsi="Times New Roman;serif"/>
          <w:b w:val="false"/>
          <w:i w:val="false"/>
          <w:caps w:val="false"/>
          <w:smallCaps w:val="false"/>
          <w:strike w:val="false"/>
          <w:dstrike w:val="false"/>
          <w:color w:val="000000"/>
          <w:spacing w:val="0"/>
          <w:sz w:val="20"/>
          <w:u w:val="none"/>
          <w:effect w:val="none"/>
        </w:rPr>
      </w:r>
    </w:p>
    <w:p>
      <w:pPr>
        <w:pStyle w:val="TextBody"/>
        <w:widowControl/>
        <w:spacing w:before="0" w:after="0"/>
        <w:ind w:left="0" w:right="0" w:hanging="0"/>
        <w:jc w:val="center"/>
        <w:rPr>
          <w:rFonts w:ascii="Times New Roman;serif" w:hAnsi="Times New Roman;serif"/>
          <w:b w:val="false"/>
          <w:i w:val="false"/>
          <w:caps w:val="false"/>
          <w:smallCaps w:val="false"/>
          <w:strike w:val="false"/>
          <w:dstrike w:val="false"/>
          <w:color w:val="000000"/>
          <w:spacing w:val="0"/>
          <w:sz w:val="20"/>
          <w:u w:val="none"/>
          <w:effect w:val="none"/>
        </w:rPr>
      </w:pPr>
      <w:r>
        <w:rPr>
          <w:rFonts w:ascii="Times New Roman;serif" w:hAnsi="Times New Roman;serif"/>
          <w:b w:val="false"/>
          <w:i w:val="false"/>
          <w:caps w:val="false"/>
          <w:smallCaps w:val="false"/>
          <w:strike w:val="false"/>
          <w:dstrike w:val="false"/>
          <w:color w:val="000000"/>
          <w:spacing w:val="0"/>
          <w:sz w:val="20"/>
          <w:u w:val="none"/>
          <w:effect w:val="none"/>
        </w:rPr>
        <w:t>For a discussion of certain risks ap</w:t>
      </w:r>
      <w:r>
        <w:rPr>
          <w:rFonts w:ascii="times new roman;times" w:hAnsi="times new roman;times"/>
          <w:b w:val="false"/>
          <w:i w:val="false"/>
          <w:caps w:val="false"/>
          <w:smallCaps w:val="false"/>
          <w:strike w:val="false"/>
          <w:dstrike w:val="false"/>
          <w:color w:val="000000"/>
          <w:spacing w:val="0"/>
          <w:sz w:val="20"/>
          <w:u w:val="none"/>
          <w:effect w:val="none"/>
        </w:rPr>
        <w:t>plicable to our business, results of operations, financial position, and liquidity, see the risk factors described in “Item </w:t>
      </w:r>
      <w:r>
        <w:rPr>
          <w:rFonts w:ascii="Times New Roman;serif" w:hAnsi="Times New Roman;serif"/>
          <w:b w:val="false"/>
          <w:i w:val="false"/>
          <w:caps w:val="false"/>
          <w:smallCaps w:val="false"/>
          <w:strike w:val="false"/>
          <w:dstrike w:val="false"/>
          <w:color w:val="000000"/>
          <w:spacing w:val="0"/>
          <w:sz w:val="20"/>
          <w:u w:val="none"/>
          <w:effect w:val="none"/>
        </w:rPr>
        <w:t>1</w:t>
      </w:r>
      <w:r>
        <w:rPr>
          <w:rFonts w:ascii="times new roman;times" w:hAnsi="times new roman;times"/>
          <w:b w:val="false"/>
          <w:i w:val="false"/>
          <w:caps w:val="false"/>
          <w:smallCaps w:val="false"/>
          <w:strike w:val="false"/>
          <w:dstrike w:val="false"/>
          <w:color w:val="000000"/>
          <w:spacing w:val="0"/>
          <w:sz w:val="20"/>
          <w:u w:val="none"/>
          <w:effect w:val="none"/>
        </w:rPr>
        <w:t>A, Risk Factors” below. </w:t>
      </w:r>
    </w:p>
    <w:p>
      <w:pPr>
        <w:pStyle w:val="TextBody"/>
        <w:spacing w:lineRule="auto" w:line="240" w:before="0" w:after="0"/>
        <w:ind w:left="0" w:right="0" w:hanging="0"/>
        <w:jc w:val="left"/>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left"/>
        <w:rPr>
          <w:rFonts w:ascii="times new roman;times" w:hAnsi="times new roman;times"/>
          <w:b/>
          <w:sz w:val="20"/>
        </w:rPr>
      </w:pPr>
      <w:r>
        <w:rPr>
          <w:rFonts w:ascii="times new roman;times" w:hAnsi="times new roman;times"/>
          <w:b/>
          <w:sz w:val="20"/>
        </w:rPr>
        <w:t>Our Business Strategy</w:t>
      </w:r>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times" w:hAnsi="times new roman;times"/>
          <w:sz w:val="20"/>
        </w:rPr>
      </w:pPr>
      <w:r>
        <w:rPr>
          <w:rFonts w:ascii="times new roman;times" w:hAnsi="times new roman;times"/>
          <w:sz w:val="20"/>
        </w:rPr>
        <w:t>The Company’s primary challenge is the loss in revenue and consequent reduction in cash flows due to operating losses. Our current strategy consists of the following elements to overcome this adverse situation:</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Continue our product innovation to bring to market products that are needed by our partners and end-users </w:t>
            </w:r>
          </w:p>
        </w:tc>
      </w:tr>
      <w:tr>
        <w:trPr/>
        <w:tc>
          <w:tcPr>
            <w:tcW w:w="262" w:type="dxa"/>
            <w:tcBorders/>
            <w:shd w:fill="auto" w:val="clear"/>
            <w:vAlign w:val="center"/>
          </w:tcPr>
          <w:p>
            <w:pPr>
              <w:pStyle w:val="TableContents"/>
              <w:widowControl/>
              <w:spacing w:lineRule="auto" w:line="288" w:before="0" w:after="0"/>
              <w:ind w:left="0" w:right="0" w:hanging="0"/>
              <w:jc w:val="center"/>
              <w:rPr>
                <w:caps w:val="false"/>
                <w:smallCaps w:val="false"/>
                <w:color w:val="000000"/>
                <w:spacing w:val="0"/>
              </w:rPr>
            </w:pPr>
            <w:r>
              <w:rPr>
                <w:caps w:val="false"/>
                <w:smallCaps w:val="false"/>
                <w:color w:val="000000"/>
                <w:spacing w:val="0"/>
              </w:rPr>
              <w:t>●</w:t>
            </w:r>
          </w:p>
        </w:tc>
        <w:tc>
          <w:tcPr>
            <w:tcW w:w="9943" w:type="dxa"/>
            <w:tcBorders/>
            <w:shd w:fill="auto" w:val="clear"/>
            <w:vAlign w:val="center"/>
          </w:tcPr>
          <w:p>
            <w:pPr>
              <w:pStyle w:val="TableContents"/>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Cut costs to operate efficiently</w:t>
            </w:r>
          </w:p>
        </w:tc>
      </w:tr>
      <w:tr>
        <w:trPr/>
        <w:tc>
          <w:tcPr>
            <w:tcW w:w="262" w:type="dxa"/>
            <w:tcBorders/>
            <w:shd w:fill="auto" w:val="clear"/>
            <w:vAlign w:val="center"/>
          </w:tcPr>
          <w:p>
            <w:pPr>
              <w:pStyle w:val="TableContents"/>
              <w:widowControl/>
              <w:spacing w:lineRule="auto" w:line="288" w:before="0" w:after="0"/>
              <w:ind w:left="0" w:right="0" w:hanging="0"/>
              <w:jc w:val="center"/>
              <w:rPr>
                <w:caps w:val="false"/>
                <w:smallCaps w:val="false"/>
                <w:color w:val="000000"/>
                <w:spacing w:val="0"/>
              </w:rPr>
            </w:pPr>
            <w:r>
              <w:rPr>
                <w:caps w:val="false"/>
                <w:smallCaps w:val="false"/>
                <w:color w:val="000000"/>
                <w:spacing w:val="0"/>
              </w:rPr>
              <w:t>●</w:t>
            </w:r>
          </w:p>
        </w:tc>
        <w:tc>
          <w:tcPr>
            <w:tcW w:w="9943" w:type="dxa"/>
            <w:tcBorders/>
            <w:shd w:fill="auto" w:val="clear"/>
            <w:vAlign w:val="center"/>
          </w:tcPr>
          <w:p>
            <w:pPr>
              <w:pStyle w:val="TableContents"/>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Focus on our core products and improve the quality of our products</w:t>
            </w:r>
          </w:p>
        </w:tc>
      </w:tr>
      <w:tr>
        <w:trPr/>
        <w:tc>
          <w:tcPr>
            <w:tcW w:w="262" w:type="dxa"/>
            <w:tcBorders/>
            <w:shd w:fill="auto" w:val="clear"/>
            <w:vAlign w:val="center"/>
          </w:tcPr>
          <w:p>
            <w:pPr>
              <w:pStyle w:val="TableContents"/>
              <w:widowControl/>
              <w:spacing w:lineRule="auto" w:line="288" w:before="0" w:after="0"/>
              <w:ind w:left="0" w:right="0" w:hanging="0"/>
              <w:jc w:val="center"/>
              <w:rPr>
                <w:caps w:val="false"/>
                <w:smallCaps w:val="false"/>
                <w:color w:val="000000"/>
                <w:spacing w:val="0"/>
              </w:rPr>
            </w:pPr>
            <w:r>
              <w:rPr>
                <w:caps w:val="false"/>
                <w:smallCaps w:val="false"/>
                <w:color w:val="000000"/>
                <w:spacing w:val="0"/>
              </w:rPr>
              <w:t>●</w:t>
            </w:r>
          </w:p>
        </w:tc>
        <w:tc>
          <w:tcPr>
            <w:tcW w:w="9943" w:type="dxa"/>
            <w:tcBorders/>
            <w:shd w:fill="auto" w:val="clear"/>
            <w:vAlign w:val="center"/>
          </w:tcPr>
          <w:p>
            <w:pPr>
              <w:pStyle w:val="TableContents"/>
              <w:spacing w:lineRule="auto" w:line="288" w:before="0" w:after="0"/>
              <w:jc w:val="left"/>
              <w:rPr/>
            </w:pPr>
            <w:r>
              <w:rPr/>
              <w:t>Resolve the issues causing delays with the transition of manufacturing by our contract manufacturer from China to Singapore </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currently participate in the following markets:</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8"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All aspects of audio conferencing including installed professional audio conferencing through DSP mixers, USB based speakerphones and table-top conferencing;  </w:t>
            </w:r>
          </w:p>
        </w:tc>
      </w:tr>
      <w:tr>
        <w:trPr/>
        <w:tc>
          <w:tcPr>
            <w:tcW w:w="25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8"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Professional microphones to support audio and video collaboration through patented beamforming microphones, ceiling microphones and wireless microphones; </w:t>
            </w:r>
          </w:p>
        </w:tc>
      </w:tr>
      <w:tr>
        <w:trPr/>
        <w:tc>
          <w:tcPr>
            <w:tcW w:w="25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8"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Visual collaboration in all forms including low-cost room appliances, professional cameras, Bring-Your-Own-Device and cloud video services; and </w:t>
            </w:r>
          </w:p>
        </w:tc>
      </w:tr>
      <w:tr>
        <w:trPr/>
        <w:tc>
          <w:tcPr>
            <w:tcW w:w="257"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8"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Audio Visual Networking which includes network media streaming, video walls, sound reinforcement and audio distribution. </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business goals are to:</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Improve our global market share in professional installed audio conferencing products for large businesses and organizations; </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Position ClearOne as the preferred AV channel partner uniquely offering a complete value-chain of natively integrated solutions from audio to video maximizing AV channel partner profitability; </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Extend total addressable market from our traditional stronghold of installed audio conferencing and microphones to adjacent complementary markets – video collaboration and AV networking; </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Continue to leverage the video conferencing, collaboration and AV networking technologies to enlarge our current market share; </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Focus on the small and medium business market with appropriately scaled, lower cost and less complex products and solutions; </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Capitalize on the growing influence of information technology channels in the audio-visual market and introduce more solutions to these channels; </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Capitalize on the convergence of audio visual and information technology to meet enterprise and commercial multimedia needs and the end-users’ transition from high-priced systems to low cost, complete AV room solutions and cloud services; </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left"/>
              <w:rPr>
                <w:rFonts w:ascii="times new roman;times" w:hAnsi="times new roman;times"/>
              </w:rPr>
            </w:pPr>
            <w:r>
              <w:rPr>
                <w:rFonts w:ascii="times new roman;times" w:hAnsi="times new roman;times"/>
              </w:rPr>
              <w:t>Improve the interoperability of our products to increase the ability of our products to work with wider range of other audio-visual products in the market;</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left"/>
              <w:rPr>
                <w:rFonts w:ascii="times new roman;times" w:hAnsi="times new roman;times"/>
              </w:rPr>
            </w:pPr>
            <w:r>
              <w:rPr>
                <w:rFonts w:ascii="times new roman;times" w:hAnsi="times new roman;times"/>
              </w:rPr>
              <w:t>Pursue certifications and partnerships to position our products favorably in the burgeoning Microsoft Teams eco-system;</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Leverage software-based platforms across all our product lines; and </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Expand and strengthen our sales channels. </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center"/>
        <w:rPr/>
      </w:pPr>
      <w:r>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will continue to focus on our core strengths, which include the following:</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Providing a superior conferencing and collaboration experience; </w:t>
            </w:r>
          </w:p>
        </w:tc>
      </w:tr>
      <w:tr>
        <w:trPr/>
        <w:tc>
          <w:tcPr>
            <w:tcW w:w="26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Delivering the complete value chain for audio visual communication; </w:t>
            </w:r>
          </w:p>
        </w:tc>
      </w:tr>
      <w:tr>
        <w:trPr/>
        <w:tc>
          <w:tcPr>
            <w:tcW w:w="26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Extending our capabilities in product innovation through software-based video collaboration and AV networking </w:t>
            </w:r>
          </w:p>
        </w:tc>
      </w:tr>
      <w:tr>
        <w:trPr/>
        <w:tc>
          <w:tcPr>
            <w:tcW w:w="26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1" w:type="dxa"/>
            <w:tcBorders/>
            <w:shd w:fill="auto" w:val="clear"/>
            <w:vAlign w:val="center"/>
          </w:tcPr>
          <w:p>
            <w:pPr>
              <w:pStyle w:val="TableContents"/>
              <w:spacing w:lineRule="auto" w:line="288" w:before="0" w:after="0"/>
              <w:ind w:left="0" w:right="0" w:hanging="0"/>
              <w:rPr>
                <w:rFonts w:ascii="times new roman;times" w:hAnsi="times new roman;times"/>
                <w:sz w:val="20"/>
              </w:rPr>
            </w:pPr>
            <w:r>
              <w:rPr>
                <w:rFonts w:ascii="times new roman;times" w:hAnsi="times new roman;times"/>
                <w:sz w:val="20"/>
              </w:rPr>
              <w:t xml:space="preserve">Offering greater innovation, interoperability and value to our end-users and channel partners; </w:t>
            </w:r>
          </w:p>
        </w:tc>
      </w:tr>
      <w:tr>
        <w:trPr/>
        <w:tc>
          <w:tcPr>
            <w:tcW w:w="26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1" w:type="dxa"/>
            <w:tcBorders/>
            <w:shd w:fill="auto" w:val="clear"/>
            <w:vAlign w:val="center"/>
          </w:tcPr>
          <w:p>
            <w:pPr>
              <w:pStyle w:val="TableContents"/>
              <w:spacing w:lineRule="auto" w:line="288" w:before="0" w:after="0"/>
              <w:ind w:left="0" w:right="0" w:hanging="0"/>
              <w:rPr>
                <w:rFonts w:ascii="times new roman;times" w:hAnsi="times new roman;times"/>
                <w:sz w:val="20"/>
              </w:rPr>
            </w:pPr>
            <w:r>
              <w:rPr>
                <w:rFonts w:ascii="times new roman;times" w:hAnsi="times new roman;times"/>
                <w:sz w:val="20"/>
              </w:rPr>
              <w:t xml:space="preserve">Leveraging and extending ClearOne technology, leadership and innovation; </w:t>
            </w:r>
          </w:p>
        </w:tc>
      </w:tr>
      <w:tr>
        <w:trPr/>
        <w:tc>
          <w:tcPr>
            <w:tcW w:w="26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41" w:type="dxa"/>
            <w:tcBorders/>
            <w:shd w:fill="auto" w:val="clear"/>
            <w:vAlign w:val="center"/>
          </w:tcPr>
          <w:p>
            <w:pPr>
              <w:pStyle w:val="TableContents"/>
              <w:spacing w:lineRule="auto" w:line="288" w:before="0" w:after="0"/>
              <w:rPr>
                <w:rFonts w:ascii="times new roman;times" w:hAnsi="times new roman;times"/>
              </w:rPr>
            </w:pPr>
            <w:r>
              <w:rPr>
                <w:rFonts w:ascii="times new roman;times" w:hAnsi="times new roman;times"/>
              </w:rPr>
              <w:t>Focusing on our core products and improving the quality of our products to attain higher levels of customer satisfaction;</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3</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 xml:space="preserve">ITEM </w:t>
      </w:r>
      <w:r>
        <w:rPr>
          <w:rFonts w:ascii="times new roman;times" w:hAnsi="times new roman;times"/>
          <w:b/>
          <w:sz w:val="20"/>
        </w:rPr>
        <w:t>1</w:t>
      </w:r>
      <w:r>
        <w:rPr>
          <w:rFonts w:ascii="times new roman;times" w:hAnsi="times new roman;times"/>
          <w:b/>
          <w:sz w:val="20"/>
        </w:rPr>
        <w:t>- BUSINESS </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tbl>
      <w:tblPr>
        <w:tblW w:w="5000" w:type="pct"/>
        <w:jc w:val="center"/>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76" w:type="dxa"/>
            <w:tcBorders/>
            <w:shd w:fill="auto" w:val="clear"/>
            <w:vAlign w:val="center"/>
          </w:tcPr>
          <w:p>
            <w:pPr>
              <w:pStyle w:val="TableContents"/>
              <w:spacing w:lineRule="auto" w:line="288" w:before="0" w:after="0"/>
              <w:ind w:left="0" w:right="0" w:hanging="0"/>
              <w:rPr>
                <w:rFonts w:ascii="times new roman;times" w:hAnsi="times new roman;times"/>
                <w:sz w:val="20"/>
              </w:rPr>
            </w:pPr>
            <w:r>
              <w:rPr>
                <w:rFonts w:ascii="times new roman;times" w:hAnsi="times new roman;times"/>
                <w:sz w:val="20"/>
              </w:rPr>
              <w:t>Leveraging our strong domestic and international channels to distribute new products; and</w:t>
            </w:r>
          </w:p>
        </w:tc>
      </w:tr>
      <w:tr>
        <w:trPr/>
        <w:tc>
          <w:tcPr>
            <w:tcW w:w="229"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76" w:type="dxa"/>
            <w:tcBorders/>
            <w:shd w:fill="auto" w:val="clear"/>
            <w:vAlign w:val="center"/>
          </w:tcPr>
          <w:p>
            <w:pPr>
              <w:pStyle w:val="TableContents"/>
              <w:spacing w:lineRule="auto" w:line="288" w:before="0" w:after="0"/>
              <w:ind w:left="0" w:right="0" w:hanging="0"/>
              <w:jc w:val="left"/>
              <w:rPr>
                <w:rFonts w:ascii="times new roman;times" w:hAnsi="times new roman;times"/>
                <w:sz w:val="20"/>
              </w:rPr>
            </w:pPr>
            <w:r>
              <w:rPr>
                <w:rFonts w:ascii="times new roman;times" w:hAnsi="times new roman;times"/>
                <w:sz w:val="20"/>
              </w:rPr>
              <w:t>Strengthening existing end-user and channel partner relationships through dedicated and comprehensive support. </w:t>
            </w:r>
          </w:p>
        </w:tc>
      </w:tr>
    </w:tbl>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spacing w:lineRule="auto" w:line="240" w:before="0" w:after="0"/>
        <w:ind w:left="0" w:right="0" w:hanging="0"/>
        <w:jc w:val="left"/>
        <w:rPr>
          <w:rFonts w:ascii="times new roman;times" w:hAnsi="times new roman;times"/>
          <w:b/>
          <w:sz w:val="20"/>
        </w:rPr>
      </w:pPr>
      <w:r>
        <w:rPr>
          <w:rFonts w:ascii="times new roman;times" w:hAnsi="times new roman;times"/>
          <w:b/>
          <w:sz w:val="20"/>
        </w:rPr>
        <w:t>PRODUCTS</w:t>
      </w:r>
    </w:p>
    <w:p>
      <w:pPr>
        <w:pStyle w:val="TextBody"/>
        <w:spacing w:lineRule="auto" w:line="240" w:before="0" w:after="0"/>
        <w:ind w:left="0" w:right="0" w:hanging="0"/>
        <w:jc w:val="left"/>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products can be broadly categorized into the following: </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Audio conferencing including installed DSP based professional audio conferencing, USB-based speakerphones and table-top audio conferencing </w:t>
            </w:r>
          </w:p>
        </w:tc>
      </w:tr>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Professional microphones consisting of patented beamforming microphones, ceiling microphones and wireless microphones; and </w:t>
            </w:r>
          </w:p>
        </w:tc>
      </w:tr>
      <w:tr>
        <w:trPr/>
        <w:tc>
          <w:tcPr>
            <w:tcW w:w="262"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43"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Video products including video collaboration and AV networking </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b/>
          <w:i/>
          <w:sz w:val="20"/>
        </w:rPr>
      </w:pPr>
      <w:r>
        <w:rPr>
          <w:rFonts w:ascii="times new roman;times" w:hAnsi="times new roman;times"/>
          <w:b/>
          <w:i/>
          <w:sz w:val="20"/>
        </w:rPr>
        <w:t>AUDIO CONFERENCING</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(iii) affordable USB-based speakerphones that can be used with PCs, laptops, tablets, smartphones, and other portable devices, and (iv) traditional tabletop conferencing phones used in conference rooms and offices.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audio conferencing products feature our proprietary HDConference</w:t>
      </w:r>
      <w:r>
        <w:rPr>
          <w:rFonts w:ascii="times new roman;times" w:hAnsi="times new roman;times"/>
          <w:position w:val="7"/>
          <w:sz w:val="16"/>
          <w:sz w:val="20"/>
        </w:rPr>
        <w:t>®</w:t>
      </w:r>
      <w:r>
        <w:rPr>
          <w:rFonts w:ascii="times new roman;times" w:hAnsi="times new roman;times"/>
          <w:sz w:val="20"/>
        </w:rPr>
        <w:t>, Distributed Echo Cancellation</w:t>
      </w:r>
      <w:r>
        <w:rPr>
          <w:rFonts w:ascii="times new roman;times" w:hAnsi="times new roman;times"/>
          <w:position w:val="7"/>
          <w:sz w:val="16"/>
          <w:sz w:val="20"/>
        </w:rPr>
        <w:t>®</w:t>
      </w:r>
      <w:r>
        <w:rPr>
          <w:rFonts w:ascii="times new roman;times" w:hAnsi="times new roman;times"/>
          <w:sz w:val="20"/>
        </w:rPr>
        <w:t xml:space="preserve">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audio conferencing products contributed 47% and 40% of our consolidated revenue in 2022 and 2021, respectively.</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Professional installed audio conferencing and sound reinforcement</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have been a global market leader in the professional installed audio conferencing market. We have been a pioneer in the development of high-end, professional conferencing products and we have established strong brand recognition for these products worldwide. Our installed professional conferencing products include the CONVERGE</w:t>
      </w:r>
      <w:r>
        <w:rPr>
          <w:rFonts w:ascii="times new roman;times" w:hAnsi="times new roman;times"/>
          <w:position w:val="6"/>
          <w:sz w:val="13"/>
          <w:sz w:val="17"/>
        </w:rPr>
        <w:t>®</w:t>
      </w:r>
      <w:r>
        <w:rPr>
          <w:rFonts w:ascii="times new roman;times" w:hAnsi="times new roman;times"/>
          <w:sz w:val="20"/>
        </w:rPr>
        <w:t xml:space="preserve"> Pro 2 and CONVERGE Pro 2 SR product lines.</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sz w:val="20"/>
        </w:rPr>
        <w:t>Our flagship CONVERGE Pro 2product line lead our professionally installed audio products line. The CONVERGE Pro 2 product line currently includes CONVERGE Pro 2 128, CONVERGE Pro 2 128VT</w:t>
      </w:r>
      <w:r>
        <w:rPr>
          <w:rFonts w:ascii="times new roman;times" w:hAnsi="times new roman;times"/>
          <w:b w:val="false"/>
          <w:i w:val="false"/>
          <w:caps w:val="false"/>
          <w:smallCaps w:val="false"/>
          <w:color w:val="000000"/>
          <w:spacing w:val="0"/>
          <w:sz w:val="20"/>
        </w:rPr>
        <w:t>,</w:t>
      </w:r>
      <w:r>
        <w:rPr>
          <w:rFonts w:ascii="times new roman;times" w:hAnsi="times new roman;times"/>
          <w:sz w:val="20"/>
        </w:rPr>
        <w:t> CONVERGE Pro 2 128VTD,</w:t>
      </w:r>
      <w:r>
        <w:rPr>
          <w:rFonts w:ascii="times new roman;times" w:hAnsi="times new roman;times"/>
          <w:caps w:val="false"/>
          <w:smallCaps w:val="false"/>
          <w:color w:val="000000"/>
          <w:spacing w:val="0"/>
          <w:sz w:val="20"/>
        </w:rPr>
        <w:t> </w:t>
      </w:r>
      <w:r>
        <w:rPr>
          <w:rFonts w:ascii="times new roman;times" w:hAnsi="times new roman;times"/>
          <w:sz w:val="20"/>
        </w:rPr>
        <w:t>CONVERGE Pro 2 120, CONVERGE Pro 2 012, CONVERGE Pro 2 48VT and CONVERGE Pro 2 48VTD. CONVERGE Pro 2 SR product line currently includes CONVERGE Pro 2 128SR, and CONVERGE Pro 2 128SRD. CONVERGE Pro 2 and CONVERGE Pro 2 SR together offer various levels of integration and features to allow a commercial system integrator to optimize a system to fit diverse conferencing applications and environments. CONVERGE Pro 2 product line succeeded the original CONVERGE Pro product line, which is currently being phased out as our customers transition fully to CONVERGE Pro 2 product line.</w:t>
      </w:r>
    </w:p>
    <w:p>
      <w:pPr>
        <w:pStyle w:val="TextBody"/>
        <w:spacing w:lineRule="auto" w:line="240" w:before="0" w:after="0"/>
        <w:ind w:left="0" w:right="0" w:hanging="0"/>
        <w:jc w:val="both"/>
        <w:rPr/>
      </w:pPr>
      <w:r>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CONVERGE Pro 2’s broad DSP platform satisfies clients’ diverse audio needs with these features: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tbl>
      <w:tblPr>
        <w:tblW w:w="5000" w:type="pct"/>
        <w:jc w:val="center"/>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Best-in-class audio delivered through next-gen Acoustic Echo Cancellation and Noise Cancellation processing with Acoustic Intelligence, advanced microphone gating and built-in DARE™ feedback elimination.</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Powerful architecture – 12 Mic/line inputs per unit, built-in USB audio interface, built-in optional Dante™ for networked audio.</w:t>
            </w:r>
          </w:p>
        </w:tc>
      </w:tr>
    </w:tbl>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15" w:type="dxa"/>
        <w:jc w:val="center"/>
        <w:tblInd w:w="0" w:type="dxa"/>
        <w:tblCellMar>
          <w:top w:w="0" w:type="dxa"/>
          <w:left w:w="0" w:type="dxa"/>
          <w:bottom w:w="0" w:type="dxa"/>
          <w:right w:w="0" w:type="dxa"/>
        </w:tblCellMar>
      </w:tblPr>
      <w:tblGrid>
        <w:gridCol w:w="215"/>
      </w:tblGrid>
      <w:tr>
        <w:trPr/>
        <w:tc>
          <w:tcPr>
            <w:tcW w:w="215"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4</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6" w:type="dxa"/>
            <w:tcBorders/>
            <w:shd w:fill="auto" w:val="clear"/>
            <w:vAlign w:val="center"/>
          </w:tcPr>
          <w:p>
            <w:pPr>
              <w:pStyle w:val="TableContents"/>
              <w:widowControl/>
              <w:spacing w:lineRule="auto" w:line="288" w:before="0" w:after="0"/>
              <w:ind w:left="0" w:right="0" w:hanging="0"/>
              <w:jc w:val="both"/>
              <w:rPr/>
            </w:pPr>
            <w:r>
              <w:rPr>
                <w:rFonts w:ascii="times new roman;times" w:hAnsi="times new roman;times"/>
                <w:b w:val="false"/>
                <w:i w:val="false"/>
                <w:caps w:val="false"/>
                <w:smallCaps w:val="false"/>
                <w:color w:val="000000"/>
                <w:spacing w:val="0"/>
                <w:sz w:val="20"/>
              </w:rPr>
              <w:t>Daisy-</w:t>
            </w:r>
            <w:r>
              <w:rPr/>
              <w:t>chainable</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design to support up to</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144</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Mic/line inputs, C-Link expansion bus with 150 channels and P-Link bus for scalable connection of peripheral devices including any combination of</w:t>
            </w:r>
            <w:r>
              <w:rPr>
                <w:caps w:val="false"/>
                <w:smallCaps w:val="false"/>
                <w:color w:val="000000"/>
                <w:spacing w:val="0"/>
              </w:rPr>
              <w:t> </w:t>
            </w:r>
            <w:r>
              <w:rPr/>
              <w:t>ClearOne</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peripheral devices, such as the </w:t>
            </w:r>
            <w:r>
              <w:rPr/>
              <w:t>Beamforming</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Microphone Array</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2, BMA CT, BMA 360, USB Expander, GPIO Expander and/or the DIALOG®</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20</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Wireless Microphone system.</w:t>
            </w:r>
          </w:p>
        </w:tc>
      </w:tr>
      <w:tr>
        <w:trPr/>
        <w:tc>
          <w:tcPr>
            <w:tcW w:w="229"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6" w:type="dxa"/>
            <w:tcBorders/>
            <w:shd w:fill="auto" w:val="clea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Supports video conferencing, audio and web conferencing, in-room meetings, wireless presentation, and more. </w:t>
            </w:r>
          </w:p>
        </w:tc>
      </w:tr>
      <w:tr>
        <w:trPr/>
        <w:tc>
          <w:tcPr>
            <w:tcW w:w="229"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6"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Integration of VoIP or telephony, USB, and Dante™ for maximum functionality. </w:t>
            </w:r>
          </w:p>
        </w:tc>
      </w:tr>
      <w:tr>
        <w:trPr/>
        <w:tc>
          <w:tcPr>
            <w:tcW w:w="229"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6"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Ability to control local meeting rooms and audio distribution applications with flexible options – touch panel controller, BYOD dialer apps or 3rd party control modules. </w:t>
            </w:r>
          </w:p>
        </w:tc>
      </w:tr>
      <w:tr>
        <w:trPr/>
        <w:tc>
          <w:tcPr>
            <w:tcW w:w="229"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6"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Configure, manage, monitor and troubleshoot the entire system of auto-discovered devices with MatrixView™ and FlowView™ in CONSOLE AI for visualized audio signal paths. </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CONVERGE Pro 2 line of products is ably supported by a touch panel controller, a GPIO expansion box, a USB expansion box and a wall-mount Bluetooth Expander. CONVERGE Pro 2 VoIP SKUs are certified to interoperate with Cisco, Avaya and ShoreTel SIP based VoIP systems and also interoperate with Microsoft Teams, Zoom, Google Meet, and other popular collaboration applications.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May 2021, we announced the immediate availability of CONVERGENCE AV Cloud, which significantly expands AV Practitioner recurring revenue opportunities for remote, real-time Management as a Service (MaaS). CONVERGENCE Cloud software is a unified AV network management platform to monitor, control, and audit ClearOne Pro Audio and Video products and services. Remote real-time system access provides at-a-glance and all-inclusive dashboard views with auto-discovery of Pro Audio devices and unlimited scalability designed to support organizations of any size. With the new Cloud option, AV Practitioners can profit on value-added MaaS opportunities to easily support multiple clients and multiple networks with fully secure, real-time remote system access on a single multi-tenant platform. The powerful and elegant user interface, in twelve languages, works on any browser and will allow full support of the AV Network with built-in video, audio, and chat tools for real-time communications as well as email and immediate SMS text alerts. Relevant information is quickly found with search, sort, and filter options. CONVERGENCE AV Cloud can be virtually partitioned for AV management by location such as building, floor, room, or any desired global topology. Practitioners can easily manage accounts, assigning three levels of access with Owner, Administrator, and Monitor roles; all housed on encrypted secure cloud servers. Client tenant usage can be conveniently tracked for invoicing and optional auto-payment reminders.</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July 2022, we introduced the CONVERGENCE® InSite server network hardware that enables remote device management by facilitating bi-directional communications between its Cloud or Enterprise AV Manager and on-site ClearOne Pro Audio products.</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Mid-Tier Premium Conferencing</w:t>
      </w: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Our premium conferencing offerings consist of the CONVERGE Huddle and INTERACT® product lines. Premium conferencing solutions are mid-tier, lower cost, conferencing product solutions designed to meet the needs of our larger customers with smaller conferencing rooms as well as small and medium businesses. CONVERGE Huddle is a versatile solution for multiple use huddle room environments at a price point that meets budget requirements for audio and video collaboration applications. CONVERGE Huddle connects to ClearOne or third-party peripheral devices, such as microphones, speakers, cameras, and display screens and applications such as Microsoft Teams, Zoom, Google Meet, GoToMeeting ™, and WebEx® through a single clutter-free connection via USB 3.0 to a laptop. It comes with professional quality Acoustic Echo Cancellation and Noise Cancellation algorithms and user-friendly CONSOLE® software. It can be mounted easily under a table, behind a display, on a wall or in a rack. The INTERACT product series is comprised of INTERACT AT and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unified communication systems for enhanced collaboration. </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Speakerphone</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CHAT 60 or CHAT 70 SKUs or as group speakerphones under CHAT 150, CHAT 160 and CHAT 170 SKUs.</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5</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r>
    </w:p>
    <w:p>
      <w:pPr>
        <w:pStyle w:val="TextBody"/>
        <w:widowControl/>
        <w:spacing w:lineRule="auto" w:line="240" w:before="0" w:after="0"/>
        <w:ind w:left="0" w:right="0" w:hanging="0"/>
        <w:jc w:val="center"/>
        <w:rPr>
          <w:rFonts w:ascii="times new roman;times" w:hAnsi="times new roman;times"/>
          <w:sz w:val="20"/>
        </w:rPr>
      </w:pPr>
      <w:r>
        <w:rPr>
          <w:rFonts w:ascii="times new roman;times" w:hAnsi="times new roman;times"/>
          <w:b/>
          <w:i w:val="false"/>
          <w:caps w:val="false"/>
          <w:smallCaps w:val="false"/>
          <w:color w:val="000000"/>
          <w:spacing w:val="0"/>
          <w:sz w:val="20"/>
        </w:rPr>
        <w:t>ITEM 1</w:t>
      </w:r>
      <w:r>
        <w:rPr>
          <w:rFonts w:ascii="times new roman;times" w:hAnsi="times new roman;times"/>
          <w:caps w:val="false"/>
          <w:smallCaps w:val="false"/>
          <w:color w:val="000000"/>
          <w:spacing w:val="0"/>
          <w:sz w:val="20"/>
        </w:rPr>
        <w:t> </w:t>
      </w:r>
      <w:r>
        <w:rPr>
          <w:rFonts w:ascii="times new roman;times" w:hAnsi="times new roman;times"/>
          <w:b/>
          <w:i w:val="false"/>
          <w:caps w:val="false"/>
          <w:smallCaps w:val="false"/>
          <w:color w:val="000000"/>
          <w:spacing w:val="0"/>
          <w:sz w:val="20"/>
        </w:rPr>
        <w:t>- BUSINESS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CHAT 50/60/70 personal speakerphones are approximately the size of a deck of cards, and connect to PCs and Macs for rich, clear, hands-free audio and playback. CHAT 150 group speakerphones are designed for small group use. These can connect to the same devices and applications as the CHAT personal speakerphones but feature three microphones in larger design for use by a larger number of participants. CHAT 150/160/170 group speakerphones have the ability to add high-quality, full-duplex open audio to user enterprise telephone handsets such as Avaya and Cisco. CHAT group speakerphones make it possible to introduce rich, crystal clear conferencing capability without the need for introducing a separate traditional conference phone. CHATAttach® is comprised of two CHAT 150 group speakerphones which can be daisy-chained together to function as a single conferencing system for much larger coverage than a single CHAT 150. CHAT group speakerphones are integral to our media collaboration product line</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Tabletop Conferencing</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tabletop conferencing product line offered under the MAX® brand is comprised of the following product families: MAX EX and MAXAttach</w:t>
      </w:r>
      <w:r>
        <w:rPr>
          <w:rFonts w:ascii="times new roman;times" w:hAnsi="times new roman;times"/>
          <w:b w:val="false"/>
          <w:i w:val="false"/>
          <w:caps w:val="false"/>
          <w:smallCaps w:val="false"/>
          <w:color w:val="000000"/>
          <w:spacing w:val="0"/>
          <w:position w:val="7"/>
          <w:sz w:val="16"/>
          <w:sz w:val="20"/>
        </w:rPr>
        <w:t>®</w:t>
      </w:r>
      <w:r>
        <w:rPr>
          <w:rFonts w:ascii="times new roman;times" w:hAnsi="times new roman;times"/>
          <w:b w:val="false"/>
          <w:i w:val="false"/>
          <w:caps w:val="false"/>
          <w:smallCaps w:val="false"/>
          <w:color w:val="000000"/>
          <w:spacing w:val="0"/>
          <w:sz w:val="20"/>
        </w:rPr>
        <w:t> wired conference phones; MAX Wireless and MAXAttach</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Wireless conference phones; and MAX IP and MAXAttach</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IP conferencing phones. Designed for use in executive offices or small conference rooms with multiple participants, MAX Wireless can be moved from room to room within 150 feet of its base station. MAXAttach</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Wireless was the industry’s first and remains the only dual-phone, completely wireless solution. This system gives customers tremendous flexibility in covering larger conference room areas. MAX EX and MAXAttach</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wired phones can be daisy chained together, up to a total of four phones. This provides even distribution of microphones, loudspeakers, and controls for better sound quality and improved user access in medium to large conference rooms. In addition, all MAXAttach</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wired phones can be used separately when they are not needed in a daisy-chain configuration. MAX IP and MAXAttach</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IP are VoIP tabletop conference phones which are based on the industry-standard SIP signaling protocol. These phones can also be daisy-chained together, up to a total of four phones.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PROFESSIONAL MICROPHONES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microphones contributed 39%</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and </w:t>
      </w:r>
      <w:r>
        <w:rPr>
          <w:rFonts w:ascii="times new roman;times" w:hAnsi="times new roman;times"/>
          <w:b w:val="false"/>
          <w:i w:val="false"/>
          <w:caps w:val="false"/>
          <w:smallCaps w:val="false"/>
          <w:color w:val="000000"/>
          <w:spacing w:val="0"/>
          <w:sz w:val="20"/>
        </w:rPr>
        <w:t>38</w:t>
      </w:r>
      <w:r>
        <w:rPr>
          <w:rFonts w:ascii="times new roman;times" w:hAnsi="times new roman;times"/>
          <w:b w:val="false"/>
          <w:i w:val="false"/>
          <w:caps w:val="false"/>
          <w:smallCaps w:val="false"/>
          <w:color w:val="000000"/>
          <w:spacing w:val="0"/>
          <w:sz w:val="20"/>
        </w:rPr>
        <w:t>% of our consolidated revenue in 2022 and 2021, respectively.</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Beamforming Microphone Array</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ClearOne began shipping the first generation</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Beamforming Microphone Array in March 2013. This product works with CONVERGE Pro products. Beamforming Microphone Array 2, the next generation Beamforming Microphone Array started shipping in the last quarter of 2017. It works with </w:t>
      </w:r>
      <w:r>
        <w:rPr>
          <w:rFonts w:ascii="times new roman;times" w:hAnsi="times new roman;times"/>
          <w:b w:val="false"/>
          <w:i w:val="false"/>
          <w:caps w:val="false"/>
          <w:smallCaps w:val="false"/>
          <w:color w:val="000000"/>
          <w:spacing w:val="0"/>
          <w:sz w:val="20"/>
        </w:rPr>
        <w:t>CONVERGE Pro2. It</w:t>
      </w:r>
      <w:r>
        <w:rPr>
          <w:rFonts w:ascii="times new roman;times" w:hAnsi="times new roman;times"/>
          <w:b w:val="false"/>
          <w:i w:val="false"/>
          <w:caps w:val="false"/>
          <w:smallCaps w:val="false"/>
          <w:color w:val="000000"/>
          <w:spacing w:val="0"/>
          <w:sz w:val="20"/>
        </w:rPr>
        <w:t> affirmed ClearOne’s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clear industry leadership with the following outstanding features: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Significantly enhanced and new echo cancellation, with improved performance in demanding acoustic environments.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Acoustic intelligence with adaptive ambience - faster convergence and better adaptation to changes in room acoustics, such as ambient noise from chairs moving, doors closing, chatter in the background, using separate acoustic echo cancellation for each fixed beam and inhibiting beam selection when the far end is active.</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Dramatically better mic pickup, including using an augmenting microphone signal, improving overall sound quality.</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Natural and clearly intelligible audio, even when two people speak at once.</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Zero consumption of analog I/O and signal processing in the DSP mixer leaving those resources available for other needs.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Single cable for power, audio and control.</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Two power options – P-Link and POE.</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Daisy-chains with all ClearOne P-Link devices and works with CONVERGE Pro 2 DSP AEC mixers.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lineRule="auto" w:line="288" w:before="0" w:after="0"/>
              <w:ind w:left="0" w:right="0" w:hanging="0"/>
              <w:jc w:val="both"/>
              <w:rPr>
                <w:rFonts w:ascii="times new roman;times" w:hAnsi="times new roman;times"/>
                <w:sz w:val="20"/>
              </w:rPr>
            </w:pPr>
            <w:r>
              <w:rPr>
                <w:rFonts w:ascii="times new roman;times" w:hAnsi="times new roman;times"/>
                <w:sz w:val="20"/>
              </w:rPr>
              <w:t>Easy configuration and management through CONSOLE software.</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6</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 xml:space="preserve">ITEM </w:t>
      </w:r>
      <w:r>
        <w:rPr>
          <w:rFonts w:ascii="times new roman;times" w:hAnsi="times new roman;times"/>
          <w:b/>
          <w:sz w:val="20"/>
        </w:rPr>
        <w:t>1</w:t>
      </w:r>
      <w:r>
        <w:rPr>
          <w:rFonts w:ascii="times new roman;times" w:hAnsi="times new roman;times"/>
          <w:b/>
          <w:sz w:val="20"/>
        </w:rPr>
        <w:t xml:space="preserve"> - BUSINESS</w:t>
      </w:r>
    </w:p>
    <w:p>
      <w:pPr>
        <w:pStyle w:val="TextBody"/>
        <w:spacing w:lineRule="auto" w:line="240" w:before="0" w:after="0"/>
        <w:ind w:left="0" w:right="0" w:hanging="0"/>
        <w:jc w:val="both"/>
        <w:rPr>
          <w:sz w:val="20"/>
        </w:rPr>
      </w:pPr>
      <w:r>
        <w:rPr>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During the first quarter of </w:t>
      </w:r>
      <w:r>
        <w:rPr>
          <w:rFonts w:ascii="times new roman;times" w:hAnsi="times new roman;times"/>
          <w:sz w:val="20"/>
        </w:rPr>
        <w:t>2019</w:t>
      </w:r>
      <w:r>
        <w:rPr>
          <w:rFonts w:ascii="times new roman;times" w:hAnsi="times new roman;times"/>
          <w:sz w:val="20"/>
        </w:rPr>
        <w:t>, the Company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During the first quarter of </w:t>
      </w:r>
      <w:r>
        <w:rPr>
          <w:rFonts w:ascii="times new roman;times" w:hAnsi="times new roman;times"/>
          <w:sz w:val="20"/>
        </w:rPr>
        <w:t>2020</w:t>
      </w:r>
      <w:r>
        <w:rPr>
          <w:rFonts w:ascii="times new roman;times" w:hAnsi="times new roman;times"/>
          <w:sz w:val="20"/>
        </w:rPr>
        <w:t>,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 </w:t>
      </w:r>
      <w:r>
        <w:rPr>
          <w:rFonts w:ascii="times new roman;times" w:hAnsi="times new roman;times"/>
          <w:color w:val="000000"/>
          <w:sz w:val="20"/>
        </w:rPr>
        <w:t>COLLABORATE Versa Lite CT is a USB audio enabled BMA CTH room solution. This solution dramatically enhances the audio experience for any cloud-collaboration application such as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Versa USB to share room audio. The included 50-foot CAT6 cable connects the Versa USB Expander to the BMA CTH.</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sz w:val="20"/>
        </w:rPr>
        <w:t>During October 2020, we announced BMA 360</w:t>
      </w:r>
      <w:r>
        <w:rPr>
          <w:rFonts w:ascii="times new roman;times" w:hAnsi="times new roman;times"/>
          <w:b w:val="false"/>
          <w:i w:val="false"/>
          <w:caps w:val="false"/>
          <w:smallCaps w:val="false"/>
          <w:color w:val="000000"/>
          <w:spacing w:val="0"/>
          <w:sz w:val="20"/>
        </w:rPr>
        <w:t xml:space="preserve">, the world’s most technologically advanced </w:t>
      </w:r>
      <w:r>
        <w:rPr>
          <w:rFonts w:ascii="times new roman;times" w:hAnsi="times new roman;times"/>
          <w:sz w:val="20"/>
        </w:rPr>
        <w:t>Beamforming</w:t>
      </w:r>
      <w:r>
        <w:rPr>
          <w:rFonts w:ascii="times new roman;times" w:hAnsi="times new roman;times"/>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 xml:space="preserve">Microphone Array Ceiling Tile, delivering unequaled audio performance and deployment ease. The </w:t>
      </w:r>
      <w:r>
        <w:rPr>
          <w:rFonts w:ascii="times new roman;times" w:hAnsi="times new roman;times"/>
          <w:sz w:val="20"/>
        </w:rPr>
        <w:t>ClearOne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BMA </w:t>
      </w:r>
      <w:r>
        <w:rPr>
          <w:rFonts w:ascii="times new roman;times" w:hAnsi="times new roman;times"/>
          <w:sz w:val="20"/>
        </w:rPr>
        <w:t>360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is the world’s first truly wideband, frequency invariant </w:t>
      </w:r>
      <w:r>
        <w:rPr>
          <w:rFonts w:ascii="times new roman;times" w:hAnsi="times new roman;times"/>
          <w:sz w:val="20"/>
        </w:rPr>
        <w:t>beamforming</w:t>
      </w:r>
      <w:r>
        <w:rPr>
          <w:rFonts w:ascii="times new roman;times" w:hAnsi="times new roman;times"/>
          <w:caps w:val="false"/>
          <w:smallCaps w:val="false"/>
          <w:color w:val="000000"/>
          <w:spacing w:val="0"/>
          <w:sz w:val="20"/>
        </w:rPr>
        <w:t> </w:t>
      </w:r>
      <w:r>
        <w:rPr>
          <w:rFonts w:ascii="times new roman;times" w:hAnsi="times new roman;times"/>
          <w:sz w:val="20"/>
        </w:rPr>
        <w:t>mic</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array with uniform gain response across all frequency bands. With </w:t>
      </w:r>
      <w:r>
        <w:rPr>
          <w:rFonts w:ascii="times new roman;times" w:hAnsi="times new roman;times"/>
          <w:sz w:val="20"/>
        </w:rPr>
        <w:t>FiBeam™</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technology, conference participants will experience the ultimate in natural and full fidelity audio across all beams and within a single beam. Deep </w:t>
      </w:r>
      <w:r>
        <w:rPr>
          <w:rFonts w:ascii="times new roman;times" w:hAnsi="times new roman;times"/>
          <w:sz w:val="20"/>
        </w:rPr>
        <w:t>sidelobe</w:t>
      </w:r>
      <w:r>
        <w:rPr>
          <w:rFonts w:ascii="times new roman;times" w:hAnsi="times new roman;times"/>
          <w:caps w:val="false"/>
          <w:smallCaps w:val="false"/>
          <w:color w:val="000000"/>
          <w:spacing w:val="0"/>
          <w:sz w:val="20"/>
        </w:rPr>
        <w:t> </w:t>
      </w:r>
      <w:r>
        <w:rPr>
          <w:rFonts w:ascii="times new roman;times" w:hAnsi="times new roman;times"/>
          <w:sz w:val="20"/>
        </w:rPr>
        <w:t>beamforming</w:t>
      </w:r>
      <w:r>
        <w:rPr>
          <w:rFonts w:ascii="times new roman;times" w:hAnsi="times new roman;times"/>
          <w:b w:val="false"/>
          <w:i w:val="false"/>
          <w:caps w:val="false"/>
          <w:smallCaps w:val="false"/>
          <w:color w:val="000000"/>
          <w:spacing w:val="0"/>
          <w:sz w:val="20"/>
        </w:rPr>
        <w:t>, </w:t>
      </w:r>
      <w:r>
        <w:rPr>
          <w:rFonts w:ascii="times new roman;times" w:hAnsi="times new roman;times"/>
          <w:sz w:val="20"/>
        </w:rPr>
        <w:t>DsBeam™</w:t>
      </w:r>
      <w:r>
        <w:rPr>
          <w:rFonts w:ascii="times new roman;times" w:hAnsi="times new roman;times"/>
          <w:b w:val="false"/>
          <w:i w:val="false"/>
          <w:caps w:val="false"/>
          <w:smallCaps w:val="false"/>
          <w:color w:val="000000"/>
          <w:spacing w:val="0"/>
          <w:sz w:val="20"/>
        </w:rPr>
        <w:t>, provides unparalleled maximum </w:t>
      </w:r>
      <w:r>
        <w:rPr>
          <w:rFonts w:ascii="times new roman;times" w:hAnsi="times new roman;times"/>
          <w:sz w:val="20"/>
        </w:rPr>
        <w:t>sidelobe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depth, below -</w:t>
      </w:r>
      <w:r>
        <w:rPr>
          <w:rFonts w:ascii="times new roman;times" w:hAnsi="times new roman;times"/>
          <w:sz w:val="20"/>
        </w:rPr>
        <w:t>40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dB, resulting in superior rejection of reverberation and noise in difficult spaces for superb clarity and intelligibility. </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BMA 360 is based on a dramatically new approach to beamforming that provides a new beam topology to easily achieve distortion-free, full 360-degree coverage of any room shape and any seating arrangement using ClearOne Audio Intelligence™. Further advancements in adaptive steering (think of it as smart switching) provide impeccable coverage of each conference participant as well as support for camera tracking. In addition to the advancements in beamforming technology, the 6G Acoustic Echo Cancellation (AEC) delivers unmatched per-beam full-duplex audio performance. On-board audio algorithms, like noise reduction, filtering, and Automatic Level Control, eliminate the need for per-beam processing in a DSP mixer - requiring fewer DSP mixer resources. Finally, robust built-in amplifiers, configurable as 4 x 15 Watt or 2 x 30 Watt, provide flexibility for driving loudspeakers. ClearOne’s breakthrough technologies, FiBeam, DsBeam, and 6G AEC combine to create VividVoice™, a significant advancement for professional conferencing. The integrated features in the BMA 360 significantly reduce system design complexity, simplify installation, consume less rack space, and lower system cost. The BMA 360 also supports daisy-chaining of up to three ceiling tiles via P-Link for divisible rooms, or larger conference setups – for simpler wiring, longer distances, and lower-cost deployments compared to networked “home-run” connections via Ethernet. ClearOne’s BMA technology is protected by at least a dozen patents and pending patent applications.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7</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February 2021, we expanded the applications for our BMA 360, Beamforming Microphone Array Ceiling Tile with the addition of a new Voice Lift feature that allows its impeccable audio to be locally amplified and heard throughout classrooms, lecture halls, and large meeting rooms. ClearOne’s powerful breakthrough technologies, FiBeam™ and DsBeam™, already found on the BMA 360, enable exceptional new levels of Voice Lift performance. FiBeam technology makes the BMA 360 the world’s first truly wideband, frequency-invariant beamforming mic array that provides the ultimate in natural and full-fidelity sound. DsBeam provides unparalleled sidelobe depth below -40 dB, resulting in superior rejection of reverb and noise and providing superb clarity and intelligibility. With the addition of the new Voice Lift feature, the BMA 360 offers everything desired in a beamforming microphone array ceiling tile—superior beamformed audio, echo cancellation, noise cancellation, auto-mixing, power amplifiers, and camera-tracking functions. The ClearOne architecture offers easy setup and configuration for foolproof installation which benefits AV practitioners. End-users also benefit from the BMA 360’s reduced overall system cost for maximum return on investment. Each BMA 360 can have up to four Voice Lift zones to provide a simple and intuitive way to drive multiple speaker groups, allowing everyone to easily hear and be heard. Built-in 4 channel power amplifiers make wiring simple, convenient, and provide a large cost savings. ClearOne’s innovative combination of built-in power amplifiers and mix-minus zones makes the Voice Lift feature extremely simple to create and deploy. The BMA 360, now with Voice Lift, sets another industry standard for exceptional mic pickup distance and system gain.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Ceiling Microphone Array</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 </w:t>
      </w:r>
    </w:p>
    <w:p>
      <w:pPr>
        <w:pStyle w:val="TextBody"/>
        <w:spacing w:lineRule="auto" w:line="240" w:before="0" w:after="0"/>
        <w:ind w:left="0" w:right="0" w:hanging="0"/>
        <w:jc w:val="both"/>
        <w:rPr/>
      </w:pPr>
      <w:r>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This product line was further strengthened in 2018 by the introduction of the Ceiling Microphone Array Analog-X series of ceiling microphones. These products feature superior sound quality, adjustability for desired height from 0 to 7 feet and numbered microphone elements for easy identification. This product line was further expanded with the introduction of Ceiling Microphone Array Dante, a tri-element ceiling microphone array with built-in Dante audio networking for conferencing and sound reinforcement applications. Each Ceiling Microphone Array Dante utilizes three premium quality microphone elements to deliver 360-degree room coverage for boardrooms, conference rooms, telemedicine facilities and more. Dante networking technology offers simple installation with CAT5 or CAT6 cabling, and delivers uncompressed, multi-channel audio with near-zero latency and sample accurate time synchronization throughout the network.</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Wireless Microphones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compatible versions and more frequency ranges catering to various international markets.</w:t>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During 2017, we started shipping DIALOG</w:t>
      </w:r>
      <w:r>
        <w:rPr>
          <w:rFonts w:ascii="times new roman;times" w:hAnsi="times new roman;times"/>
          <w:position w:val="7"/>
          <w:sz w:val="16"/>
          <w:sz w:val="20"/>
        </w:rPr>
        <w:t>®</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20</w:t>
      </w:r>
      <w:r>
        <w:rPr>
          <w:rFonts w:ascii="times new roman;times" w:hAnsi="times new roman;times"/>
          <w:b w:val="false"/>
          <w:i w:val="false"/>
          <w:caps w:val="false"/>
          <w:smallCaps w:val="false"/>
          <w:color w:val="000000"/>
          <w:spacing w:val="0"/>
          <w:sz w:val="20"/>
        </w:rPr>
        <w:t>, the two-channel wireless microphone system. Leveraging the full power of </w:t>
      </w:r>
      <w:r>
        <w:rPr>
          <w:rFonts w:ascii="times new roman;times" w:hAnsi="times new roman;times"/>
          <w:sz w:val="20"/>
        </w:rPr>
        <w:t>ClearOne's</w:t>
      </w:r>
      <w:r>
        <w:rPr>
          <w:rFonts w:ascii="times new roman;times" w:hAnsi="times new roman;times"/>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CONVERGE Pro 2 or Beamforming Microphone Arrays.</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January 2022 we introduced DIALOG® 10 USB, the industry’s only single-channel wireless microphone system offering professional-quality audio with USB connectivity. Offering plug-and-play simplicity and wireless convenience, DIALOG 10 USB is an ideal solution for webcasting and cloud-based collaboration. Setup is a breeze with the included USB Type C cable that connects to any PC for audio, power, and control. With no external power source or additional audio cables required, DIALOG 10 USB is one of the easiest and fastest ways to enjoy high-quality audio in any application.</w:t>
      </w:r>
    </w:p>
    <w:p>
      <w:pPr>
        <w:pStyle w:val="TextBody"/>
        <w:widowControl/>
        <w:spacing w:before="0" w:after="0"/>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8</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widowControl/>
        <w:spacing w:before="0" w:after="0"/>
        <w:ind w:left="0" w:right="0" w:hanging="0"/>
        <w:jc w:val="center"/>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VIDEO</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video products include video collaboration and AV networking products. Our video products contributed 14% and 22% of our consolidated revenue in 2022 and 2021, respectively.</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Video Collaboration</w:t>
      </w:r>
      <w:r>
        <w:rPr>
          <w:rFonts w:ascii="times new roman;times" w:hAnsi="times new roman;times"/>
          <w:b w:val="false"/>
          <w:i w:val="false"/>
          <w:caps w:val="false"/>
          <w:smallCaps w:val="false"/>
          <w:color w:val="000000"/>
          <w:spacing w:val="0"/>
          <w:sz w:val="20"/>
        </w:rPr>
        <w:t>:</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Media Collaboration suite of products is led by our comprehensive portfolio of industry-leading COLLABORATE</w:t>
      </w:r>
      <w:r>
        <w:rPr>
          <w:rFonts w:ascii="times new roman;times" w:hAnsi="times new roman;times"/>
          <w:b w:val="false"/>
          <w:i w:val="false"/>
          <w:caps w:val="false"/>
          <w:smallCaps w:val="false"/>
          <w:color w:val="000000"/>
          <w:spacing w:val="0"/>
          <w:position w:val="7"/>
          <w:sz w:val="16"/>
          <w:sz w:val="20"/>
        </w:rPr>
        <w:t>®</w:t>
      </w:r>
      <w:r>
        <w:rPr>
          <w:rFonts w:ascii="times new roman;times" w:hAnsi="times new roman;times"/>
          <w:b w:val="false"/>
          <w:i w:val="false"/>
          <w:caps w:val="false"/>
          <w:smallCaps w:val="false"/>
          <w:color w:val="000000"/>
          <w:spacing w:val="0"/>
          <w:sz w:val="20"/>
        </w:rPr>
        <w:t xml:space="preserve"> branded videoconferencing and collaboration solutions. </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COLLABORATE Live 300 includes SIP/H.323 video conferencing, wireless presentation and interactive whiteboard capabilities — along with one CHAT 150 speakerphone and one UNITE 150 PTZ camera with 1080p30, and 12x optical zoom.</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COLLABORATE Live 600 is a video collaboration system that delivers crystal-clear, full-duplex audio for medium-sized conference room environments.  It offers the same suite of built-in video conferencing capabilities, the UNITE 200 1080p60 PTZ camera with 12x optical zoom, and an ultra-friendly user interface that’s as simple and familiar as the interface found on a tablet or mobile device. For audio, the system features twoClearOne CHAT</w:t>
      </w:r>
      <w:r>
        <w:rPr>
          <w:rFonts w:ascii="times new roman;times" w:hAnsi="times new roman;times"/>
          <w:position w:val="7"/>
          <w:sz w:val="16"/>
          <w:sz w:val="20"/>
        </w:rPr>
        <w:t>®</w:t>
      </w:r>
      <w:r>
        <w:rPr>
          <w:rFonts w:ascii="times new roman;times" w:hAnsi="times new roman;times"/>
          <w:sz w:val="20"/>
        </w:rPr>
        <w:t>150 speakerphones that daisy chain with CHATAttach</w:t>
      </w:r>
      <w:r>
        <w:rPr>
          <w:rFonts w:ascii="times new roman;times" w:hAnsi="times new roman;times"/>
          <w:position w:val="7"/>
          <w:sz w:val="16"/>
          <w:sz w:val="20"/>
        </w:rPr>
        <w:t>®</w:t>
      </w:r>
      <w:r>
        <w:rPr>
          <w:rFonts w:ascii="times new roman;times" w:hAnsi="times new roman;times"/>
          <w:sz w:val="20"/>
        </w:rPr>
        <w:t xml:space="preserve"> for crystal-clear audio quality.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Rounding out ClearOne’s COLLABORATE Live product line is COLLABORATE Live 200, a video collaboration system with ultra-wide angle video capture, which is critical for viewing all conference participants in huddle spaces and smaller room environments. Designed specifically to meet huddle space budgets, COLLABORATE Live 200 features the UNITE 50 EPTZ 1080p30 camera with 3x digital zoom and a 120-degree wide-angle field of view. Other features are similar to those found in the COLLABORATE Live 300 system, including the free 90-day COLLABORATE Space subscription.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Media Collaboration series also includes COLLABORATE Space, a suite of solutions that unifies messaging, calls, meetings and, perhaps most importantly, minds in a way that will energize workflows and increase productivity for everyone involved in the enterprise.Designed as a persistent, user-friendly collaboration suite, COLLABORATE Space contains many powerful UCC capabilities, as well as the seamless ability to make calls outside the network. By adding phone credits on the account, customers can reach anyone in the world on a standard landline or mobile phone with the system’s integrated phone dialer. </w:t>
      </w:r>
    </w:p>
    <w:p>
      <w:pPr>
        <w:pStyle w:val="TextBody"/>
        <w:spacing w:lineRule="auto" w:line="240"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 Team members wishing to move from email can also create searchable private and public channels, organized by topic, which can be accessed from anywhere. They can also search, access and store agendas, notes, messages, documents, whiteboards, session recordings, and more.  Finally, COLLABORATE Space runs on any device, from desktop to mobile, and on any standards-based video endpoint.</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COLLABORATE Space Enterprise has all the functionality people have come to expect from a full-featured cloud collaboration app, with the increased security and full, enterprise control associated with on-premises platforms. In addition to the “Enterprise” platform, COLLABORATE Space is available in cloud-based “Basic” and “Pro” versions.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COLLABORATE Space, our powerful cloud-based collaboration solution, added two valuable features in 2020 - webinar hosting and Web RTC. COLLABORATE Space Pro and Enterprise meeting plans can be upgraded to include the Webinar feature allowing session hosts to conduct video and audio presentations for up to 1000 participants. The Web RTC feature works with all popular browsers including Microsoft Edge, Google Chrome, Safari and Mozilla Firefox. The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p>
    <w:p>
      <w:pPr>
        <w:pStyle w:val="TextBody"/>
        <w:widowControl/>
        <w:spacing w:before="0" w:after="0"/>
        <w:ind w:left="0" w:right="0" w:hanging="0"/>
        <w:jc w:val="center"/>
        <w:rPr>
          <w:rFonts w:ascii="times new roman;times" w:hAnsi="times new roman;times"/>
          <w:color w:val="000000"/>
          <w:sz w:val="20"/>
        </w:rPr>
      </w:pPr>
      <w:r>
        <w:rPr>
          <w:rFonts w:ascii="times new roman;times" w:hAnsi="times new roman;times"/>
          <w:color w:val="000000"/>
          <w:sz w:val="20"/>
        </w:rPr>
      </w:r>
    </w:p>
    <w:tbl>
      <w:tblPr>
        <w:tblW w:w="271" w:type="dxa"/>
        <w:jc w:val="center"/>
        <w:tblInd w:w="0" w:type="dxa"/>
        <w:tblCellMar>
          <w:top w:w="0" w:type="dxa"/>
          <w:left w:w="0" w:type="dxa"/>
          <w:bottom w:w="0" w:type="dxa"/>
          <w:right w:w="0" w:type="dxa"/>
        </w:tblCellMar>
      </w:tblPr>
      <w:tblGrid>
        <w:gridCol w:w="271"/>
      </w:tblGrid>
      <w:tr>
        <w:trPr/>
        <w:tc>
          <w:tcPr>
            <w:tcW w:w="271"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9</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r>
    </w:p>
    <w:p>
      <w:pPr>
        <w:pStyle w:val="TextBody"/>
        <w:widowControl/>
        <w:spacing w:lineRule="auto" w:line="240" w:before="0" w:after="0"/>
        <w:ind w:left="0" w:right="0" w:hanging="0"/>
        <w:jc w:val="center"/>
        <w:rPr>
          <w:rFonts w:ascii="times new roman;times" w:hAnsi="times new roman;times"/>
          <w:sz w:val="20"/>
        </w:rPr>
      </w:pPr>
      <w:r>
        <w:rPr>
          <w:rFonts w:ascii="times new roman;times" w:hAnsi="times new roman;times"/>
          <w:b/>
          <w:i w:val="false"/>
          <w:caps w:val="false"/>
          <w:smallCaps w:val="false"/>
          <w:color w:val="000000"/>
          <w:spacing w:val="0"/>
          <w:sz w:val="20"/>
        </w:rPr>
        <w:t>ITEM 1</w:t>
      </w:r>
      <w:r>
        <w:rPr>
          <w:rFonts w:ascii="times new roman;times" w:hAnsi="times new roman;times"/>
          <w:caps w:val="false"/>
          <w:smallCaps w:val="false"/>
          <w:color w:val="000000"/>
          <w:spacing w:val="0"/>
          <w:sz w:val="20"/>
        </w:rPr>
        <w:t> </w:t>
      </w:r>
      <w:r>
        <w:rPr>
          <w:rFonts w:ascii="times new roman;times" w:hAnsi="times new roman;times"/>
          <w:b/>
          <w:i w:val="false"/>
          <w:caps w:val="false"/>
          <w:smallCaps w:val="false"/>
          <w:color w:val="000000"/>
          <w:spacing w:val="0"/>
          <w:sz w:val="20"/>
        </w:rPr>
        <w:t>- BUSINESS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Bring your own device and web conferencing</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COLLABORATE Versa series offer a USB PTZ camera, a speakerphone and USB hub that connects a laptop to the meeting room peripherals via a single USB 3.0 cable. COLLABORATE Versa, is compatible with Microsoft Teams, Zoom, WebEx, Google Meet, and more. This solution is targeted at huddle spaces and medium conference rooms.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COLLABORATE Versa 50 features a ClearOne UNITE</w:t>
      </w:r>
      <w:r>
        <w:rPr>
          <w:rFonts w:ascii="times new roman;times" w:hAnsi="times new roman;times"/>
          <w:position w:val="7"/>
          <w:sz w:val="16"/>
          <w:sz w:val="20"/>
        </w:rPr>
        <w:t>®</w:t>
      </w:r>
      <w:r>
        <w:rPr>
          <w:rFonts w:ascii="times new roman;times" w:hAnsi="times new roman;times"/>
          <w:sz w:val="20"/>
        </w:rPr>
        <w:t xml:space="preserve"> 50 EPTZ 3x zoom 1080p30 camera to capture all participants in the room; a USB hub for connecting to dual displays, cameras, audio endpoints, networks and other peripherals, and a CHAT</w:t>
      </w:r>
      <w:r>
        <w:rPr>
          <w:rFonts w:ascii="times new roman;times" w:hAnsi="times new roman;times"/>
          <w:position w:val="7"/>
          <w:sz w:val="16"/>
          <w:sz w:val="20"/>
        </w:rPr>
        <w:t>®</w:t>
      </w:r>
      <w:r>
        <w:rPr>
          <w:rFonts w:ascii="times new roman;times" w:hAnsi="times new roman;times"/>
          <w:sz w:val="20"/>
        </w:rPr>
        <w:t xml:space="preserve"> 150 speakerphone with advanced audio processing for a rich conferencing experience.</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COLLABORATE Versa Pro 50 addresses today’s AV collaboration needs for COLLABORATE Space, MS Teams, Zoom, WebEx, GoToMeeting and other applications with a complete huddle space solution. It features a CONVERGE</w:t>
      </w:r>
      <w:r>
        <w:rPr>
          <w:rFonts w:ascii="times new roman;times" w:hAnsi="times new roman;times"/>
          <w:position w:val="7"/>
          <w:sz w:val="16"/>
          <w:sz w:val="20"/>
        </w:rPr>
        <w:t>®</w:t>
      </w:r>
      <w:r>
        <w:rPr>
          <w:rFonts w:ascii="times new roman;times" w:hAnsi="times new roman;times"/>
          <w:sz w:val="20"/>
        </w:rPr>
        <w:t xml:space="preserve"> Huddle audio DSP mixer for a professional audio experience, a ClearOne UNITE</w:t>
      </w:r>
      <w:r>
        <w:rPr>
          <w:rFonts w:ascii="times new roman;times" w:hAnsi="times new roman;times"/>
          <w:position w:val="7"/>
          <w:sz w:val="16"/>
          <w:sz w:val="20"/>
        </w:rPr>
        <w:t>®</w:t>
      </w:r>
      <w:r>
        <w:rPr>
          <w:rFonts w:ascii="times new roman;times" w:hAnsi="times new roman;times"/>
          <w:sz w:val="20"/>
        </w:rPr>
        <w:t xml:space="preserve"> 50 EPTZ 3x zoom 1080p30 camera, and a ceiling microphone array with 360-degree coverage reducing reverberation and noise. Customers purchasing the COLLABORATE Versa Pro 150 get upgraded to a 1080p30 UNITE</w:t>
      </w:r>
      <w:r>
        <w:rPr>
          <w:rFonts w:ascii="times new roman;times" w:hAnsi="times new roman;times"/>
          <w:position w:val="7"/>
          <w:sz w:val="16"/>
          <w:sz w:val="20"/>
        </w:rPr>
        <w:t>®</w:t>
      </w:r>
      <w:r>
        <w:rPr>
          <w:rFonts w:ascii="times new roman;times" w:hAnsi="times new roman;times"/>
          <w:sz w:val="20"/>
        </w:rPr>
        <w:t xml:space="preserve"> 150 PTZ camera with 12x optical zoom.</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COLLABORATE Versa Pro CT, includes a Huddle DSP mixer and the Huddle-compatible and patented BMA CTH that is a perfect fit for small-to medium-sized rooms.The COLLABORATE Versa Pro CT is a great room solution for Bring Your Own Device (BYOD) collaboration using any cloud-based service. such as Microsoft Teams, WebEx, Zoom, and more.The system includes the Company’s new BMA CTH Beamforming Microphone Array Ceiling Tile with built-in AEC, providing the same impeccable room coverage as the BMA CT using adaptive steering (think of it as smart switching).The COLLABORATE Versa Pro CT system also includes mic/line inputs with AEC, line outputs, 4x10 Watt power amps, USB audio, and HDMI. The system comes preloaded with a project file ready for the most common room configuration. Or it can be further configured using CONSOLE</w:t>
      </w:r>
      <w:r>
        <w:rPr>
          <w:rFonts w:ascii="times new roman;times" w:hAnsi="times new roman;times"/>
          <w:position w:val="7"/>
          <w:sz w:val="16"/>
          <w:sz w:val="20"/>
        </w:rPr>
        <w:t>®</w:t>
      </w:r>
      <w:r>
        <w:rPr>
          <w:rFonts w:ascii="times new roman;times" w:hAnsi="times new roman;times"/>
          <w:sz w:val="20"/>
        </w:rPr>
        <w:t xml:space="preserve"> AI software, now with enhanced visualization and Audio Intelligence.</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Additionally, both COLLABORATE Versa Pro 50 and Versa Pro 150 solutions feature a CONVERGE® Huddle audio DSP mixer for a professional audio experience, and a Ceiling Microphone Array with 360-degree coverage that reduces reverberation and noise.</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Cameras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UNITE 200/150 is a professional-grade PTZ camera series supporting USB, HDMI and IP connectivity. It delivers 1080p HD resolution, 12X optical zoom and is compatible with PC-based and Pro-AV applications, supporting wide range of meeting spaces.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UNITE 50 4K camera is plug-and-play ready with a 120-degree field-of-view, and digital zoom. It pairs easily with any microphone/speaker combination. The UNITE 50 4K camera’s ultra-wide-angle field-of-view is ideally suited for PC-based video conferencing, web conferencing and unified communications, and other collaboration experiences in huddle spaces and small conference rooms. The camera also supports the USB Video Class (UVC) 1.1 standard for maximum compatibility with a wide variety of cloud and room-based solutions. Along with 4K30 resolution, the autofocus camera features 3x digital zoom and a full-function USB 3.0 interface for video and power. Its wide dynamic range provides support for optimal image capture — critical for all video conferencing.</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April 2020, we introduced the UNITE 20 Pro Webcam, which easily mounts on a PC or laptop to provide full 1080p30 image with an ultra wide-angle field-of-view up to 120</w:t>
      </w:r>
      <w:r>
        <w:rPr>
          <w:rFonts w:ascii="times new roman;times" w:hAnsi="times new roman;times"/>
          <w:b w:val="false"/>
          <w:i w:val="false"/>
          <w:caps w:val="false"/>
          <w:smallCaps w:val="false"/>
          <w:color w:val="666666"/>
          <w:spacing w:val="0"/>
          <w:sz w:val="20"/>
        </w:rPr>
        <w:t>°. </w:t>
      </w:r>
      <w:r>
        <w:rPr>
          <w:rFonts w:ascii="times new roman;times" w:hAnsi="times new roman;times"/>
          <w:b w:val="false"/>
          <w:i w:val="false"/>
          <w:caps w:val="false"/>
          <w:smallCaps w:val="false"/>
          <w:color w:val="000000"/>
          <w:spacing w:val="0"/>
          <w:sz w:val="20"/>
        </w:rPr>
        <w:t> A super-high signal-to-noise ratio and advanced 2D and 3D noise reduction provides superior desktop camera video quality.</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the first quarter of 2021, we announced two powerful cameras that enhance the ease and visual quality of online collaboration beyond the capabilities of integrated laptop and PC cameras. With the ClearOne UNITE® 10, the Company’s most affordable camera ever, and the feature-rich ClearOne UNITE 50 4K AF that includes Auto-Framing technology for automatic single- or multi-person capture, everyone can communicate with the confidence provided by stunning video that puts them in the best possible light. The small, powerful webcam supports up to 1080p video quality and offers autofocus. The UNITE 10 can capture five-megapixel images with a field of view up to 87 degrees. The UNITE 10 attaches to any PC or laptop with a simple mounting bracket, and a 1.5m USB-A cable ensures simple connection to most modern computers. </w:t>
      </w:r>
    </w:p>
    <w:p>
      <w:pPr>
        <w:pStyle w:val="TextBody"/>
        <w:spacing w:lineRule="auto" w:line="240" w:before="0" w:after="0"/>
        <w:ind w:left="0" w:right="0" w:hanging="0"/>
        <w:jc w:val="both"/>
        <w:rPr/>
      </w:pPr>
      <w:r>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10</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r>
    </w:p>
    <w:p>
      <w:pPr>
        <w:pStyle w:val="TextBody"/>
        <w:widowControl/>
        <w:spacing w:lineRule="auto" w:line="240" w:before="0" w:after="0"/>
        <w:ind w:left="0" w:right="0" w:hanging="0"/>
        <w:jc w:val="center"/>
        <w:rPr>
          <w:rFonts w:ascii="times new roman;times" w:hAnsi="times new roman;times"/>
          <w:sz w:val="20"/>
        </w:rPr>
      </w:pPr>
      <w:r>
        <w:rPr>
          <w:rFonts w:ascii="times new roman;times" w:hAnsi="times new roman;times"/>
          <w:b/>
          <w:i w:val="false"/>
          <w:caps w:val="false"/>
          <w:smallCaps w:val="false"/>
          <w:color w:val="000000"/>
          <w:spacing w:val="0"/>
          <w:sz w:val="20"/>
        </w:rPr>
        <w:t>ITEM 1</w:t>
      </w:r>
      <w:r>
        <w:rPr>
          <w:rFonts w:ascii="times new roman;times" w:hAnsi="times new roman;times"/>
          <w:caps w:val="false"/>
          <w:smallCaps w:val="false"/>
          <w:color w:val="000000"/>
          <w:spacing w:val="0"/>
          <w:sz w:val="20"/>
        </w:rPr>
        <w:t> </w:t>
      </w:r>
      <w:r>
        <w:rPr>
          <w:rFonts w:ascii="times new roman;times" w:hAnsi="times new roman;times"/>
          <w:b/>
          <w:i w:val="false"/>
          <w:caps w:val="false"/>
          <w:smallCaps w:val="false"/>
          <w:color w:val="000000"/>
          <w:spacing w:val="0"/>
          <w:sz w:val="20"/>
        </w:rPr>
        <w:t>- BUSINESS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new UNITE 50 4K AF camera is a major upgrade over traditional webcams and introduces ClearOne’s new Auto-Framing technology that automatically frames meeting participants to maximize screen use through intelligent image algorithms and ePTZ automation (electronic pan, tilt and zoom). With 4K video quality at 30 Hz, auto-focus capability, 4x digital zoom, more than 8 megapixels of total resolution and an ultra-wide 110-degree field of view, the UNITE 50 4K AF ePTZ is equally capable of delivering incredible image quality from a home office as it is at capturing all participants in an office boardroom. The camera can be controlled through an IR remote, further simplifying use and enabling real-time control of pan, tilt and zoom to provide greater control when capturing multi-person meeting environments. A standard damping mount ensures fast, easy installation, while an included USB 3.0 cable provides both power and video. Both new ClearOne cameras enable life-like video quality to web-based conferencing applications including Microsoft Teams, WebEx, Google Meet, Zoom, and GoToMeeting.</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July 2021 we introduced the UNITE 180 ePTZ professional camera that provides a full 180-degree panoramic field-of-view with “real-time stitching” to achieve a variety of useful viewing modes for any application and environment. Designed for professional-quality visual collaboration, conferencing, UC applications, distance learning, and more, the new UNITE 180 camera provides six viewing mode options as well as panoramic view for the ultimate in camera flexibility. Real-time stitching creates a seamless 180-degree panoramic view of wide spaces by bringing the views of multiple lenses together as one complete image. Large classroom settings, training centers, or any wide conferencing area are all captured and presented with perfect clarity in any of the viewing mode options. A 4x zoom further enhances the UNITE 180 feature set. The UNITE 180 is compatible with all popular cloud-based video collaboration applications including Microsoft Teams, Zoom, WebEx, Google Meet, and others.</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July 2021 we also announced the market introduction of the Versa Mediabar™ video soundbar, the Company’s first professional quality all-in-one audio and video capture device that combines the elegance and simplicity of a soundbar with the power of ClearOne’s intelligent audio capture and 4K camera technologies. Versa Mediabar provides high-quality visual collaboration, audio conferencing, and UC applications from a single integrated device, offering the simplest solution available for offices, conference rooms and home offices with virtually no setup required. With a compact design that can be mounted on a wall or attached to a video display, the Versa Mediabar connects via a single USB cable to elevate the soundbar concept into a powerful tool for virtual collaboration that includes AI-enabled auto-framing and people tracking. The Versa Mediabar features a built-in 4K Ultra HD camera with a 110-degree ultra wide-angle field of view and a four-element microphone array with 360-degree voice pickup and intelligent DSP that provides acoustic echo cancellation (AEC) and automatic noise reduction to ensure crystal clear audio capture. The camera combines electronic pan, tilt and zoom functions (ePTZ) with artificial intelligence to enable auto-framing and people tracking that keeps the speaker in view even if they move around the room. From huddle spaces and small meeting rooms to executive offices and home offices, the compact Versa Mediabar delivers all the power and clarity needed for daily virtual communications. In addition to its professional-quality audio and video capture, the Versa Mediabar also features a powerful built-in speaker with Bluetooth connectivity that allows it to serve double duty as a fully-featured conferencing solution or a Bluetooth speaker for impromptu calls using any Bluetooth device. These attributes make the Versa Mediabar perfect for popular cloud-based collaboration applications such as Microsoft Teams, Zoom, WebEx, and Google Meet. The Versa Mediabar supports standard UVC commands for control, making it a great addition to existing systems, while dual wall and display mounting options deliver freedom of placement and movement.</w:t>
      </w: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At the end of October 2022, we announced the introduction of the UNITE® 60 camera, a new wide angle 4K USB camera featuring AI-powered smart face and voice tracking, along with electronic PTZ (pan/tilt/zoom) capabilities. With a 120-degree field of view, and a plug-and-play USB 3.0 connection for video, control, and power, the new UNITE 60 camera is ideally suited for rooms such as executive offices, huddle rooms, or smaller conference rooms. The UNITE 60 camera leverages a wide dynamic range and super-high SNR with advanced 2D and 3D noise reduction to deliver excellent visuals across varied lighting conditions. In addition to the AI auto-tracking feature, the camera can also be controlled via IR remote or UVC protocol. The camera can be paired with a wide variety of microphones and speakers.</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br/>
        <w:t>In November 2022, we announced the introduction of UNITE 160, a new camera that offers cutting-edge 4K UHD performance with 12x optical zoom capabilities, remote-controlled mechanical pan and tilt as well as AI-powered smart face tracking and auto framing. This camera is designed to capture all participants in large rooms while enabling automated focus on a moving presenter, making it ideal for larger spaces including board rooms, training centers, conference rooms and classrooms. This new camera offers an integrated AI-based camera tracking solution for rooms that are a fit for ClearOne's Versa Lite CT and a single camera. This new lower-cost camera tracking configuration eliminates the need for a DSP mixer and a control system.</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11</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val="false"/>
          <w:i w:val="false"/>
          <w:caps w:val="false"/>
          <w:smallCaps w:val="false"/>
          <w:color w:val="000000"/>
          <w:spacing w:val="0"/>
        </w:rPr>
      </w:pPr>
      <w:r>
        <w:rPr>
          <w:rFonts w:ascii="times new roman;times" w:hAnsi="times new roman;times"/>
          <w:b w:val="false"/>
          <w:i w:val="false"/>
          <w:caps w:val="false"/>
          <w:smallCaps w:val="false"/>
          <w:color w:val="000000"/>
          <w:spacing w:val="0"/>
        </w:rPr>
      </w:r>
    </w:p>
    <w:p>
      <w:pPr>
        <w:pStyle w:val="TextBody"/>
        <w:widowControl/>
        <w:spacing w:lineRule="auto" w:line="240" w:before="0" w:after="0"/>
        <w:ind w:left="0" w:right="0" w:hanging="0"/>
        <w:jc w:val="center"/>
        <w:rPr>
          <w:rFonts w:ascii="times new roman;times" w:hAnsi="times new roman;times"/>
          <w:sz w:val="24"/>
        </w:rPr>
      </w:pPr>
      <w:r>
        <w:rPr>
          <w:rFonts w:ascii="times new roman;times" w:hAnsi="times new roman;times"/>
          <w:b w:val="false"/>
          <w:i w:val="false"/>
          <w:caps w:val="false"/>
          <w:smallCaps w:val="false"/>
          <w:color w:val="000000"/>
          <w:spacing w:val="0"/>
          <w:sz w:val="24"/>
        </w:rPr>
        <w:t>ITEM 1</w:t>
      </w:r>
      <w:r>
        <w:rPr>
          <w:rFonts w:ascii="times new roman;times" w:hAnsi="times new roman;times"/>
          <w:caps w:val="false"/>
          <w:smallCaps w:val="false"/>
          <w:color w:val="000000"/>
          <w:spacing w:val="0"/>
          <w:sz w:val="24"/>
        </w:rPr>
        <w:t> </w:t>
      </w:r>
      <w:r>
        <w:rPr>
          <w:rFonts w:ascii="times new roman;times" w:hAnsi="times new roman;times"/>
          <w:b w:val="false"/>
          <w:i w:val="false"/>
          <w:caps w:val="false"/>
          <w:smallCaps w:val="false"/>
          <w:color w:val="000000"/>
          <w:spacing w:val="0"/>
          <w:sz w:val="24"/>
        </w:rPr>
        <w:t>- BUSINESS</w:t>
      </w:r>
    </w:p>
    <w:p>
      <w:pPr>
        <w:pStyle w:val="TextBody"/>
        <w:widowControl/>
        <w:spacing w:before="0" w:after="0"/>
        <w:ind w:left="0" w:right="0" w:hanging="0"/>
        <w:jc w:val="center"/>
        <w:rPr>
          <w:i/>
          <w:sz w:val="20"/>
        </w:rPr>
      </w:pPr>
      <w:r>
        <w:rPr>
          <w:i/>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AV Networking</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sz w:val="20"/>
        </w:rPr>
        <w:t>Our AV networking products are primarily sold under VIEW</w:t>
      </w:r>
      <w:r>
        <w:rPr>
          <w:rFonts w:ascii="times new roman;times" w:hAnsi="times new roman;times"/>
          <w:b w:val="false"/>
          <w:i w:val="false"/>
          <w:caps w:val="false"/>
          <w:smallCaps w:val="false"/>
          <w:color w:val="000000"/>
          <w:spacing w:val="0"/>
          <w:sz w:val="17"/>
        </w:rPr>
        <w:t>®</w:t>
      </w:r>
      <w:r>
        <w:rPr>
          <w:rFonts w:ascii="times new roman;times" w:hAnsi="times new roman;times"/>
          <w:sz w:val="20"/>
        </w:rPr>
        <w:t xml:space="preserve"> Pro and VIEW Lite brands and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VIEW Pro products are powered by ClearOne’s patented StreamNet</w:t>
      </w:r>
      <w:r>
        <w:rPr>
          <w:rFonts w:ascii="times new roman;times" w:hAnsi="times new roman;times"/>
          <w:position w:val="7"/>
          <w:sz w:val="16"/>
          <w:sz w:val="20"/>
        </w:rPr>
        <w:t>®</w:t>
      </w:r>
      <w:r>
        <w:rPr>
          <w:rFonts w:ascii="times new roman;times" w:hAnsi="times new roman;times"/>
          <w:sz w:val="20"/>
        </w:rPr>
        <w:t xml:space="preserve">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or other device with a built-in web browser can control the equipment connected to the system. VIEW Pro systems have no limits on the numbers of sources, displays, or amplifiers in a project and can be used in venues from high-end residential homes to large-scale commercial projects. The number of devices could be determined by the network bandwidth availability, number of media streams and its bandwidth requirements.</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Transporting an audio or video signal via IP </w:t>
      </w:r>
      <w:r>
        <w:rPr>
          <w:rFonts w:ascii="times new roman;times" w:hAnsi="times new roman;times"/>
          <w:b w:val="false"/>
          <w:i w:val="false"/>
          <w:caps w:val="false"/>
          <w:smallCaps w:val="false"/>
          <w:color w:val="000000"/>
          <w:spacing w:val="0"/>
          <w:sz w:val="20"/>
        </w:rPr>
        <w:t>(Internet Protocol) packets </w:t>
      </w:r>
      <w:r>
        <w:rPr>
          <w:rFonts w:ascii="times new roman;times" w:hAnsi="times new roman;times"/>
          <w:sz w:val="20"/>
        </w:rPr>
        <w:t>preserves the digital quality of the signal across the network. Unlike analog systems, which lose quality over long distances, IP packets are decoded to retain the same digital quality as when they were encoded. The addition of Digital Encoder and Digital Decoder products with DVI/HDMI input and output enhances the flexibility of the complete AV distribution system and makes it as easy to use as analog devices.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VIEW Pro solution provides 1080p60, H.264 high definition HDMI video-audio, 4:4:4 true-color, 24 bit per pixel video output. It comes with a dual input encoder, single input encoder and single output decoder with balanced audio, general purpose control ports and clock synchronized video output. The VIEW Pro system also provides PANORAMA</w:t>
      </w:r>
      <w:r>
        <w:rPr>
          <w:rFonts w:ascii="times new roman;times" w:hAnsi="times new roman;times"/>
          <w:position w:val="7"/>
          <w:sz w:val="16"/>
          <w:sz w:val="20"/>
        </w:rPr>
        <w:t>TM</w:t>
      </w:r>
      <w:r>
        <w:rPr>
          <w:rFonts w:ascii="times new roman;times" w:hAnsi="times new roman;times"/>
          <w:sz w:val="20"/>
        </w:rPr>
        <w:t>, a multi-view video composition and video-wall software application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D210 and D310 decoders. The VIEW Pro solution also comes with multiple features including audio mixing, video composition, video wall, multicast RTSP and local playback.</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VIEW CONSOLE software gives integrators a comprehensive platform from which to configure, manage, monitor, and control VIEW Pro system installation using an easy, modern interface. The toolset, which incorporates advanced software technologies, works across ClearOne’s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full line of VIEW Pro products. </w:t>
      </w: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VIEW Lite series includes an encoder, a decoder and a controller, that provide essential functionality that meets the full needs of simple AV over IP applications while simultaneously delivering superb price-to-performance value. </w:t>
      </w: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PROFESSIONAL AUDIO AND VIDEO HOME OFFICE SOLUTIONS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November 2020, we introduced Aura™, a comprehensive range of Good, Better and Best packages of enterprise quality audio, video, audio-video options to meet the home office market demand for professional audio and video collaboration solutions that match the quality found in a traditional corporate office.</w:t>
      </w: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COVID 19 pandemic brought long lasting changes to the workplace. Home has become the new office for tens of millions of professionals who now need a work environment every bit as productive as their corporate office. Aura was developed to deliver that much-needed enterprise quality experience in the home. For homeowners, prospective homebuyers, builders, architects and designers, the purpose-built home office is rapidly replacing the home theater in importance. Aura solutions are designed for high performance professionals across multiple industries. Aura meets this growing need for easy to purchase and install commercial quality solutions that deliver HDConference® audio and true-to-life video technology through a variety of professional microphone, audioconferencing, videoconferencing, camera and collaboration component choices that optimize home office acoustic and aesthetic aspirations. Aura solutions are designed to be easily installed by both homeowners and installers. </w:t>
      </w:r>
    </w:p>
    <w:p>
      <w:pPr>
        <w:pStyle w:val="TextBody"/>
        <w:widowControl/>
        <w:spacing w:before="0" w:after="0"/>
        <w:ind w:left="0" w:right="0" w:hanging="0"/>
        <w:jc w:val="center"/>
        <w:rPr>
          <w:rFonts w:ascii="times new roman;times" w:hAnsi="times new roman;times"/>
        </w:rPr>
      </w:pPr>
      <w:r>
        <w:rPr>
          <w:rFonts w:ascii="times new roman;times" w:hAnsi="times new roman;times"/>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With the post-pandemic demand for work from home and learn from home markets plateauing, we have decided to deemphasize the Aura product line and continue our focus on our core product lines and our key channels including the professional audiovisual channel. </w:t>
      </w:r>
    </w:p>
    <w:p>
      <w:pPr>
        <w:pStyle w:val="TextBody"/>
        <w:spacing w:lineRule="auto" w:line="240" w:before="0" w:after="0"/>
        <w:ind w:left="0" w:right="0" w:hanging="0"/>
        <w:jc w:val="both"/>
        <w:rPr/>
      </w:pPr>
      <w:r>
        <w:rPr/>
        <w:t>  </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12</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lineRule="auto" w:line="240" w:before="0" w:after="0"/>
        <w:ind w:left="0" w:right="0" w:hanging="0"/>
        <w:jc w:val="center"/>
        <w:rPr>
          <w:rFonts w:ascii="times new roman;times" w:hAnsi="times new roman;times"/>
          <w:sz w:val="20"/>
        </w:rPr>
      </w:pPr>
      <w:r>
        <w:rPr>
          <w:rFonts w:ascii="times new roman;times" w:hAnsi="times new roman;times"/>
          <w:b w:val="false"/>
          <w:i w:val="false"/>
          <w:caps w:val="false"/>
          <w:smallCaps w:val="false"/>
          <w:color w:val="000000"/>
          <w:spacing w:val="0"/>
          <w:sz w:val="20"/>
        </w:rPr>
        <w:t>ITEM 1</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BUSINESS</w:t>
      </w:r>
    </w:p>
    <w:p>
      <w:pPr>
        <w:pStyle w:val="TextBody"/>
        <w:spacing w:lineRule="auto" w:line="240" w:before="0" w:after="0"/>
        <w:ind w:left="0" w:right="0" w:hanging="0"/>
        <w:jc w:val="both"/>
        <w:rPr/>
      </w:pPr>
      <w:r>
        <w:rPr/>
      </w:r>
    </w:p>
    <w:p>
      <w:pPr>
        <w:pStyle w:val="TextBody"/>
        <w:spacing w:lineRule="auto" w:line="240" w:before="0" w:after="0"/>
        <w:ind w:left="0" w:right="0" w:hanging="0"/>
        <w:jc w:val="left"/>
        <w:rPr>
          <w:rFonts w:ascii="times new roman;times" w:hAnsi="times new roman;times"/>
          <w:b/>
          <w:sz w:val="20"/>
        </w:rPr>
      </w:pPr>
      <w:r>
        <w:rPr>
          <w:rFonts w:ascii="times new roman;times" w:hAnsi="times new roman;times"/>
          <w:b/>
          <w:sz w:val="20"/>
        </w:rPr>
        <w:t>MARKETING AND SALES</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use a two-tier channel model through which we sell our commercial products to a worldwide network of independent professional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audio-visual consultants. We also sell our commercial products directly to certain dealers, systems integrators, value-added resellers, and end-users.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product sales generated in the United States and outside the United States for the years ended December 31 are as follows:</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4250" w:type="pct"/>
        <w:jc w:val="center"/>
        <w:tblInd w:w="0" w:type="dxa"/>
        <w:tblCellMar>
          <w:top w:w="0" w:type="dxa"/>
          <w:left w:w="0" w:type="dxa"/>
          <w:bottom w:w="28" w:type="dxa"/>
          <w:right w:w="0" w:type="dxa"/>
        </w:tblCellMar>
      </w:tblPr>
      <w:tblGrid>
        <w:gridCol w:w="2799"/>
        <w:gridCol w:w="226"/>
        <w:gridCol w:w="310"/>
        <w:gridCol w:w="754"/>
        <w:gridCol w:w="225"/>
        <w:gridCol w:w="225"/>
        <w:gridCol w:w="226"/>
        <w:gridCol w:w="547"/>
        <w:gridCol w:w="391"/>
        <w:gridCol w:w="225"/>
        <w:gridCol w:w="311"/>
        <w:gridCol w:w="753"/>
        <w:gridCol w:w="225"/>
        <w:gridCol w:w="226"/>
        <w:gridCol w:w="225"/>
        <w:gridCol w:w="548"/>
        <w:gridCol w:w="458"/>
      </w:tblGrid>
      <w:tr>
        <w:trPr/>
        <w:tc>
          <w:tcPr>
            <w:tcW w:w="2799" w:type="dxa"/>
            <w:tcBorders>
              <w:bottom w:val="single" w:sz="2" w:space="0" w:color="000000"/>
            </w:tcBorders>
            <w:shd w:fill="auto" w:val="clear"/>
            <w:vAlign w:val="center"/>
          </w:tcPr>
          <w:p>
            <w:pPr>
              <w:pStyle w:val="TableContents"/>
              <w:spacing w:before="0" w:after="0"/>
              <w:ind w:left="0" w:right="0" w:hanging="0"/>
              <w:rPr>
                <w:rFonts w:ascii="times new roman;times" w:hAnsi="times new roman;times"/>
                <w:sz w:val="18"/>
              </w:rPr>
            </w:pPr>
            <w:r>
              <w:rPr>
                <w:rFonts w:ascii="times new roman;times" w:hAnsi="times new roman;times"/>
                <w:sz w:val="18"/>
              </w:rPr>
              <w:t xml:space="preserve">Revenue in millions </w:t>
            </w:r>
          </w:p>
        </w:tc>
        <w:tc>
          <w:tcPr>
            <w:tcW w:w="226" w:type="dxa"/>
            <w:tcBorders/>
            <w:shd w:fill="auto" w:val="clear"/>
            <w:tcMar>
              <w:bottom w:w="0" w:type="dxa"/>
            </w:tcMar>
            <w:vAlign w:val="center"/>
          </w:tcPr>
          <w:p>
            <w:pPr>
              <w:pStyle w:val="TableContents"/>
              <w:spacing w:before="0" w:after="0"/>
              <w:ind w:left="0" w:right="0" w:hanging="0"/>
              <w:rPr/>
            </w:pPr>
            <w:r>
              <w:rPr/>
              <w:t xml:space="preserve">  </w:t>
            </w:r>
          </w:p>
        </w:tc>
        <w:tc>
          <w:tcPr>
            <w:tcW w:w="2287" w:type="dxa"/>
            <w:gridSpan w:val="6"/>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sz w:val="18"/>
              </w:rPr>
            </w:pPr>
            <w:r>
              <w:rPr>
                <w:rFonts w:ascii="times new roman;times" w:hAnsi="times new roman;times"/>
                <w:sz w:val="18"/>
              </w:rPr>
              <w:t>2022</w:t>
            </w:r>
          </w:p>
        </w:tc>
        <w:tc>
          <w:tcPr>
            <w:tcW w:w="391" w:type="dxa"/>
            <w:tcBorders/>
            <w:shd w:fill="auto" w:val="clear"/>
            <w:tcMar>
              <w:bottom w:w="0" w:type="dxa"/>
            </w:tcMar>
            <w:vAlign w:val="center"/>
          </w:tcPr>
          <w:p>
            <w:pPr>
              <w:pStyle w:val="TableContents"/>
              <w:spacing w:before="0" w:after="0"/>
              <w:ind w:left="0" w:right="0" w:hanging="0"/>
              <w:rPr/>
            </w:pPr>
            <w:r>
              <w:rPr/>
              <w:t xml:space="preserve">  </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2288" w:type="dxa"/>
            <w:gridSpan w:val="6"/>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sz w:val="18"/>
              </w:rPr>
            </w:pPr>
            <w:r>
              <w:rPr>
                <w:rFonts w:ascii="times new roman;times" w:hAnsi="times new roman;times"/>
                <w:sz w:val="18"/>
              </w:rPr>
              <w:t>2021</w:t>
            </w:r>
          </w:p>
        </w:tc>
        <w:tc>
          <w:tcPr>
            <w:tcW w:w="458" w:type="dxa"/>
            <w:tcBorders/>
            <w:shd w:fill="auto" w:val="clear"/>
            <w:tcMar>
              <w:bottom w:w="0" w:type="dxa"/>
            </w:tcMar>
            <w:vAlign w:val="center"/>
          </w:tcPr>
          <w:p>
            <w:pPr>
              <w:pStyle w:val="TableContents"/>
              <w:spacing w:before="0" w:after="0"/>
              <w:ind w:left="0" w:right="0" w:hanging="0"/>
              <w:rPr/>
            </w:pPr>
            <w:r>
              <w:rPr/>
              <w:t xml:space="preserve">  </w:t>
            </w:r>
          </w:p>
        </w:tc>
      </w:tr>
      <w:tr>
        <w:trPr/>
        <w:tc>
          <w:tcPr>
            <w:tcW w:w="2799" w:type="dxa"/>
            <w:tcBorders/>
            <w:shd w:fill="auto" w:val="clear"/>
            <w:tcMar>
              <w:bottom w:w="0" w:type="dxa"/>
            </w:tcMar>
            <w:vAlign w:val="center"/>
          </w:tcPr>
          <w:p>
            <w:pPr>
              <w:pStyle w:val="TableContents"/>
              <w:spacing w:before="0" w:after="0"/>
              <w:ind w:left="0" w:right="0" w:hanging="0"/>
              <w:rPr/>
            </w:pPr>
            <w:r>
              <w:rPr/>
              <w:t xml:space="preserve">  </w:t>
            </w:r>
          </w:p>
        </w:tc>
        <w:tc>
          <w:tcPr>
            <w:tcW w:w="226" w:type="dxa"/>
            <w:tcBorders/>
            <w:shd w:fill="auto" w:val="clear"/>
            <w:tcMar>
              <w:bottom w:w="0" w:type="dxa"/>
            </w:tcMar>
            <w:vAlign w:val="center"/>
          </w:tcPr>
          <w:p>
            <w:pPr>
              <w:pStyle w:val="TableContents"/>
              <w:spacing w:before="0" w:after="0"/>
              <w:ind w:left="0" w:right="0" w:hanging="0"/>
              <w:rPr/>
            </w:pPr>
            <w:r>
              <w:rPr/>
              <w:t xml:space="preserve">  </w:t>
            </w:r>
          </w:p>
        </w:tc>
        <w:tc>
          <w:tcPr>
            <w:tcW w:w="1064"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sz w:val="18"/>
              </w:rPr>
            </w:pPr>
            <w:r>
              <w:rPr>
                <w:rFonts w:ascii="times new roman;times" w:hAnsi="times new roman;times"/>
                <w:sz w:val="18"/>
              </w:rPr>
              <w:t xml:space="preserve">Revenue </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773"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sz w:val="18"/>
              </w:rPr>
            </w:pPr>
            <w:r>
              <w:rPr>
                <w:rFonts w:ascii="times new roman;times" w:hAnsi="times new roman;times"/>
                <w:sz w:val="18"/>
              </w:rPr>
              <w:t xml:space="preserve">% </w:t>
            </w:r>
          </w:p>
        </w:tc>
        <w:tc>
          <w:tcPr>
            <w:tcW w:w="391" w:type="dxa"/>
            <w:tcBorders/>
            <w:shd w:fill="auto" w:val="clear"/>
            <w:tcMar>
              <w:bottom w:w="0" w:type="dxa"/>
            </w:tcMar>
            <w:vAlign w:val="center"/>
          </w:tcPr>
          <w:p>
            <w:pPr>
              <w:pStyle w:val="TableContents"/>
              <w:spacing w:before="0" w:after="0"/>
              <w:ind w:left="0" w:right="0" w:hanging="0"/>
              <w:rPr/>
            </w:pPr>
            <w:r>
              <w:rPr/>
              <w:t xml:space="preserve">  </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1064"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sz w:val="18"/>
              </w:rPr>
            </w:pPr>
            <w:r>
              <w:rPr>
                <w:rFonts w:ascii="times new roman;times" w:hAnsi="times new roman;times"/>
                <w:sz w:val="18"/>
              </w:rPr>
              <w:t xml:space="preserve">Revenue </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226" w:type="dxa"/>
            <w:tcBorders/>
            <w:shd w:fill="auto" w:val="clear"/>
            <w:tcMar>
              <w:bottom w:w="0" w:type="dxa"/>
            </w:tcMar>
            <w:vAlign w:val="center"/>
          </w:tcPr>
          <w:p>
            <w:pPr>
              <w:pStyle w:val="TableContents"/>
              <w:spacing w:before="0" w:after="0"/>
              <w:ind w:left="0" w:right="0" w:hanging="0"/>
              <w:rPr/>
            </w:pPr>
            <w:r>
              <w:rPr/>
              <w:t xml:space="preserve">  </w:t>
            </w:r>
          </w:p>
        </w:tc>
        <w:tc>
          <w:tcPr>
            <w:tcW w:w="773"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sz w:val="18"/>
              </w:rPr>
            </w:pPr>
            <w:r>
              <w:rPr>
                <w:rFonts w:ascii="times new roman;times" w:hAnsi="times new roman;times"/>
                <w:sz w:val="18"/>
              </w:rPr>
              <w:t xml:space="preserve">% </w:t>
            </w:r>
          </w:p>
        </w:tc>
        <w:tc>
          <w:tcPr>
            <w:tcW w:w="458" w:type="dxa"/>
            <w:tcBorders/>
            <w:shd w:fill="auto" w:val="clear"/>
            <w:tcMar>
              <w:bottom w:w="0" w:type="dxa"/>
            </w:tcMar>
            <w:vAlign w:val="center"/>
          </w:tcPr>
          <w:p>
            <w:pPr>
              <w:pStyle w:val="TableContents"/>
              <w:spacing w:before="0" w:after="0"/>
              <w:ind w:left="0" w:right="0" w:hanging="0"/>
              <w:rPr/>
            </w:pPr>
            <w:r>
              <w:rPr/>
              <w:t xml:space="preserve">  </w:t>
            </w:r>
          </w:p>
        </w:tc>
      </w:tr>
      <w:tr>
        <w:trPr/>
        <w:tc>
          <w:tcPr>
            <w:tcW w:w="2799" w:type="dxa"/>
            <w:tcBorders/>
            <w:shd w:fill="CCEEFF" w:val="clear"/>
            <w:tcMar>
              <w:bottom w:w="0" w:type="dxa"/>
            </w:tcM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 xml:space="preserve">In the United States </w:t>
            </w:r>
          </w:p>
        </w:tc>
        <w:tc>
          <w:tcPr>
            <w:tcW w:w="226" w:type="dxa"/>
            <w:tcBorders/>
            <w:shd w:fill="CCEEFF" w:val="clear"/>
            <w:tcMar>
              <w:bottom w:w="0" w:type="dxa"/>
            </w:tcMar>
            <w:vAlign w:val="center"/>
          </w:tcPr>
          <w:p>
            <w:pPr>
              <w:pStyle w:val="TableContents"/>
              <w:spacing w:before="0" w:after="0"/>
              <w:ind w:left="0" w:right="0" w:hanging="0"/>
              <w:rPr/>
            </w:pPr>
            <w:r>
              <w:rPr/>
              <w:t xml:space="preserve">  </w:t>
            </w:r>
          </w:p>
        </w:tc>
        <w:tc>
          <w:tcPr>
            <w:tcW w:w="310"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754"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12.1</w:t>
            </w:r>
          </w:p>
        </w:tc>
        <w:tc>
          <w:tcPr>
            <w:tcW w:w="225"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225" w:type="dxa"/>
            <w:tcBorders/>
            <w:shd w:fill="CCEEFF" w:val="clear"/>
            <w:tcMar>
              <w:bottom w:w="0" w:type="dxa"/>
            </w:tcMar>
            <w:vAlign w:val="center"/>
          </w:tcPr>
          <w:p>
            <w:pPr>
              <w:pStyle w:val="TableContents"/>
              <w:spacing w:before="0" w:after="0"/>
              <w:ind w:left="0" w:right="0" w:hanging="0"/>
              <w:rPr/>
            </w:pPr>
            <w:r>
              <w:rPr/>
              <w:t xml:space="preserve">  </w:t>
            </w:r>
          </w:p>
        </w:tc>
        <w:tc>
          <w:tcPr>
            <w:tcW w:w="226" w:type="dxa"/>
            <w:tcBorders/>
            <w:shd w:fill="CCEEFF" w:val="clear"/>
            <w:tcMar>
              <w:bottom w:w="0" w:type="dxa"/>
            </w:tcMar>
            <w:vAlign w:val="center"/>
          </w:tcPr>
          <w:p>
            <w:pPr>
              <w:pStyle w:val="TableContents"/>
              <w:spacing w:before="0" w:after="0"/>
              <w:ind w:left="0" w:right="0" w:hanging="0"/>
              <w:rPr/>
            </w:pPr>
            <w:r>
              <w:rPr/>
              <w:t xml:space="preserve">  </w:t>
            </w:r>
          </w:p>
        </w:tc>
        <w:tc>
          <w:tcPr>
            <w:tcW w:w="547"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48</w:t>
            </w:r>
          </w:p>
        </w:tc>
        <w:tc>
          <w:tcPr>
            <w:tcW w:w="391"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225" w:type="dxa"/>
            <w:tcBorders/>
            <w:shd w:fill="CCEEFF" w:val="clear"/>
            <w:tcMar>
              <w:bottom w:w="0" w:type="dxa"/>
            </w:tcMar>
            <w:vAlign w:val="center"/>
          </w:tcPr>
          <w:p>
            <w:pPr>
              <w:pStyle w:val="TableContents"/>
              <w:spacing w:before="0" w:after="0"/>
              <w:ind w:left="0" w:right="0" w:hanging="0"/>
              <w:rPr/>
            </w:pPr>
            <w:r>
              <w:rPr/>
              <w:t xml:space="preserve">  </w:t>
            </w:r>
          </w:p>
        </w:tc>
        <w:tc>
          <w:tcPr>
            <w:tcW w:w="311"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753"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14.2</w:t>
            </w:r>
          </w:p>
        </w:tc>
        <w:tc>
          <w:tcPr>
            <w:tcW w:w="225" w:type="dxa"/>
            <w:tcBorders/>
            <w:shd w:fill="CCEEFF" w:val="clear"/>
            <w:tcMar>
              <w:bottom w:w="0" w:type="dxa"/>
            </w:tcMar>
            <w:vAlign w:val="center"/>
          </w:tcPr>
          <w:p>
            <w:pPr>
              <w:pStyle w:val="TableContents"/>
              <w:spacing w:before="0" w:after="0"/>
              <w:ind w:left="0" w:right="0" w:hanging="0"/>
              <w:rPr/>
            </w:pPr>
            <w:r>
              <w:rPr/>
              <w:t xml:space="preserve">  </w:t>
            </w:r>
          </w:p>
        </w:tc>
        <w:tc>
          <w:tcPr>
            <w:tcW w:w="226" w:type="dxa"/>
            <w:tcBorders/>
            <w:shd w:fill="CCEEFF" w:val="clear"/>
            <w:tcMar>
              <w:bottom w:w="0" w:type="dxa"/>
            </w:tcMar>
            <w:vAlign w:val="center"/>
          </w:tcPr>
          <w:p>
            <w:pPr>
              <w:pStyle w:val="TableContents"/>
              <w:spacing w:before="0" w:after="0"/>
              <w:ind w:left="0" w:right="0" w:hanging="0"/>
              <w:rPr/>
            </w:pPr>
            <w:r>
              <w:rPr/>
              <w:t xml:space="preserve">  </w:t>
            </w:r>
          </w:p>
        </w:tc>
        <w:tc>
          <w:tcPr>
            <w:tcW w:w="225" w:type="dxa"/>
            <w:tcBorders/>
            <w:shd w:fill="CCEEFF" w:val="clear"/>
            <w:tcMar>
              <w:bottom w:w="0" w:type="dxa"/>
            </w:tcMar>
            <w:vAlign w:val="center"/>
          </w:tcPr>
          <w:p>
            <w:pPr>
              <w:pStyle w:val="TableContents"/>
              <w:spacing w:before="0" w:after="0"/>
              <w:ind w:left="0" w:right="0" w:hanging="0"/>
              <w:rPr/>
            </w:pPr>
            <w:r>
              <w:rPr/>
              <w:t xml:space="preserve">  </w:t>
            </w:r>
          </w:p>
        </w:tc>
        <w:tc>
          <w:tcPr>
            <w:tcW w:w="548"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49</w:t>
            </w:r>
          </w:p>
        </w:tc>
        <w:tc>
          <w:tcPr>
            <w:tcW w:w="458"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2799" w:type="dxa"/>
            <w:tcBorders/>
            <w:shd w:fill="auto" w:val="clear"/>
            <w:tcMar>
              <w:bottom w:w="0" w:type="dxa"/>
            </w:tcMar>
            <w:vAlign w:val="center"/>
          </w:tcPr>
          <w:p>
            <w:pPr>
              <w:pStyle w:val="TableContents"/>
              <w:spacing w:before="0" w:after="0"/>
              <w:ind w:left="0" w:right="0" w:hanging="0"/>
              <w:jc w:val="left"/>
              <w:rPr>
                <w:rFonts w:ascii="times new roman;times" w:hAnsi="times new roman;times"/>
                <w:sz w:val="20"/>
              </w:rPr>
            </w:pPr>
            <w:r>
              <w:rPr>
                <w:rFonts w:ascii="times new roman;times" w:hAnsi="times new roman;times"/>
                <w:sz w:val="20"/>
              </w:rPr>
              <w:t xml:space="preserve">Outside United States </w:t>
            </w:r>
          </w:p>
        </w:tc>
        <w:tc>
          <w:tcPr>
            <w:tcW w:w="226" w:type="dxa"/>
            <w:tcBorders/>
            <w:shd w:fill="auto" w:val="clear"/>
            <w:tcMar>
              <w:bottom w:w="0" w:type="dxa"/>
            </w:tcMar>
            <w:vAlign w:val="center"/>
          </w:tcPr>
          <w:p>
            <w:pPr>
              <w:pStyle w:val="TableContents"/>
              <w:spacing w:before="0" w:after="0"/>
              <w:ind w:left="0" w:right="0" w:hanging="0"/>
              <w:rPr/>
            </w:pPr>
            <w:r>
              <w:rPr/>
              <w:t xml:space="preserve">  </w:t>
            </w:r>
          </w:p>
        </w:tc>
        <w:tc>
          <w:tcPr>
            <w:tcW w:w="310" w:type="dxa"/>
            <w:tcBorders>
              <w:bottom w:val="single" w:sz="6" w:space="0" w:color="000000"/>
            </w:tcBorders>
            <w:shd w:fill="auto" w:val="clear"/>
            <w:vAlign w:val="center"/>
          </w:tcPr>
          <w:p>
            <w:pPr>
              <w:pStyle w:val="TableContents"/>
              <w:spacing w:before="0" w:after="0"/>
              <w:ind w:left="0" w:right="0" w:hanging="0"/>
              <w:rPr/>
            </w:pPr>
            <w:r>
              <w:rPr/>
              <w:t xml:space="preserve">  </w:t>
            </w:r>
          </w:p>
        </w:tc>
        <w:tc>
          <w:tcPr>
            <w:tcW w:w="754" w:type="dxa"/>
            <w:tcBorders>
              <w:bottom w:val="single" w:sz="6" w:space="0" w:color="000000"/>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13.1</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226" w:type="dxa"/>
            <w:tcBorders>
              <w:bottom w:val="single" w:sz="6" w:space="0" w:color="000000"/>
            </w:tcBorders>
            <w:shd w:fill="auto" w:val="clear"/>
            <w:vAlign w:val="center"/>
          </w:tcPr>
          <w:p>
            <w:pPr>
              <w:pStyle w:val="TableContents"/>
              <w:spacing w:before="0" w:after="0"/>
              <w:ind w:left="0" w:right="0" w:hanging="0"/>
              <w:rPr/>
            </w:pPr>
            <w:r>
              <w:rPr/>
              <w:t xml:space="preserve">  </w:t>
            </w:r>
          </w:p>
        </w:tc>
        <w:tc>
          <w:tcPr>
            <w:tcW w:w="547" w:type="dxa"/>
            <w:tcBorders>
              <w:bottom w:val="single" w:sz="6" w:space="0" w:color="000000"/>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52</w:t>
            </w:r>
          </w:p>
        </w:tc>
        <w:tc>
          <w:tcPr>
            <w:tcW w:w="391"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311" w:type="dxa"/>
            <w:tcBorders>
              <w:bottom w:val="single" w:sz="6" w:space="0" w:color="000000"/>
            </w:tcBorders>
            <w:shd w:fill="auto" w:val="clear"/>
            <w:vAlign w:val="center"/>
          </w:tcPr>
          <w:p>
            <w:pPr>
              <w:pStyle w:val="TableContents"/>
              <w:spacing w:before="0" w:after="0"/>
              <w:ind w:left="0" w:right="0" w:hanging="0"/>
              <w:rPr/>
            </w:pPr>
            <w:r>
              <w:rPr/>
              <w:t xml:space="preserve">  </w:t>
            </w:r>
          </w:p>
        </w:tc>
        <w:tc>
          <w:tcPr>
            <w:tcW w:w="753" w:type="dxa"/>
            <w:tcBorders>
              <w:bottom w:val="single" w:sz="6" w:space="0" w:color="000000"/>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14.8</w:t>
            </w:r>
          </w:p>
        </w:tc>
        <w:tc>
          <w:tcPr>
            <w:tcW w:w="225" w:type="dxa"/>
            <w:tcBorders/>
            <w:shd w:fill="auto" w:val="clear"/>
            <w:tcMar>
              <w:bottom w:w="0" w:type="dxa"/>
            </w:tcMar>
            <w:vAlign w:val="center"/>
          </w:tcPr>
          <w:p>
            <w:pPr>
              <w:pStyle w:val="TableContents"/>
              <w:spacing w:before="0" w:after="0"/>
              <w:ind w:left="0" w:right="0" w:hanging="0"/>
              <w:rPr/>
            </w:pPr>
            <w:r>
              <w:rPr/>
              <w:t xml:space="preserve">  </w:t>
            </w:r>
          </w:p>
        </w:tc>
        <w:tc>
          <w:tcPr>
            <w:tcW w:w="226" w:type="dxa"/>
            <w:tcBorders/>
            <w:shd w:fill="auto" w:val="clear"/>
            <w:tcMar>
              <w:bottom w:w="0" w:type="dxa"/>
            </w:tcMar>
            <w:vAlign w:val="center"/>
          </w:tcPr>
          <w:p>
            <w:pPr>
              <w:pStyle w:val="TableContents"/>
              <w:spacing w:before="0" w:after="0"/>
              <w:ind w:left="0" w:right="0" w:hanging="0"/>
              <w:rPr/>
            </w:pPr>
            <w:r>
              <w:rPr/>
              <w:t xml:space="preserve">  </w:t>
            </w:r>
          </w:p>
        </w:tc>
        <w:tc>
          <w:tcPr>
            <w:tcW w:w="225" w:type="dxa"/>
            <w:tcBorders>
              <w:bottom w:val="single" w:sz="6" w:space="0" w:color="000000"/>
            </w:tcBorders>
            <w:shd w:fill="auto" w:val="clear"/>
            <w:vAlign w:val="center"/>
          </w:tcPr>
          <w:p>
            <w:pPr>
              <w:pStyle w:val="TableContents"/>
              <w:spacing w:before="0" w:after="0"/>
              <w:ind w:left="0" w:right="0" w:hanging="0"/>
              <w:rPr/>
            </w:pPr>
            <w:r>
              <w:rPr/>
              <w:t xml:space="preserve">  </w:t>
            </w:r>
          </w:p>
        </w:tc>
        <w:tc>
          <w:tcPr>
            <w:tcW w:w="548" w:type="dxa"/>
            <w:tcBorders>
              <w:bottom w:val="single" w:sz="6" w:space="0" w:color="000000"/>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51</w:t>
            </w:r>
          </w:p>
        </w:tc>
        <w:tc>
          <w:tcPr>
            <w:tcW w:w="458"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2799" w:type="dxa"/>
            <w:tcBorders/>
            <w:shd w:fill="CCEEFF" w:val="clear"/>
            <w:tcMar>
              <w:bottom w:w="0" w:type="dxa"/>
            </w:tcMar>
            <w:vAlign w:val="center"/>
          </w:tcPr>
          <w:p>
            <w:pPr>
              <w:pStyle w:val="TableContents"/>
              <w:spacing w:before="0" w:after="0"/>
              <w:ind w:left="0" w:right="0" w:hanging="0"/>
              <w:rPr/>
            </w:pPr>
            <w:r>
              <w:rPr/>
              <w:t xml:space="preserve">  </w:t>
            </w:r>
          </w:p>
        </w:tc>
        <w:tc>
          <w:tcPr>
            <w:tcW w:w="226" w:type="dxa"/>
            <w:tcBorders/>
            <w:shd w:fill="CCEEFF" w:val="clear"/>
            <w:tcMar>
              <w:bottom w:w="0" w:type="dxa"/>
            </w:tcMar>
            <w:vAlign w:val="center"/>
          </w:tcPr>
          <w:p>
            <w:pPr>
              <w:pStyle w:val="TableContents"/>
              <w:spacing w:before="0" w:after="0"/>
              <w:ind w:left="0" w:right="0" w:hanging="0"/>
              <w:rPr/>
            </w:pPr>
            <w:r>
              <w:rPr/>
              <w:t xml:space="preserve">  </w:t>
            </w:r>
          </w:p>
        </w:tc>
        <w:tc>
          <w:tcPr>
            <w:tcW w:w="310" w:type="dxa"/>
            <w:tcBorders>
              <w:bottom w:val="single" w:sz="6" w:space="0" w:color="000000"/>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754" w:type="dxa"/>
            <w:tcBorders>
              <w:bottom w:val="single" w:sz="6" w:space="0" w:color="000000"/>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25.2</w:t>
            </w:r>
          </w:p>
        </w:tc>
        <w:tc>
          <w:tcPr>
            <w:tcW w:w="225"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225" w:type="dxa"/>
            <w:tcBorders/>
            <w:shd w:fill="CCEEFF" w:val="clear"/>
            <w:tcMar>
              <w:bottom w:w="0" w:type="dxa"/>
            </w:tcMar>
            <w:vAlign w:val="center"/>
          </w:tcPr>
          <w:p>
            <w:pPr>
              <w:pStyle w:val="TableContents"/>
              <w:spacing w:before="0" w:after="0"/>
              <w:ind w:left="0" w:right="0" w:hanging="0"/>
              <w:rPr/>
            </w:pPr>
            <w:r>
              <w:rPr/>
              <w:t xml:space="preserve">  </w:t>
            </w:r>
          </w:p>
        </w:tc>
        <w:tc>
          <w:tcPr>
            <w:tcW w:w="226" w:type="dxa"/>
            <w:tcBorders>
              <w:bottom w:val="single" w:sz="6" w:space="0" w:color="000000"/>
            </w:tcBorders>
            <w:shd w:fill="CCEEFF" w:val="clear"/>
            <w:vAlign w:val="center"/>
          </w:tcPr>
          <w:p>
            <w:pPr>
              <w:pStyle w:val="TableContents"/>
              <w:spacing w:before="0" w:after="0"/>
              <w:ind w:left="0" w:right="0" w:hanging="0"/>
              <w:rPr/>
            </w:pPr>
            <w:r>
              <w:rPr/>
              <w:t xml:space="preserve">  </w:t>
            </w:r>
          </w:p>
        </w:tc>
        <w:tc>
          <w:tcPr>
            <w:tcW w:w="547" w:type="dxa"/>
            <w:tcBorders>
              <w:bottom w:val="single" w:sz="6" w:space="0" w:color="000000"/>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100</w:t>
            </w:r>
          </w:p>
        </w:tc>
        <w:tc>
          <w:tcPr>
            <w:tcW w:w="391"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225" w:type="dxa"/>
            <w:tcBorders/>
            <w:shd w:fill="CCEEFF" w:val="clear"/>
            <w:tcMar>
              <w:bottom w:w="0" w:type="dxa"/>
            </w:tcMar>
            <w:vAlign w:val="center"/>
          </w:tcPr>
          <w:p>
            <w:pPr>
              <w:pStyle w:val="TableContents"/>
              <w:spacing w:before="0" w:after="0"/>
              <w:ind w:left="0" w:right="0" w:hanging="0"/>
              <w:rPr/>
            </w:pPr>
            <w:r>
              <w:rPr/>
              <w:t xml:space="preserve">  </w:t>
            </w:r>
          </w:p>
        </w:tc>
        <w:tc>
          <w:tcPr>
            <w:tcW w:w="311" w:type="dxa"/>
            <w:tcBorders>
              <w:bottom w:val="single" w:sz="6" w:space="0" w:color="000000"/>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753" w:type="dxa"/>
            <w:tcBorders>
              <w:bottom w:val="single" w:sz="6" w:space="0" w:color="000000"/>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29.0</w:t>
            </w:r>
          </w:p>
        </w:tc>
        <w:tc>
          <w:tcPr>
            <w:tcW w:w="225" w:type="dxa"/>
            <w:tcBorders/>
            <w:shd w:fill="CCEEFF" w:val="clear"/>
            <w:tcMar>
              <w:bottom w:w="0" w:type="dxa"/>
            </w:tcMar>
            <w:vAlign w:val="center"/>
          </w:tcPr>
          <w:p>
            <w:pPr>
              <w:pStyle w:val="TableContents"/>
              <w:spacing w:before="0" w:after="0"/>
              <w:ind w:left="0" w:right="0" w:hanging="0"/>
              <w:rPr/>
            </w:pPr>
            <w:r>
              <w:rPr/>
              <w:t xml:space="preserve">  </w:t>
            </w:r>
          </w:p>
        </w:tc>
        <w:tc>
          <w:tcPr>
            <w:tcW w:w="226" w:type="dxa"/>
            <w:tcBorders/>
            <w:shd w:fill="CCEEFF" w:val="clear"/>
            <w:tcMar>
              <w:bottom w:w="0" w:type="dxa"/>
            </w:tcMar>
            <w:vAlign w:val="center"/>
          </w:tcPr>
          <w:p>
            <w:pPr>
              <w:pStyle w:val="TableContents"/>
              <w:spacing w:before="0" w:after="0"/>
              <w:ind w:left="0" w:right="0" w:hanging="0"/>
              <w:rPr/>
            </w:pPr>
            <w:r>
              <w:rPr/>
              <w:t xml:space="preserve">  </w:t>
            </w:r>
          </w:p>
        </w:tc>
        <w:tc>
          <w:tcPr>
            <w:tcW w:w="225" w:type="dxa"/>
            <w:tcBorders>
              <w:bottom w:val="single" w:sz="6" w:space="0" w:color="000000"/>
            </w:tcBorders>
            <w:shd w:fill="CCEEFF" w:val="clear"/>
            <w:vAlign w:val="center"/>
          </w:tcPr>
          <w:p>
            <w:pPr>
              <w:pStyle w:val="TableContents"/>
              <w:spacing w:before="0" w:after="0"/>
              <w:ind w:left="0" w:right="0" w:hanging="0"/>
              <w:rPr/>
            </w:pPr>
            <w:r>
              <w:rPr/>
              <w:t xml:space="preserve">  </w:t>
            </w:r>
          </w:p>
        </w:tc>
        <w:tc>
          <w:tcPr>
            <w:tcW w:w="548" w:type="dxa"/>
            <w:tcBorders>
              <w:bottom w:val="single" w:sz="6" w:space="0" w:color="000000"/>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100</w:t>
            </w:r>
          </w:p>
        </w:tc>
        <w:tc>
          <w:tcPr>
            <w:tcW w:w="458"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sell directly to our distributors and resellers in approximately </w:t>
      </w:r>
      <w:r>
        <w:rPr>
          <w:rFonts w:ascii="times new roman;times" w:hAnsi="times new roman;times"/>
          <w:b w:val="false"/>
          <w:i w:val="false"/>
          <w:caps w:val="false"/>
          <w:smallCaps w:val="false"/>
          <w:color w:val="000000"/>
          <w:spacing w:val="0"/>
          <w:sz w:val="20"/>
        </w:rPr>
        <w:t>55</w:t>
      </w:r>
      <w:r>
        <w:rPr>
          <w:rFonts w:ascii="times new roman;times" w:hAnsi="times new roman;times"/>
          <w:b w:val="false"/>
          <w:i w:val="false"/>
          <w:caps w:val="false"/>
          <w:smallCaps w:val="false"/>
          <w:color w:val="000000"/>
          <w:spacing w:val="0"/>
          <w:sz w:val="20"/>
        </w:rPr>
        <w:t> countries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Distributors, Resellers and Independent Integrators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sold our products directly to approximately 300</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distributors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and direct resellers throughout the world during 2022.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While dealers, resellers, and system integrators all sell our products directly to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our products.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Marketing</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We also conduct public relations initiatives to get press coverage and product reviews in industry and non-industry publications alike.</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Customers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Since we sell through distributors and value-added resellers, we do not have comprehensive information on end-users who ultimately use our products. As a result, we do not know whether any end-user accounted for more than 10% of our total revenue during any of the periods reported in this Annual Report. Our customers are distributors and value-added resellers. During the years ended </w:t>
      </w:r>
      <w:r>
        <w:rPr>
          <w:rFonts w:ascii="times new roman;times" w:hAnsi="times new roman;times"/>
          <w:b w:val="false"/>
          <w:i w:val="false"/>
          <w:caps w:val="false"/>
          <w:smallCaps w:val="false"/>
          <w:color w:val="000000"/>
          <w:spacing w:val="0"/>
          <w:sz w:val="20"/>
        </w:rPr>
        <w:t>December 31, 2022</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and 2021 no distributor</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accounted for more than 10% of our total consolidated revenue.</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13</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orders fulfilled on which we had not recognized revenue were $63 thousand and $</w:t>
      </w:r>
      <w:r>
        <w:rPr>
          <w:rFonts w:ascii="times new roman;times" w:hAnsi="times new roman;times"/>
          <w:sz w:val="20"/>
        </w:rPr>
        <w:t>54</w:t>
      </w:r>
      <w:r>
        <w:rPr>
          <w:rFonts w:ascii="times new roman;times" w:hAnsi="times new roman;times"/>
          <w:sz w:val="20"/>
        </w:rPr>
        <w:t> thousand as of December 31, 2022 and 2021, respectively. We had a backlog of unfulfilled orders of approximately $2.9 million and $</w:t>
      </w:r>
      <w:r>
        <w:rPr>
          <w:rFonts w:ascii="times new roman;times" w:hAnsi="times new roman;times"/>
          <w:sz w:val="20"/>
        </w:rPr>
        <w:t>1.4</w:t>
      </w:r>
      <w:r>
        <w:rPr>
          <w:rFonts w:ascii="times new roman;times" w:hAnsi="times new roman;times"/>
          <w:sz w:val="20"/>
        </w:rPr>
        <w:t> million as of December 31, 2022 and 2021, respectively.</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Competition</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 It is critical for our success to be able to defend our intellectual property including trademarks, trade secrets and patents from our competitors who have far more resources.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believe the following principal factors drive our sales: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35"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Quality, features and functionality, and ease of use of the products.</w:t>
            </w:r>
          </w:p>
        </w:tc>
      </w:tr>
      <w:tr>
        <w:trPr/>
        <w:tc>
          <w:tcPr>
            <w:tcW w:w="270"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35"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Broad and deep global channel partnerships.</w:t>
            </w:r>
          </w:p>
        </w:tc>
      </w:tr>
      <w:tr>
        <w:trPr/>
        <w:tc>
          <w:tcPr>
            <w:tcW w:w="270"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35"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Brand name recognition and acceptance.</w:t>
            </w:r>
          </w:p>
        </w:tc>
      </w:tr>
      <w:tr>
        <w:trPr/>
        <w:tc>
          <w:tcPr>
            <w:tcW w:w="270"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35"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Effective sales and marketing.</w:t>
            </w:r>
          </w:p>
        </w:tc>
      </w:tr>
      <w:tr>
        <w:trPr/>
        <w:tc>
          <w:tcPr>
            <w:tcW w:w="270"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35"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Quality of sales and technical support services.</w:t>
            </w:r>
          </w:p>
        </w:tc>
      </w:tr>
      <w:tr>
        <w:trPr/>
        <w:tc>
          <w:tcPr>
            <w:tcW w:w="270"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35"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Significant established history of successful worldwide installations for diverse vertical markets.</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professional audio conferencing system and sound reinforcement markets our main competitors include AcousticMagic, Biamp, BOSE, Crestron, Extron, Harman (Samsung), Peavey, Poly, QSC, Shure, Symetrix, Vaddio, Xilica, and Yamaha and any original equipment manufacturing (OEM) partners, along with several other companies potentially poised to enter the market.</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primary competitors in the USB-based speakerphones market are Jabra, Logitech, Poly, Sennheiser, Yamaha and Yealink and any OEM partners.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tabletop conference phones, we face significant competition from Avaya/Konftel, Poly, Yamaha and Yealink, and from any OEM partnerships. A significant portion of the tabletop market is covered by sales through OEM partnerships. </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microphones market, our primary competitors include AKG, Audio Technica, Audix, Avlex/Mipro, Beyerdynamic, Biamp, Clock Audio, Lectrosonics, Nureva, Mediavision/Taiden, Poly, Phoenix Audio, Sennheiser, Shure, TeachLogic, TOA, Yamaha and Vaddio and any OEM partners.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video conferencing products face tremendous competition from well established players as well as emerging players, including Acano/CISCO, Adobe Connect, Amazon Chime, Avaya (Radvision), Aver, Barco, Blackboard Collaborate, Blue Jeans, Cisco, Citrix, Fuze, Huawei, InFocus, Kramer, LifeSize, Magor, Pexip, Poly, Microsoft, Starleaf, UNIFY, Videxio, Vidyo, Yealink, Zoom and ZTE.</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AV networking products face intense competition from a few well-established corporations of diversified capabilities and strengths, including Atlona, Aurora Multimedia, Barco, Biamp, Crestron, Extron, Gefen, Haivision, Hall Research, Harman, Infocus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(Jupiter), Key Digital, Kramer, Liberty AV, Magenta Research, Matrox, Mediasite, Ncast, RGB Spectrum, voLANte, Teracue, tvONE, VBrick, Visionary Solutions, WyreStorm</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and ZeeVee. We believe that our software based patented technology delivers superior audio and video streaming performance and flexibility and provides us with a competitive edge over other industry players.</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14</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spacing w:lineRule="auto" w:line="240" w:before="0" w:after="0"/>
        <w:ind w:left="0" w:right="0" w:hanging="0"/>
        <w:jc w:val="center"/>
        <w:rPr/>
      </w:pPr>
      <w:r>
        <w:rPr/>
      </w:r>
    </w:p>
    <w:p>
      <w:pPr>
        <w:pStyle w:val="TextBody"/>
        <w:spacing w:lineRule="auto" w:line="240" w:before="0" w:after="0"/>
        <w:ind w:left="0" w:right="0" w:hanging="0"/>
        <w:jc w:val="both"/>
        <w:rPr>
          <w:rFonts w:ascii="times new roman;times" w:hAnsi="times new roman;times"/>
          <w:b/>
          <w:sz w:val="20"/>
        </w:rPr>
      </w:pPr>
      <w:r>
        <w:rPr>
          <w:rFonts w:ascii="times new roman;times" w:hAnsi="times new roman;times"/>
          <w:b/>
          <w:sz w:val="20"/>
        </w:rPr>
        <w:t>Sources and Availability of Raw Materials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 During 2020 and after, we witnessed a significant tightening of the electronics market with demand for electronic products especially for semiconductors which include memories and processors, far exceeding the supply along with surging inflation that caused price increases and longer fulfillment cycles. COVID-19 completely disrupted the entire supply chain and extended the already lengthy fulfillment cycles. Continued tariff wars between USA and China created more uncertainty with respect to pricing and consequently affected the supply chain.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Extended lead times for component purchases and component cost increases persisted throughout 2021. Lead times shortened for many components in 2022, and although component costs moderated somewhat in 2022 compared to 2021, several component suppliers have made cost increases permanent.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b/>
          <w:sz w:val="20"/>
        </w:rPr>
      </w:pPr>
      <w:r>
        <w:rPr>
          <w:rFonts w:ascii="times new roman;times" w:hAnsi="times new roman;times"/>
          <w:b/>
          <w:sz w:val="20"/>
        </w:rPr>
        <w:t>Manufacturing</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Currently, all of our products are manufactured by EMS providers. Our primary EMS provider is Flextronics.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b/>
          <w:sz w:val="20"/>
        </w:rPr>
      </w:pPr>
      <w:r>
        <w:rPr>
          <w:rFonts w:ascii="times new roman;times" w:hAnsi="times new roman;times"/>
          <w:b/>
          <w:sz w:val="20"/>
        </w:rPr>
        <w:t>Seasonality</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do not recognize a consistent pattern between the quarters to identify seasonality.</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Research and Product Development</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are committed to research and product development and view our continued investment in research and product development as a key ingredient to our long-term business success. Our research and product development expenditures were approximately $4.4 million and $5.8 million during the years ended December 31, 2022 and 2021, respectively.</w:t>
      </w: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core competencies in research and product development include (a) many audio technologies, including acoustic echo cancellation, noise cancellation and other advanced adaptive digital signal processing technologies, (b) networking and multimedia streaming technologies, (c) video technologies, and (d) cloud technologies. We also have expertise in wireless technologies, VoIP, software and network system development. We believe that continued investment in our core technological competencies is vital to developing new products and to enhancing existing products.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Intellectual Property and Other Proprietary Rights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believe that our success depends in part on our ability to protect our proprietary rights. We rely on a combination of patent, copyright, trademark, and trade secret laws and confidentiality agreements and processes to protect our proprietary rights. </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w:t>
      </w:r>
      <w:r>
        <w:rPr>
          <w:rFonts w:ascii="times new roman;times" w:hAnsi="times new roman;times"/>
          <w:b w:val="false"/>
          <w:i w:val="false"/>
          <w:caps w:val="false"/>
          <w:smallCaps w:val="false"/>
          <w:color w:val="000000"/>
          <w:spacing w:val="0"/>
          <w:sz w:val="20"/>
        </w:rPr>
        <w:t>December 31, 2022</w:t>
      </w:r>
      <w:r>
        <w:rPr>
          <w:rFonts w:ascii="times new roman;times" w:hAnsi="times new roman;times"/>
          <w:b w:val="false"/>
          <w:i w:val="false"/>
          <w:caps w:val="false"/>
          <w:smallCaps w:val="false"/>
          <w:color w:val="000000"/>
          <w:spacing w:val="0"/>
          <w:sz w:val="20"/>
        </w:rPr>
        <w:t>, we had approximately 79</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patents and</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4</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pending patent applications, including foreign counterpart patents and foreign applications.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Our patents and pending patent applications cover a wide range of our products and services including, but not limited to</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acoustic echo cancellation, beamforming microphone arrays, systems that enable streaming media over IP networks, algorithms for video processing, wireless conferencing systems, spatial audio, and technologies for the Internet of Things. The durations of our patents are determined by the laws of the country of issuance. For the U.S., patents may be 17 years from the date of issuance of the patent or 20 years from the date of its filing, depending upon when the patent application was filed. In addition, we hold numerous U.S. trademarks. The laws of foreign countries may not protect our intellectual property to the same degree as the laws of the United States.</w:t>
      </w:r>
    </w:p>
    <w:p>
      <w:pPr>
        <w:pStyle w:val="TextBody"/>
        <w:spacing w:lineRule="auto" w:line="240" w:before="0" w:after="0"/>
        <w:ind w:left="0" w:right="0" w:hanging="0"/>
        <w:jc w:val="both"/>
        <w:rPr/>
      </w:pPr>
      <w:r>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15</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w:t>
      </w:r>
      <w:r>
        <w:rPr>
          <w:rFonts w:ascii="times new roman;times" w:hAnsi="times new roman;times"/>
          <w:b/>
          <w:sz w:val="20"/>
        </w:rPr>
        <w:t>1</w:t>
      </w:r>
      <w:r>
        <w:rPr>
          <w:rFonts w:ascii="times new roman;times" w:hAnsi="times new roman;times"/>
          <w:b/>
          <w:sz w:val="20"/>
        </w:rPr>
        <w:t> - BUSINESS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spacing w:lineRule="auto" w:line="240" w:before="0" w:after="0"/>
        <w:ind w:left="0" w:right="0" w:hanging="0"/>
        <w:jc w:val="left"/>
        <w:rPr/>
      </w:pPr>
      <w:r>
        <w:rPr>
          <w:rFonts w:ascii="times new roman;times" w:hAnsi="times new roman;times"/>
          <w:sz w:val="20"/>
        </w:rPr>
        <w:t>We will obtain patents and other intellectual property rights used in connection with our business when practicable and appropriate. Our intellectual property policy is to protect our products, technology and processes by asserting our intellectual property rights where appropriate and prudent. From time to time, assertions of infringement of certain patents or other intellectual property rights of others have been made against us. In addition, the Company was involved in patent infringement lawsuits against Shure Inc. ("Shure"). See </w:t>
      </w:r>
      <w:hyperlink w:anchor="Note - 8 Contingencies">
        <w:r>
          <w:rPr>
            <w:rStyle w:val="InternetLink"/>
            <w:rFonts w:ascii="times new roman;times" w:hAnsi="times new roman;times"/>
            <w:sz w:val="20"/>
          </w:rPr>
          <w:t>Note 8 – Commitments and Contingencies – Legal Proceedings – Intellectual Property Litigation</w:t>
        </w:r>
      </w:hyperlink>
      <w:r>
        <w:rPr>
          <w:rFonts w:ascii="times new roman;times" w:hAnsi="times new roman;times"/>
          <w:sz w:val="20"/>
        </w:rPr>
        <w:t> for a discussion of these legal proceedings.</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are dependent on our intellectual property. If we are not able to protect our proprietary rights or if those rights are invalidated or circumvented, our business may be adversely affected. We may be subject to litigation and infringement claims, which could cause us to incur significant expenses or prevent us from selling our products or services. For more information concerning the risks related to patents, trademarks, and other intellectual property, please see “Risk Factors-Risks Related to our Business.”</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pStyle w:val="TextBody"/>
        <w:spacing w:lineRule="auto" w:line="240" w:before="0" w:after="0"/>
        <w:ind w:left="0" w:right="0" w:hanging="0"/>
        <w:jc w:val="both"/>
        <w:rPr/>
      </w:pPr>
      <w:r>
        <w:rPr/>
        <w:t> </w:t>
      </w:r>
    </w:p>
    <w:p>
      <w:pPr>
        <w:pStyle w:val="TextBody"/>
        <w:spacing w:lineRule="auto" w:line="240" w:before="0" w:after="0"/>
        <w:ind w:left="0" w:right="0" w:hanging="0"/>
        <w:jc w:val="left"/>
        <w:rPr>
          <w:rFonts w:ascii="times new roman;times" w:hAnsi="times new roman;times"/>
          <w:b/>
          <w:sz w:val="20"/>
        </w:rPr>
      </w:pPr>
      <w:r>
        <w:rPr>
          <w:rFonts w:ascii="times new roman;times" w:hAnsi="times new roman;times"/>
          <w:b/>
          <w:sz w:val="20"/>
        </w:rPr>
        <w:t>Employees</w:t>
      </w:r>
    </w:p>
    <w:p>
      <w:pPr>
        <w:pStyle w:val="TextBody"/>
        <w:spacing w:lineRule="auto" w:line="240" w:before="0" w:after="0"/>
        <w:ind w:left="0" w:right="0" w:hanging="0"/>
        <w:jc w:val="left"/>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As of December 31, 2022, we had 82 full-time employees. Of these employees, 44 were located in the U.S. and 38 in locations outside the U.S. None of our employees are subject to a collective bargaining agreement and we believe our relationship with our employees is good. We also hire contractors with specific skill sets to meet our operational needs.</w:t>
      </w:r>
    </w:p>
    <w:p>
      <w:pPr>
        <w:pStyle w:val="TextBody"/>
        <w:spacing w:lineRule="auto" w:line="240" w:before="0" w:after="0"/>
        <w:ind w:left="0" w:right="0" w:hanging="0"/>
        <w:jc w:val="center"/>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16</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pPr>
      <w:r>
        <w:rPr/>
      </w:r>
    </w:p>
    <w:p>
      <w:pPr>
        <w:pStyle w:val="TextBody"/>
        <w:spacing w:lineRule="auto" w:line="240" w:before="0" w:after="0"/>
        <w:ind w:left="0" w:right="0" w:hanging="0"/>
        <w:jc w:val="left"/>
        <w:rPr/>
      </w:pPr>
      <w:hyperlink r:id="rId4">
        <w:bookmarkStart w:id="61" w:name="BRF_KNJT6EYARK00000000000000000000"/>
        <w:bookmarkEnd w:id="61"/>
        <w:r>
          <w:rPr>
            <w:rStyle w:val="VisitedInternetLink"/>
            <w:rFonts w:ascii="times new roman;times" w:hAnsi="times new roman;times"/>
            <w:b/>
            <w:strike w:val="false"/>
            <w:dstrike w:val="false"/>
            <w:color w:val="000000"/>
            <w:sz w:val="20"/>
            <w:u w:val="none"/>
            <w:effect w:val="none"/>
          </w:rPr>
          <w:t>ITEM 1A. RISK FACTORS</w:t>
        </w:r>
      </w:hyperlink>
    </w:p>
    <w:p>
      <w:pPr>
        <w:pStyle w:val="TextBody"/>
        <w:spacing w:lineRule="auto" w:line="240" w:before="0" w:after="0"/>
        <w:ind w:left="0" w:right="0" w:hanging="0"/>
        <w:jc w:val="left"/>
        <w:rPr/>
      </w:pPr>
      <w:r>
        <w:rPr/>
        <w:t> </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b/>
          <w:sz w:val="20"/>
        </w:rPr>
      </w:pPr>
      <w:r>
        <w:rPr>
          <w:rFonts w:ascii="times new roman;times" w:hAnsi="times new roman;times"/>
          <w:b/>
          <w:sz w:val="20"/>
        </w:rPr>
        <w:t>Risks Relating to Our Business</w:t>
      </w:r>
    </w:p>
    <w:p>
      <w:pPr>
        <w:pStyle w:val="TextBody"/>
        <w:spacing w:lineRule="auto" w:line="240" w:before="0" w:after="0"/>
        <w:ind w:left="0" w:right="0" w:hanging="0"/>
        <w:jc w:val="left"/>
        <w:rPr/>
      </w:pPr>
      <w:r>
        <w:rPr/>
        <w:t> </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We face intense competition in all markets for our products and services and our operating results will be adversely affected if we cannot compete effectively against other companies.</w:t>
      </w:r>
    </w:p>
    <w:p>
      <w:pPr>
        <w:pStyle w:val="TextBody"/>
        <w:spacing w:lineRule="auto" w:line="240" w:before="0" w:after="0"/>
        <w:ind w:left="0" w:right="0" w:hanging="0"/>
        <w:jc w:val="left"/>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In addition, many of our current competitors, as well as many of our potential competitors, are private companies not subject to the costs and disclosure requirements applicable to us as a public company, have longer operating histories, significantly greater resources to invest in new technologies and more substantial experience in new product development, regulatory expertise, manufacturing capabilities and the distribution channels to deliver products to customers.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pStyle w:val="TextBody"/>
        <w:spacing w:lineRule="auto" w:line="240" w:before="0" w:after="0"/>
        <w:ind w:left="0" w:right="0" w:hanging="0"/>
        <w:jc w:val="left"/>
        <w:rPr/>
      </w:pPr>
      <w:r>
        <w:rPr/>
        <w:t> </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Difficulties in estimating customer demand in our products segment could harm our profit margins.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pStyle w:val="TextBody"/>
        <w:spacing w:lineRule="auto" w:line="240" w:before="0" w:after="0"/>
        <w:ind w:left="0" w:right="0" w:hanging="0"/>
        <w:jc w:val="both"/>
        <w:rPr/>
      </w:pPr>
      <w:r>
        <w:rPr/>
        <w:t> </w:t>
      </w:r>
    </w:p>
    <w:p>
      <w:pPr>
        <w:pStyle w:val="TextBody"/>
        <w:spacing w:lineRule="auto" w:line="240" w:before="0" w:after="0"/>
        <w:ind w:left="0" w:right="0" w:hanging="0"/>
        <w:jc w:val="left"/>
        <w:rPr>
          <w:rFonts w:ascii="times new roman;times" w:hAnsi="times new roman;times"/>
          <w:sz w:val="20"/>
        </w:rPr>
      </w:pPr>
      <w:r>
        <w:rPr>
          <w:rFonts w:ascii="times new roman;times" w:hAnsi="times new roman;times"/>
          <w:i/>
          <w:sz w:val="20"/>
        </w:rPr>
        <w:t>If</w:t>
      </w:r>
      <w:r>
        <w:rPr>
          <w:rFonts w:ascii="times new roman;times" w:hAnsi="times new roman;times"/>
          <w:sz w:val="20"/>
        </w:rPr>
        <w:t> </w:t>
      </w:r>
      <w:r>
        <w:rPr>
          <w:rFonts w:ascii="times new roman;times" w:hAnsi="times new roman;times"/>
          <w:i/>
          <w:sz w:val="20"/>
        </w:rPr>
        <w:t>we are unable to protect our intellectual property rights or have insufficient proprietary rights, our business would be materially impaired.</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17</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1A - RISK FACTORS </w:t>
      </w:r>
    </w:p>
    <w:p>
      <w:pPr>
        <w:pStyle w:val="TextBody"/>
        <w:spacing w:lineRule="auto" w:line="240" w:before="0" w:after="0"/>
        <w:ind w:left="0" w:right="0" w:hanging="0"/>
        <w:jc w:val="left"/>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We may be subject to patent litigation, including claims challenging the validity and enforceability of some of our patents, which could cause us to incur significant expenses or prevent us from protecting our products or services against competing products.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industry is characterized by vigorous protection of intellectual property rights. We previously were involved in litigation to enforce our intellectual property rights and we may be involved in litigation in the future, which has resulted and could result in our adversaries in such litigation challenging the validity, scope, and/or enforceability of our intellectual property. Irrespective of the merits of these claims, any resulting litigation could be costly and time consuming and could divert the attention of management and key personnel from other business issues. The complexity of the technology involved, and the uncertainty of intellectual property litigation increase these risks. See </w:t>
      </w:r>
      <w:r>
        <w:rPr>
          <w:rFonts w:ascii="times new roman;times" w:hAnsi="times new roman;times"/>
          <w:sz w:val="20"/>
          <w:u w:val="single"/>
        </w:rPr>
        <w:t>Part I, Item 3. Legal Proceedings</w:t>
      </w:r>
      <w:r>
        <w:rPr>
          <w:rFonts w:ascii="times new roman;times" w:hAnsi="times new roman;times"/>
          <w:sz w:val="20"/>
        </w:rPr>
        <w:t> and </w:t>
      </w:r>
      <w:r>
        <w:rPr>
          <w:rFonts w:ascii="times new roman;times" w:hAnsi="times new roman;times"/>
          <w:sz w:val="20"/>
          <w:u w:val="single"/>
        </w:rPr>
        <w:t>Note 8 – Commitments and Contingencies</w:t>
      </w:r>
      <w:r>
        <w:rPr>
          <w:rFonts w:ascii="times new roman;times" w:hAnsi="times new roman;times"/>
          <w:sz w:val="20"/>
        </w:rPr>
        <w:t> of the Notes to Consolidated Financial Statements (Part II, Item 8) for information regarding current legal proceedings involving our intellectual property rights.</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Our sales depend to a certain extent on government funding and regulation.</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pStyle w:val="TextBody"/>
        <w:spacing w:lineRule="auto" w:line="240" w:before="0" w:after="0"/>
        <w:ind w:left="0" w:right="0" w:hanging="0"/>
        <w:jc w:val="left"/>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left"/>
        <w:rPr>
          <w:rFonts w:ascii="times new roman;times" w:hAnsi="times new roman;times"/>
          <w:sz w:val="20"/>
        </w:rPr>
      </w:pPr>
      <w:r>
        <w:rPr>
          <w:rFonts w:ascii="times new roman;times" w:hAnsi="times new roman;times"/>
          <w:i/>
          <w:sz w:val="20"/>
        </w:rPr>
        <w:t>Environmental laws and regulations subject us to a number of</w:t>
      </w:r>
      <w:r>
        <w:rPr>
          <w:rFonts w:ascii="times new roman;times" w:hAnsi="times new roman;times"/>
          <w:sz w:val="20"/>
        </w:rPr>
        <w:t xml:space="preserve"> </w:t>
      </w:r>
      <w:r>
        <w:rPr>
          <w:rFonts w:ascii="times new roman;times" w:hAnsi="times new roman;times"/>
          <w:i/>
          <w:sz w:val="20"/>
        </w:rPr>
        <w:t>risks and could result in significant costs and impact on revenue.</w:t>
      </w:r>
      <w:r>
        <w:rPr>
          <w:rFonts w:ascii="times new roman;times" w:hAnsi="times new roman;times"/>
          <w:sz w:val="20"/>
        </w:rPr>
        <w:t> </w:t>
      </w:r>
    </w:p>
    <w:p>
      <w:pPr>
        <w:pStyle w:val="TextBody"/>
        <w:spacing w:lineRule="auto" w:line="240" w:before="0" w:after="0"/>
        <w:ind w:left="0" w:right="0" w:hanging="0"/>
        <w:jc w:val="left"/>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A material weakness was identified in our internal control over financial reporting. If we fail to maintain effective internal control over financial reporting in the future, we may be unable to report our financial results accurately on a timely basis, investors could lose confidence in our reported financial information, the trading price of our common shares could decline and our access to the capital markets or other financing sources could become limited.</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In connection with the audit of our consolidated financial statements as of December 31, 2017, our independent registered public accounting firm identified deficiencies in our system of internal control over financial reporting that it considered to be a material weakness related to the accurate and timely reporting of our financial results and disclosures for the fiscal year ended December 31, 2017 and our testing and assessment of the design and operating effectiveness of internal controls over financial reporting in a timely manner. The Public Company Accounting Oversight Board's Auditing Standard No. 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  See Part II, Item 9A, “Controls and Procedures.”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initiated remedial measures and conducted an evaluation of the effectiveness of our internal control over financial reporting for the years 2019, 2020, 2021 and 2022 based on the framework set forth in </w:t>
      </w:r>
      <w:r>
        <w:rPr>
          <w:rFonts w:ascii="times new roman;times" w:hAnsi="times new roman;times"/>
          <w:i/>
          <w:sz w:val="20"/>
        </w:rPr>
        <w:t>Internal Control - Integrated Framework</w:t>
      </w:r>
      <w:r>
        <w:rPr>
          <w:rFonts w:ascii="times new roman;times" w:hAnsi="times new roman;times"/>
          <w:sz w:val="20"/>
        </w:rPr>
        <w:t xml:space="preserve"> (2013 framework) issued by the Committee of Sponsoring Organizations of the Treadway Commission, and concluded that remediation of the material weakness identified during the 2017 audit has been completed.  </w:t>
      </w:r>
      <w:r>
        <w:rPr>
          <w:rFonts w:ascii="Times New Roman;serif" w:hAnsi="Times New Roman;serif"/>
          <w:sz w:val="20"/>
        </w:rPr>
        <w:t>We also concluded under this evaluation that our internal control over financial reporting was effective as of December 31, 2021 and December 31, 2022, respectively.</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However, there can be no assurance that these actions, as well as further actions we may take, will allow us to prevent any material weakness in the future and provide a solid foundation to meet our reporting obligations under the Exchange Act. If we fail to implement and maintain effective internal control over financial reporting, or if additional material weaknesses or any significant deficiencies in our internal control over financial reporting are discovered or occur in the future, our consolidated financial statements may contain material misstatements, and we could be required to restate our financial results. In addition, if we are unable to successfully remediate future material weakness and if we are unable to produce accurate and timely financial statements, our stock price may be materially adversely affected and we may be unable to maintain compliance with applicable stock exchange listing requirements.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18</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1A - RISK FACTORS</w:t>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We have identified two significant deficiencies in internal control over financial reporting, and if we fail to maintain effective internal controls over financial reporting, the price of our common stock may be adversely affected.</w:t>
      </w:r>
    </w:p>
    <w:p>
      <w:pPr>
        <w:pStyle w:val="TextBody"/>
        <w:spacing w:lineRule="auto" w:line="240" w:before="0" w:after="16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center"/>
        <w:rPr>
          <w:rFonts w:ascii="times new roman;times" w:hAnsi="times new roman;times"/>
          <w:sz w:val="20"/>
        </w:rPr>
      </w:pPr>
      <w:r>
        <w:rPr>
          <w:rFonts w:ascii="times new roman;times" w:hAnsi="times new roman;times"/>
          <w:sz w:val="20"/>
        </w:rPr>
        <w:t>We are required to establish and maintain appropriate internal controls over financial reporting. Failure to establish those controls, or any failure of those controls once established, could adversely impact our public disclosures regarding our business, financial condition or results of operations. Any failure of these controls could also prevent us from maintaining accurate accounting records and discovering accounting errors and financial fraud.</w:t>
      </w:r>
    </w:p>
    <w:p>
      <w:pPr>
        <w:pStyle w:val="TextBody"/>
        <w:spacing w:lineRule="auto" w:line="240" w:before="0" w:after="0"/>
        <w:ind w:left="0" w:right="0" w:hanging="0"/>
        <w:jc w:val="center"/>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center"/>
        <w:rPr>
          <w:rFonts w:ascii="times new roman;times" w:hAnsi="times new roman;times"/>
          <w:sz w:val="20"/>
        </w:rPr>
      </w:pPr>
      <w:r>
        <w:rPr>
          <w:rFonts w:ascii="times new roman;times" w:hAnsi="times new roman;times"/>
          <w:sz w:val="20"/>
        </w:rPr>
        <w:t>In the course of completing its assessment of internal control over financial reporting as of December 31, 2021, management did not identify any material weaknesses but did identify the continued existence of two significant deficiencies in the lack of end user segregation in our accounting system and a failure to perform user access audits for certain system applications. Specifically, management believes that we may not be able to adequately segregate responsibility over financial transaction processing and reporting. A significant deficiency is a deficiency, or a combination of deficiencies, in internal control over financial reporting, that is less severe than a material weakness yet important enough to merit attention by those responsible for oversight of the Company’s financial reporting. Although we are unable to remediate the end user segregation significant deficiency with current personnel, we are mitigating its potential impact, primarily through a review of all employee’s access rights in our accounting system.</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center"/>
        <w:rPr>
          <w:rFonts w:ascii="times new roman;times" w:hAnsi="times new roman;times"/>
          <w:sz w:val="20"/>
        </w:rPr>
      </w:pPr>
      <w:r>
        <w:rPr>
          <w:rFonts w:ascii="times new roman;times" w:hAnsi="times new roman;times"/>
          <w:sz w:val="20"/>
        </w:rPr>
        <w:t>In addition, management’s assessment of internal controls over financial reporting may identify additional weaknesses and conditions that need to be addressed or other potential matters that may raise concerns for investors. Any actual or perceived weaknesses and conditions that need to be addressed in our internal control over financial reporting or disclosure of management’s assessment of our internal controls over financial reporting may have an adverse impact on the price of our common stock.</w:t>
      </w:r>
    </w:p>
    <w:p>
      <w:pPr>
        <w:pStyle w:val="TextBody"/>
        <w:spacing w:lineRule="auto" w:line="240" w:before="0" w:after="16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Our profitability may be adversely affected by our continuing dependence on our distribution channels.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market our products primarily through a network of distributors who in turn sell our products to value-added resellers. All of our agreements with such distributors and other distribution participants are non-exclusive, terminable at will by both parties,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We are substantially dependent on our sales force to effectively execute our sales, pricing and business strategies.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believe that there is significant competition for skilled sales personnel with technical knowledge. Our ability to grow our business depends on our success in recruiting, training, and retaining sales personnel to support our sales. We periodically adjust our sales organization and our compensation programs to optimize our sales operations, to increase revenue, and to support our business model. If we have not structured our sales organization or compensation for our sales personnel in a way that properly supports our business objectives, or if we fail to make changes in a timely fashion or do not effectively manage changes, our performance and results of operations could be adversely affected.</w:t>
      </w:r>
    </w:p>
    <w:p>
      <w:pPr>
        <w:pStyle w:val="TextBody"/>
        <w:spacing w:lineRule="auto" w:line="240" w:before="0" w:after="0"/>
        <w:ind w:left="0" w:right="0" w:hanging="0"/>
        <w:jc w:val="both"/>
        <w:rPr/>
      </w:pPr>
      <w:r>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19</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ITEM 1A - RISK FACTORS</w:t>
      </w:r>
    </w:p>
    <w:p>
      <w:pPr>
        <w:pStyle w:val="TextBody"/>
        <w:widowControl/>
        <w:spacing w:lineRule="auto" w:line="240"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Product development delays or defects could harm our competitive position and reduce our revenue.</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success of our new product introductions depends on a number of factors, including proper new product definition, product cost, infrastructure for services and cloud delivery, timely completion and introduction of new products, proper positioning and pricing of new products in relation to our total product portfolio and their relative pricing, differentiation of new products from those of our competitors and other products in our own portfolio, market acceptance of these products and the ability to sell our products. Once new products reach the market, they may have defects, or may be met by unanticipated new competitive products, which could adversely affect market acceptance of these products and our reputation. Other factors that may affect our success include properly addressing the complexities associated with compatibility issues, channel partner and sales strategies, sales force integration and training, technical and sales support, and field support. As a result, it is possible that investments that we are making in developing new products and technologies may not yield the planned financial results. If we are not able to manage and minimize such potential difficulties, our business and results of operations could be negatively affected.</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We depend on an outsourced manufacturing strategy, and we may face increased risks and costs associated with volatility in commodity and labor prices or as a result of supply chain or procurement disruptions, which could negatively impact our product availability and revenues.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outsource the manufacturing of all of our products to electronics manufacturing services (“EMS”) providers located outside the U.S. If any of these EMS providers experience (i) difficulties in obtaining sufficient supplies of components, (ii) difficulties in obtaining adequate skilled labor, (iii) component prices significantly exceeding anticipated costs, (iv) an interruption in their operations, or (v)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large portion of our products.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Switching from one EMS provider to another or switching from one location of manufacturing to another location similar to our current transition from China to Singapore, is an expensive, difficult and a time-consuming process, with serious risks to our ability to successfully transfer our manufacturing operations. Our operations, and consequently our revenues and profitability, were impacted materially in 2021 and 2022 due to switching of manufacturing from one location to another and we expect this adverse condition to continue at least through the first half of 2023. </w:t>
      </w:r>
      <w:r>
        <w:rPr>
          <w:rFonts w:ascii="times new roman;times" w:hAnsi="times new roman;times"/>
          <w:b w:val="false"/>
          <w:i w:val="false"/>
          <w:caps w:val="false"/>
          <w:smallCaps w:val="false"/>
          <w:color w:val="000000"/>
          <w:spacing w:val="0"/>
          <w:sz w:val="20"/>
        </w:rPr>
        <w:t>Our operations, and consequently our revenues and profitability</w:t>
      </w:r>
      <w:r>
        <w:rPr>
          <w:rFonts w:ascii="times new roman;times" w:hAnsi="times new roman;times"/>
          <w:sz w:val="20"/>
        </w:rPr>
        <w:t xml:space="preserve"> could be materially adversely affected in the future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 If our EMS providers experience disruptions in their operations, it is uncertain whether we would be able to source the essential commodities, supplies, materials, and skilled labor timely or at all without incurring significant costs or delays, particularly during times of economic uncertainty resulting from events outside of our control, including, but not limited to, effects of COVID-19. We may be forced to purchase supplies and materials in larger quantities or in advance of when we would typically purchase them. This may cause us to require use of capital sooner than anticipated. Alternatively, we may also be forced to seek new third-party suppliers or contractors, whom we have not worked with in the past, and it is uncertain whether these new suppliers will be able to adequately meet our materials or labor needs. In addition, we may be unable to compete with entities that may have more favorable relationships with their suppliers and contractors or greater access to the required raw materials and skilled labor.</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pPr>
      <w:r>
        <w:rPr/>
        <w:t> </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20</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ITEM 1A - RISK FACTORS</w:t>
      </w:r>
    </w:p>
    <w:p>
      <w:pPr>
        <w:pStyle w:val="TextBody"/>
        <w:widowControl/>
        <w:spacing w:before="0" w:after="0"/>
        <w:ind w:left="0" w:right="0" w:hanging="0"/>
        <w:jc w:val="center"/>
        <w:rPr>
          <w:rFonts w:ascii="times new roman;times" w:hAnsi="times new roman;times"/>
          <w:i/>
          <w:sz w:val="20"/>
        </w:rPr>
      </w:pPr>
      <w:r>
        <w:rPr>
          <w:rFonts w:ascii="times new roman;times" w:hAnsi="times new roman;times"/>
          <w:i/>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cost of delivered product from our EMS providers is a direct function of their ability to buy components at a competitive price and to realize efficiencies and economies of scale within their overall business structures. During 2021 there was a worldwide shortage of semiconductor, memory and other electronic components affecting many industries, from automotive to technology providers. Even though this shortage has eased in 2022, the shortage continues to impact our operation. If the shortage continues or worsens it will impact our EMS providers significantly. If our EMS providers are unsuccessful in obtaining component parts at efficient costs or at all, our delivered costs could rise or we may not be able to fulfill orders on time or at all, affecting our gross margins, profitability and ability to compete. In addition, if the EMS providers are unable to achieve greater operational efficiencies, delivery schedules for new product development and current product delivery could be negatively impacted.</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EMS providers often require long range forecasts to help them plan their operations as well as to allocate their resources. We are tied to these forecasts through contracts as well as to maintain harmony in business relationships. Our ability to react to actual demand from our customers and order optimum levels of inventory is severely limited due to these forecasts provided to the EMS providers. Our inability to accurately forecast our future demands could lead to either excess inventory causing potential inventory obsolescence and cashflow problems or shortage in inventory causing potential loss of revenue.</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Additionally, the sourcing and availability of raw materials necessary for our EMS providers to manufacture certain of our products, including "conflict minerals" has been and could continue to be significantly constrained, which is likely to result in continued elevated price levels. Furthermore, compliance with SEC disclosure and reporting requirements in the future regarding the use of "conflict minerals" mined from the Democratic Republic of Congo and adjoining countries could adversely affect the sourcing, supply and pricing of materials used in our products.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pStyle w:val="TextBody"/>
        <w:widowControl/>
        <w:spacing w:before="0" w:after="0"/>
        <w:ind w:left="0" w:right="0" w:hanging="0"/>
        <w:jc w:val="center"/>
        <w:rPr>
          <w:rFonts w:ascii="times new roman;times" w:hAnsi="times new roman;times"/>
          <w:i/>
          <w:sz w:val="20"/>
        </w:rPr>
      </w:pPr>
      <w:r>
        <w:rPr>
          <w:rFonts w:ascii="times new roman;times" w:hAnsi="times new roman;times"/>
          <w:i/>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COVID-19 has caused and may continue to cause unanticipated fluctuations in our gross margins, which can result in unanticipated fluctuations in our operating results.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gross margins can vary due to customer demand, competition, product pricing, product lifecycle, product mix, new product introductions, unit volumes, acquisitions and divestitures, commodity, supply chain and logistics costs, capacity utilization, geographic sales mix, currency exchange rates, trade policy and tariffs, and the complexity and functionality of new product innovations and other factors. If we are not able to introduce new products in a timely manner at the product cost we expect, or if customer demand for our products is less than we anticipate, or if there are product pricing, marketing and other initiatives by our competitors to which we need to react or that are initiated by us to drive sales that lower our margins, then our overall gross margin will be less than we project.</w:t>
      </w:r>
    </w:p>
    <w:p>
      <w:pPr>
        <w:pStyle w:val="TextBody"/>
        <w:widowControl/>
        <w:spacing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Moreover, growth in the hybrid work environment is likely to create greater pressures on us and our suppliers to accurately project overall and specific product categories of component and product demand and to establish optimal levels and manufacturing capacity. If we are unable to secure enough components and/or finished products at reasonable prices or of acceptable quality to build new products in a timely manner in the quantities or configurations needed, our revenue and gross margins could suffer until other sources can be developed. In addition, our gross margins vary significantly by product line, sales geography and customer type, as well as within product lines. When the mix of products sold shifts from higher margin product lines to lower margin product lines, to lower margin sales geographies, or to lower margin products within product lines, our overall gross margins and our profitability may be adversely affected. Moreover, as we expand within and into new product categories, our products in those categories may have lower gross margins than in our traditional product categories. If we are unable to offset these potentially lower margins by enhancing the margins in our more traditional product categories, our profitability may be adversely affected.</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As our global manufacturing partners and a significant number of distributors are located outside of the United States, we rely upon logistics providers to transport goods around the world. As supply chains have become more constrained, the need to expedite shipments to manufacturing facilities and customers has increased. Further, we continue to experience higher transportation and fuel costs which has resulted in decreased margins and may result in the future in increased inventory and further margin decline, which would adversely affect our results of operations and financial condition.</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Changes in trade policy, including tariffs and the tariffs focused on China in particular, and currency exchange rates also have adverse impacts on our gross margins. The COVID-19 pandemic put pressure on our gross margins and caused us to face uncertain product demand and incur increased air freight and other costs to fulfill sell through demand, replenish channel inventory, and maintain market share.</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21</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jc w:val="center"/>
        <w:rPr>
          <w:rFonts w:ascii="times new roman;times" w:hAnsi="times new roman;times"/>
          <w:i/>
          <w:sz w:val="20"/>
        </w:rPr>
      </w:pPr>
      <w:r>
        <w:rPr>
          <w:rFonts w:ascii="times new roman;times" w:hAnsi="times new roman;times"/>
          <w:i/>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ITEM 1A - RISK FACTORS</w:t>
      </w: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impact of these factors on gross margins can create unanticipated fluctuations in our operating results, which may cause volatility in the price of our stock.</w:t>
      </w: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Global economic conditions have adversely affected our business in the past and could adversely affect our revenues and harm our business in the future.</w:t>
      </w:r>
    </w:p>
    <w:p>
      <w:pPr>
        <w:pStyle w:val="TextBody"/>
        <w:widowControl/>
        <w:spacing w:before="0" w:after="0"/>
        <w:ind w:left="0" w:right="0" w:hanging="0"/>
        <w:jc w:val="center"/>
        <w:rPr>
          <w:rFonts w:ascii="times new roman;times" w:hAnsi="times new roman;times"/>
          <w:i/>
          <w:sz w:val="20"/>
        </w:rPr>
      </w:pPr>
      <w:r>
        <w:rPr>
          <w:rFonts w:ascii="times new roman;times" w:hAnsi="times new roman;times"/>
          <w:i/>
          <w:sz w:val="20"/>
        </w:rPr>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rising inflation rates,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pStyle w:val="TextBody"/>
        <w:widowControl/>
        <w:spacing w:before="0" w:after="0"/>
        <w:ind w:left="0" w:right="0" w:hanging="0"/>
        <w:jc w:val="center"/>
        <w:rPr>
          <w:i/>
        </w:rPr>
      </w:pPr>
      <w:r>
        <w:rPr>
          <w:i/>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Our operations may be impacted by the Russian invasion of Ukraine</w:t>
      </w:r>
    </w:p>
    <w:p>
      <w:pPr>
        <w:pStyle w:val="TextBody"/>
        <w:widowControl/>
        <w:spacing w:before="0" w:after="0"/>
        <w:ind w:left="0" w:right="0" w:hanging="0"/>
        <w:jc w:val="center"/>
        <w:rPr/>
      </w:pPr>
      <w:r>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February 24, 2022, Russia launched an invasion of Ukraine which has resulted in increased volatility in various financial markets and across various sectors. The United States and other countries, along with certain international organizations, have imposed economic sanctions on Russia and certain Russian individuals, banking entities and corporations as a response to the invasion. The extent and duration of the military action, resulting sanctions and future market disruptions in the region are impossible to predict. Moreover, the ongoing effects of the hostilities and sanctions may not be limited to Russia and Russian companies and may spill over to and negatively impact other regional and global economic markets of the world, including Asia, Europe and the United States. The ongoing military action along with the potential for a wider conflict could further increase financial market volatility and cause negative effects on regional and global economic markets, industries, and companies. It is not currently possible to determine the severity of any potential adverse impact of this event on our financial condition or results of operations.</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We are a smaller Company than some of our competitors and may be more susceptible to market fluctuations, other adverse events, increased costs and less favorable purchasing terms.</w:t>
      </w:r>
      <w:r>
        <w:rPr>
          <w:rFonts w:ascii="times new roman;times" w:hAnsi="times new roman;times"/>
          <w:b w:val="false"/>
          <w:i w:val="false"/>
          <w:caps w:val="false"/>
          <w:smallCaps w:val="false"/>
          <w:color w:val="000000"/>
          <w:spacing w:val="0"/>
          <w:sz w:val="20"/>
        </w:rPr>
        <w:t> </w:t>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Since we are a relatively small Company, there is a risk that we may be more susceptible to market fluctuations and other adverse events. In particular, we</w:t>
      </w:r>
      <w:r>
        <w:rPr>
          <w:rFonts w:ascii="times new roman;times" w:hAnsi="times new roman;times"/>
          <w:b w:val="false"/>
          <w:i w:val="false"/>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Difficulties in integrating future acquisitions could adversely affect our business.</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any future acquisitions we may make.</w:t>
      </w:r>
    </w:p>
    <w:p>
      <w:pPr>
        <w:pStyle w:val="TextBody"/>
        <w:spacing w:lineRule="auto" w:line="240" w:before="0" w:after="0"/>
        <w:ind w:left="0" w:right="0" w:hanging="0"/>
        <w:jc w:val="both"/>
        <w:rPr/>
      </w:pPr>
      <w:r>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22</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lineRule="auto" w:line="240" w:before="0" w:after="0"/>
        <w:ind w:left="0" w:right="0" w:hanging="0"/>
        <w:jc w:val="center"/>
        <w:rPr>
          <w:rFonts w:ascii="times new roman;times" w:hAnsi="times new roman;times"/>
          <w:b w:val="false"/>
          <w:i/>
          <w:color w:val="000000"/>
          <w:spacing w:val="0"/>
          <w:sz w:val="20"/>
        </w:rPr>
      </w:pPr>
      <w:r>
        <w:rPr>
          <w:rFonts w:ascii="times new roman;times" w:hAnsi="times new roman;times"/>
          <w:b w:val="false"/>
          <w:i/>
          <w:color w:val="000000"/>
          <w:spacing w:val="0"/>
          <w:sz w:val="20"/>
        </w:rPr>
        <w:t>ITEM 1A - RISK FACTORS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Profitability could be negatively impacted if we do not adequately forecast the demand for our products and are unable to monetize our long-term inventories.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As of December 31, 2022 we held approximately $</w:t>
      </w:r>
      <w:r>
        <w:rPr>
          <w:rFonts w:ascii="times new roman;times" w:hAnsi="times new roman;times"/>
          <w:sz w:val="20"/>
        </w:rPr>
        <w:t>2.7 </w:t>
      </w:r>
      <w:r>
        <w:rPr>
          <w:rFonts w:ascii="times new roman;times" w:hAnsi="times new roman;times"/>
          <w:sz w:val="20"/>
        </w:rPr>
        <w:t>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Conditions in India, Spain, and United Arab Emirates may affect our operations.</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have different teams working outside the U.S. in India, Spain, and United Arab Emirates offering various services. Our ability to operate the Company smoothly may be affected significantly if either one or more of these countries are adversely impacted by political, economic, security and military conditions in these countries.</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Product obsolescence could harm demand for our products and could adversely affect our revenue and our results of operations.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International sales account for a significant portion of our net revenue and risks inherent in international sales could harm our business.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unexpected changes in, or the imposition of, additional legislative or regulatory requirements;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unique or more onerous environmental regulations;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fluctuating exchange rates;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tariffs and other barriers;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difficulties in staffing and managing foreign sales operations;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import and export restrictions;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greater difficulties in accounts receivable collection and longer payment cycles;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potentially adverse tax consequences;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potential hostilities and changes in diplomatic and trade relationships; and</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disruption in services due to natural disaster, economic or political difficulties, transportation, quarantines or other restrictions associated with infectious diseases.</w:t>
            </w:r>
          </w:p>
        </w:tc>
      </w:tr>
    </w:tbl>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center"/>
        <w:rPr>
          <w:caps w:val="false"/>
          <w:smallCaps w:val="false"/>
          <w:color w:val="000000"/>
          <w:spacing w:val="0"/>
        </w:rPr>
      </w:pPr>
      <w:r>
        <w:rPr>
          <w:caps w:val="false"/>
          <w:smallCaps w:val="false"/>
          <w:color w:val="000000"/>
          <w:spacing w:val="0"/>
        </w:rPr>
        <w:t> </w:t>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23</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r>
    </w:p>
    <w:p>
      <w:pPr>
        <w:pStyle w:val="TextBody"/>
        <w:widowControl/>
        <w:spacing w:lineRule="auto" w:line="240"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ITEM 1A - RISK FACTORS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i/>
          <w:sz w:val="20"/>
        </w:rPr>
        <w:t>We may not be able to hire and retain qualified key and highly-skilled</w:t>
      </w:r>
      <w:r>
        <w:rPr>
          <w:rFonts w:ascii="times new roman;times" w:hAnsi="times new roman;times"/>
          <w:sz w:val="20"/>
        </w:rPr>
        <w:t xml:space="preserve"> </w:t>
      </w:r>
      <w:r>
        <w:rPr>
          <w:rFonts w:ascii="times new roman;times" w:hAnsi="times new roman;times"/>
          <w:i/>
          <w:sz w:val="20"/>
        </w:rPr>
        <w:t>technical employees, which could affect our ability to compete effectively and may cause our revenue and profitability to decline.</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attract highly-skilled technical employees from abroad.</w:t>
      </w:r>
    </w:p>
    <w:p>
      <w:pPr>
        <w:pStyle w:val="TextBody"/>
        <w:spacing w:lineRule="auto" w:line="240" w:before="0" w:after="0"/>
        <w:ind w:left="0" w:right="0" w:hanging="0"/>
        <w:jc w:val="both"/>
        <w:rPr/>
      </w:pPr>
      <w:r>
        <w:rPr/>
        <w:t> </w:t>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We are dependent on our key personnel whose continued service is not guaranteed.</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are dependent upon key personnel for the execution of our business strategies, including our chief executive officer and chief financial officer, neither of whom is subject to an employment agreement with us and we do not have key man life insurance for any of our executive officers. Accordingly, the loss of services of our executive officers could have a material adverse effect on our financial condition and results of operations.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We rely on third-party technology and license agreements, the loss of any of which could negatively impact our business.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We may have difficulty in collecting outstanding receivables.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Interruptions to our business could adversely affect our operations.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technology-based problems. To help guard against such risks, we carry business interruption loss insurance to help compensate us for losses that may occur, but we cannot assure that such coverage would protect us from all such possible losses.</w:t>
      </w:r>
    </w:p>
    <w:p>
      <w:pPr>
        <w:pStyle w:val="TextBody"/>
        <w:spacing w:lineRule="auto" w:line="240" w:before="0" w:after="0"/>
        <w:ind w:left="0" w:right="0" w:hanging="0"/>
        <w:jc w:val="left"/>
        <w:rPr/>
      </w:pPr>
      <w:r>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24</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 - RISK FACTORS</w:t>
      </w:r>
    </w:p>
    <w:p>
      <w:pPr>
        <w:pStyle w:val="TextBody"/>
        <w:widowControl/>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spacing w:lineRule="auto" w:line="240" w:before="0" w:after="0"/>
        <w:ind w:left="0" w:right="0" w:hanging="0"/>
        <w:jc w:val="both"/>
        <w:rPr/>
      </w:pPr>
      <w:r>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Security breaches and other disruptions could compromise our information and expose us to liability, which would cause our business and reputation to suffer.</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We may require additional financing to fund future operations, which may not be available to us on acceptable terms or at all.</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As of December 31, 2022, we had approximately $1.0 million of cash and cash equivalents. Although we anticipate having sufficient cash on hand, cash from future operations and cash from the sale of marketable securities to fund our operations for the next twelve months, there can be no assurance that efforts to enforce our patents will be successful or that our marketing and sales efforts will progress as anticipated or that our cash generated from operations will be as expected, and we may need additional debt or equity financing in the next twelve months to execute our business plan and to be able to continue as a going concern. If in the future, we fail to satisfy the continued listing standards of Nasdaq, we may not be able to sell shares of our common stock. Accordingly, if additional debt or equity financings are needed, market conditions may limit our ability to raise capital on favorable terms, or at all, and the terms of any public or private offerings of debt or equity securities likely would be significantly dilutive to existing shareholders.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b/>
          <w:sz w:val="20"/>
        </w:rPr>
      </w:pPr>
      <w:r>
        <w:rPr>
          <w:rFonts w:ascii="times new roman;times" w:hAnsi="times new roman;times"/>
          <w:b/>
          <w:sz w:val="20"/>
        </w:rPr>
        <w:t>Risks Relating to Share Ownership</w:t>
      </w:r>
    </w:p>
    <w:p>
      <w:pPr>
        <w:pStyle w:val="TextBody"/>
        <w:spacing w:lineRule="auto" w:line="240" w:before="0" w:after="0"/>
        <w:ind w:left="0" w:right="0" w:hanging="0"/>
        <w:jc w:val="both"/>
        <w:rPr>
          <w:rFonts w:ascii="times new roman;times" w:hAnsi="times new roman;times"/>
          <w:b/>
          <w:i/>
          <w:sz w:val="20"/>
        </w:rPr>
      </w:pPr>
      <w:r>
        <w:rPr>
          <w:rFonts w:ascii="times new roman;times" w:hAnsi="times new roman;times"/>
          <w:b/>
          <w:i/>
          <w:sz w:val="20"/>
        </w:rPr>
      </w:r>
    </w:p>
    <w:p>
      <w:pPr>
        <w:pStyle w:val="TextBody"/>
        <w:spacing w:lineRule="auto" w:line="240" w:before="0" w:after="0"/>
        <w:ind w:left="0" w:right="0" w:hanging="0"/>
        <w:jc w:val="left"/>
        <w:rPr>
          <w:rFonts w:ascii="times new roman;times" w:hAnsi="times new roman;times"/>
          <w:sz w:val="20"/>
        </w:rPr>
      </w:pPr>
      <w:r>
        <w:rPr>
          <w:rFonts w:ascii="times new roman;times" w:hAnsi="times new roman;times"/>
          <w:i/>
          <w:sz w:val="20"/>
        </w:rPr>
        <w:t xml:space="preserve">As a result of Edward D. </w:t>
      </w:r>
      <w:r>
        <w:rPr>
          <w:rFonts w:ascii="times new roman;times" w:hAnsi="times new roman;times"/>
          <w:sz w:val="20"/>
        </w:rPr>
        <w:t xml:space="preserve">Bagley’s </w:t>
      </w:r>
      <w:r>
        <w:rPr>
          <w:rFonts w:ascii="times new roman;times" w:hAnsi="times new roman;times"/>
          <w:i/>
          <w:sz w:val="20"/>
        </w:rPr>
        <w:t>significant share ownership position in the Company, he is able to influence corporate matters.</w:t>
      </w:r>
    </w:p>
    <w:p>
      <w:pPr>
        <w:pStyle w:val="TextBody"/>
        <w:spacing w:lineRule="auto" w:line="240" w:before="0" w:after="0"/>
        <w:ind w:left="0" w:right="0" w:hanging="0"/>
        <w:jc w:val="left"/>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Based solely on filings by Edward D. Bagley under Regulation 13D and Section 16 of the Exchange Act, Mr. Bagley beneficially owns approximately 43% of our issued and outstanding shares of common stock. Pursuant to the Note Purchase Agreement, dated December 8, 2019, by and between Mr. Bagley and the Company, Mr. Bagley has a security interest in substantially all of the assets of the Company as well as certain observer rights with respect to meetings of our board of directors, and the Company is restricted from issuing shares of common stock at a purchase price less than $2.11 per share except in certain limited, extraordinary transactions. In addition, Mr. Bagley’s daughter, Lisa Higley, is a member of our board of directors. Based on Mr. Bagley’s significant share ownership, as well as his security interests in substantially all of our assets, Mr. Bagley will be able to significantly influence who serves on our board of directors and the outcome of matters required to be submitted to our stockholders for approval, including, without limitation, decisions relating to the outcome of any proposed merger or consolidation of our company and Mr. Bagley’s significant interest in us may discourage third parties from seeking to acquire control of us, which may adversely affect the market price of our common stock. In addition, based solely on filings by other members of Mr. Bagley’s family and their family trusts under Regulation 13D and Section 16 of the Exchange Act, such family members and their family trusts collectively beneficially own an additional 14.9% of our outstanding shares of common stock, however, Mr. Bagley asserts he does not have control over and disclaims beneficial ownership of such shares. Mr. Bagley’s interests and the interests of his family and their family trusts may not be consistent with those of our other stockholders.</w:t>
      </w:r>
    </w:p>
    <w:p>
      <w:pPr>
        <w:pStyle w:val="TextBody"/>
        <w:spacing w:lineRule="auto" w:line="240" w:before="0" w:after="0"/>
        <w:ind w:left="0" w:right="0" w:hanging="0"/>
        <w:jc w:val="both"/>
        <w:rPr>
          <w:rFonts w:ascii="times new roman;times" w:hAnsi="times new roman;times"/>
        </w:rPr>
      </w:pPr>
      <w:r>
        <w:rPr>
          <w:rFonts w:ascii="times new roman;times" w:hAnsi="times new roman;times"/>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Global Financial, Economic and Social Conditions Could Deteriorate.</w:t>
      </w:r>
    </w:p>
    <w:p>
      <w:pPr>
        <w:pStyle w:val="TextBody"/>
        <w:widowControl/>
        <w:spacing w:before="0" w:after="0"/>
        <w:ind w:left="0" w:right="0" w:hanging="0"/>
        <w:jc w:val="center"/>
        <w:rPr>
          <w:rFonts w:ascii="times new roman;times" w:hAnsi="times new roman;times"/>
          <w:i/>
          <w:sz w:val="20"/>
        </w:rPr>
      </w:pPr>
      <w:r>
        <w:rPr>
          <w:rFonts w:ascii="times new roman;times" w:hAnsi="times new roman;times"/>
          <w:i/>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business could be materially affected by conditions in the global financial markets and economic conditions generally.  The recent outbreak of a novel coronavirus, which causes the disease now known as COVID-19, was first identified in December 2019 in Wuhan, China, and has since spread globally. Government efforts to contain the spread of the coronavirus through lockdowns of cities, business closures, restrictions on travel and emergency quarantines, among others, and responses by businesses and individuals to reduce the risk of exposure to infection, including social distancing in the form of reduced travel, cancellation of meetings and public and private events, and implementation of work-at-home policies, among others, have caused significant disruptions to the global economy and normal business operations across a growing list of sectors and countries, including in the United States.  </w:t>
      </w:r>
    </w:p>
    <w:p>
      <w:pPr>
        <w:pStyle w:val="TextBody"/>
        <w:spacing w:lineRule="auto" w:line="240" w:before="0" w:after="0"/>
        <w:ind w:left="0" w:right="0" w:hanging="0"/>
        <w:jc w:val="both"/>
        <w:rPr>
          <w:rFonts w:ascii="times new roman;times" w:hAnsi="times new roman;times"/>
        </w:rPr>
      </w:pPr>
      <w:r>
        <w:rPr>
          <w:rFonts w:ascii="times new roman;times" w:hAnsi="times new roman;times"/>
        </w:rPr>
      </w:r>
    </w:p>
    <w:p>
      <w:pPr>
        <w:pStyle w:val="TextBody"/>
        <w:spacing w:lineRule="auto" w:line="240" w:before="0" w:after="0"/>
        <w:ind w:left="0" w:right="0" w:hanging="0"/>
        <w:jc w:val="both"/>
        <w:rPr/>
      </w:pPr>
      <w:r>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25</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 - RISK FACTORS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foregoing have, and are likely to continue to adversely affect business confidence and consumer sentiments, and have been, and may continue to be, accompanied by significant volatility and declines in financial markets and asset values.  The spread of the coronavirus, particularly if its development into a worldwide health crisis worsens, also may have broader macro-economic implications, including reduced levels of economic growth and possibly a global recession, the effects of which could be felt well beyond the time the pandemic is contained, and which could adversely affect demand for our products and our results of operations and financial condition. The impact of COVID-19 on any of our suppliers, co-manufacturers, distributors or transportation or logistics providers may negatively affect the price and availability of our products and impact our supply chain. If the pandemic continues to evolve into a severe worldwide health crisis, the disease could have a material adverse effect on our business, results of operations, financial condition and cash flows and adversely impact the trading price of our common stock.</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Our stock price fluctuates as a result of the conduct of our business and stock market fluctuations. </w:t>
      </w:r>
    </w:p>
    <w:p>
      <w:pPr>
        <w:pStyle w:val="TextBody"/>
        <w:widowControl/>
        <w:spacing w:before="0" w:after="0"/>
        <w:ind w:left="0" w:right="0" w:hanging="0"/>
        <w:jc w:val="center"/>
        <w:rPr>
          <w:rFonts w:ascii="times new roman;times" w:hAnsi="times new roman;times"/>
          <w:sz w:val="20"/>
        </w:rPr>
      </w:pPr>
      <w:r>
        <w:rPr>
          <w:rFonts w:ascii="times new roman;times" w:hAnsi="times new roman;times"/>
          <w:sz w:val="20"/>
        </w:rPr>
      </w:r>
    </w:p>
    <w:p>
      <w:pPr>
        <w:pStyle w:val="TextBody"/>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market price of our common stock has experienced significant fluctuations and may continue to fluctuate significantly. The market price of our common stock may be significantly affected by a variety of factors, including the following:</w:t>
      </w:r>
      <w:r>
        <w:rPr>
          <w:rFonts w:ascii="times new roman;times" w:hAnsi="times new roman;times"/>
          <w:b w:val="false"/>
          <w:i w:val="false"/>
          <w:caps w:val="false"/>
          <w:smallCaps w:val="false"/>
          <w:color w:val="000000"/>
          <w:spacing w:val="0"/>
          <w:sz w:val="20"/>
        </w:rPr>
        <w:t> </w:t>
      </w:r>
    </w:p>
    <w:p>
      <w:pPr>
        <w:pStyle w:val="TextBody"/>
        <w:spacing w:lineRule="auto" w:line="240" w:before="0" w:after="0"/>
        <w:ind w:left="0" w:right="0" w:hanging="0"/>
        <w:jc w:val="both"/>
        <w:rPr>
          <w:rFonts w:ascii="times new roman;times" w:hAnsi="times new roman;times"/>
          <w:sz w:val="16"/>
        </w:rPr>
      </w:pPr>
      <w:r>
        <w:rPr>
          <w:rFonts w:ascii="times new roman;times" w:hAnsi="times new roman;times"/>
          <w:sz w:val="16"/>
        </w:rPr>
      </w:r>
    </w:p>
    <w:tbl>
      <w:tblPr>
        <w:tblW w:w="5000" w:type="pct"/>
        <w:jc w:val="center"/>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statements or changes in opinions, ratings, or earnings estimates made by brokerage firms or industry analysts relating to the market in which we do business or relating to us specifically;</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disparity between our reported results and the projections of analysts;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the shift in sales mix of products that we currently sell to a sales mix of lower-gross profit product offerings;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the level and mix of inventory held by our distributors;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the announcement of new products or product enhancements by us or our competitors;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technological innovations by us or our competitors;</w:t>
            </w:r>
          </w:p>
        </w:tc>
      </w:tr>
      <w:tr>
        <w:trPr/>
        <w:tc>
          <w:tcPr>
            <w:tcW w:w="214" w:type="dxa"/>
            <w:tcBorders/>
            <w:shd w:fill="auto" w:val="clear"/>
            <w:vAlign w:val="center"/>
          </w:tcPr>
          <w:p>
            <w:pPr>
              <w:pStyle w:val="TableContents"/>
              <w:spacing w:before="0" w:after="0"/>
              <w:ind w:left="0" w:right="0" w:hanging="0"/>
              <w:jc w:val="center"/>
              <w:rPr/>
            </w:pPr>
            <w:r>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success in meeting targeted availability dates for new or redesigned products;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the ability to profitably and efficiently manage our supply of products and key components;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the ability to maintain profitable relationships with our customers;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the ability to maintain an appropriate cost structure;</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quarterly variations in our results of operations;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general consumer confidence or market conditions, or market conditions specific to technology industry;</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spacing w:before="0" w:after="0"/>
              <w:ind w:left="0" w:right="0" w:hanging="0"/>
              <w:jc w:val="both"/>
              <w:rPr>
                <w:rFonts w:ascii="times new roman;times" w:hAnsi="times new roman;times"/>
                <w:sz w:val="20"/>
              </w:rPr>
            </w:pPr>
            <w:r>
              <w:rPr>
                <w:rFonts w:ascii="times new roman;times" w:hAnsi="times new roman;times"/>
                <w:sz w:val="20"/>
              </w:rPr>
              <w:t>domestic and international economic conditions;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unexpected changes in regulatory requirements and tariffs;</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ability to report financial information in a timely manner;</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markets in which our stock is traded;</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ability to integrate the companies we have acquired; and</w:t>
            </w:r>
          </w:p>
        </w:tc>
      </w:tr>
      <w:tr>
        <w:trPr/>
        <w:tc>
          <w:tcPr>
            <w:tcW w:w="214" w:type="dxa"/>
            <w:tcBorders/>
            <w:shd w:fill="auto" w:val="clear"/>
            <w:vAlign w:val="center"/>
          </w:tcPr>
          <w:p>
            <w:pPr>
              <w:pStyle w:val="TableContents"/>
              <w:widowControl/>
              <w:spacing w:before="0" w:after="0"/>
              <w:ind w:left="0" w:right="0" w:hanging="0"/>
              <w:jc w:val="center"/>
              <w:rPr>
                <w:caps w:val="false"/>
                <w:smallCaps w:val="false"/>
                <w:color w:val="000000"/>
                <w:spacing w:val="0"/>
              </w:rPr>
            </w:pPr>
            <w:r>
              <w:rPr>
                <w:caps w:val="false"/>
                <w:smallCaps w:val="false"/>
                <w:color w:val="000000"/>
                <w:spacing w:val="0"/>
              </w:rPr>
              <w:t>●</w:t>
            </w:r>
          </w:p>
        </w:tc>
        <w:tc>
          <w:tcPr>
            <w:tcW w:w="9991" w:type="dxa"/>
            <w:tcBorders/>
            <w:shd w:fill="auto" w:val="clear"/>
            <w:vAlign w:val="center"/>
          </w:tcPr>
          <w:p>
            <w:pPr>
              <w:pStyle w:val="TableContents"/>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ability to successfully utilize our cash reserves resulting from the settlement of litigation and arbitration matters.</w:t>
            </w:r>
          </w:p>
        </w:tc>
      </w:tr>
    </w:tbl>
    <w:p>
      <w:pPr>
        <w:pStyle w:val="TextBody"/>
        <w:spacing w:lineRule="auto" w:line="240" w:before="0" w:after="0"/>
        <w:ind w:left="0" w:right="0" w:hanging="0"/>
        <w:jc w:val="both"/>
        <w:rPr>
          <w:rFonts w:ascii="times new roman;times" w:hAnsi="times new roman;times"/>
          <w:sz w:val="16"/>
        </w:rPr>
      </w:pPr>
      <w:r>
        <w:rPr>
          <w:rFonts w:ascii="times new roman;times" w:hAnsi="times new roman;times"/>
          <w:sz w:val="16"/>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Rights to acquire our common stock could result in dilution to other holders of our common stock.</w:t>
      </w:r>
    </w:p>
    <w:p>
      <w:pPr>
        <w:pStyle w:val="TextBody"/>
        <w:spacing w:lineRule="auto" w:line="240" w:before="0" w:after="0"/>
        <w:ind w:left="0" w:right="0" w:hanging="0"/>
        <w:jc w:val="both"/>
        <w:rPr>
          <w:rFonts w:ascii="times new roman;times" w:hAnsi="times new roman;times"/>
          <w:sz w:val="16"/>
        </w:rPr>
      </w:pPr>
      <w:r>
        <w:rPr>
          <w:rFonts w:ascii="times new roman;times" w:hAnsi="times new roman;times"/>
          <w:sz w:val="16"/>
        </w:rPr>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As of December 31, 2022, there were outstanding options to acquire approximately 488,477 shares of our common stock at a weighted average exercise price of $6.48 per share. </w:t>
      </w:r>
      <w:r>
        <w:rPr>
          <w:rFonts w:ascii="times new roman;times" w:hAnsi="times new roman;times"/>
          <w:b w:val="false"/>
          <w:i w:val="false"/>
          <w:caps w:val="false"/>
          <w:smallCaps w:val="false"/>
          <w:color w:val="000000"/>
          <w:spacing w:val="0"/>
          <w:sz w:val="20"/>
        </w:rPr>
        <w:t>In addition, as of December 31, 2022 there were outstanding warrants and convertible instruments to acquire approximately 5,932,076 shares at weighted average exercise price of $2.47. </w:t>
      </w:r>
      <w:r>
        <w:rPr>
          <w:rFonts w:ascii="times new roman;times" w:hAnsi="times new roman;times"/>
          <w:sz w:val="20"/>
        </w:rPr>
        <w:t>During the terms of these options, warrants and convertibles the holders thereof will have the opportunity to profit from an increase in the market price of the common stock. The existence of these derivatives may adversely affect the terms on which we can obtain additional financing, and the holders of these derivatives can be expected to exercise such options at a time when we, in all likelihood, would be able to obtain additional capital by offering shares of our common stock on terms more favorable to us than those provided by the exercise of these derivatives.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26</w:t>
            </w:r>
          </w:p>
        </w:tc>
      </w:tr>
    </w:tbl>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 - RISK FACTORS</w:t>
      </w:r>
    </w:p>
    <w:p>
      <w:pPr>
        <w:pStyle w:val="TextBody"/>
        <w:spacing w:lineRule="auto" w:line="240" w:before="0" w:after="0"/>
        <w:ind w:left="0" w:right="0" w:hanging="0"/>
        <w:jc w:val="both"/>
        <w:rPr>
          <w:rFonts w:ascii="times new roman;times" w:hAnsi="times new roman;times"/>
          <w:sz w:val="16"/>
        </w:rPr>
      </w:pPr>
      <w:r>
        <w:rPr>
          <w:rFonts w:ascii="times new roman;times" w:hAnsi="times new roman;times"/>
          <w:sz w:val="16"/>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The sale of additional shares of our common stock could have a negative effect on the market price of our common stock.</w:t>
      </w:r>
    </w:p>
    <w:p>
      <w:pPr>
        <w:pStyle w:val="TextBody"/>
        <w:spacing w:lineRule="auto" w:line="240" w:before="0" w:after="0"/>
        <w:ind w:left="0" w:right="0" w:hanging="0"/>
        <w:jc w:val="both"/>
        <w:rPr>
          <w:rFonts w:ascii="times new roman;times" w:hAnsi="times new roman;times"/>
          <w:sz w:val="16"/>
        </w:rPr>
      </w:pPr>
      <w:r>
        <w:rPr>
          <w:rFonts w:ascii="times new roman;times" w:hAnsi="times new roman;times"/>
          <w:sz w:val="16"/>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sale of substantial amounts of our common stock in the public market, such as the Rights Offering that we completed in December 2018, Notes and Warrants that we issued in December 2019, Common Stock and Warrants that we issued in 2020 and 2021, and exchange of common stock for the cancellation of short-term bridge loan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pStyle w:val="TextBody"/>
        <w:widowControl/>
        <w:spacing w:before="0" w:after="0"/>
        <w:ind w:left="0" w:right="0" w:hanging="0"/>
        <w:jc w:val="center"/>
        <w:rPr/>
      </w:pPr>
      <w:r>
        <w:rPr/>
      </w:r>
    </w:p>
    <w:p>
      <w:pPr>
        <w:pStyle w:val="TextBody"/>
        <w:spacing w:lineRule="auto" w:line="240" w:before="0" w:after="0"/>
        <w:ind w:left="0" w:right="0" w:hanging="0"/>
        <w:jc w:val="left"/>
        <w:rPr>
          <w:rFonts w:ascii="Times New Roman;serif" w:hAnsi="Times New Roman;serif"/>
          <w:i/>
          <w:sz w:val="20"/>
        </w:rPr>
      </w:pPr>
      <w:r>
        <w:rPr>
          <w:rFonts w:ascii="Times New Roman;serif" w:hAnsi="Times New Roman;serif"/>
          <w:i/>
          <w:sz w:val="20"/>
        </w:rPr>
        <w:t>Because we have suspended the payment of dividends on our common stock, stockholders will benefit from an investment in our stock only if it appreciates in value unless a decision is made to reinstate dividend payments.</w:t>
      </w:r>
    </w:p>
    <w:p>
      <w:pPr>
        <w:pStyle w:val="TextBody"/>
        <w:spacing w:lineRule="auto" w:line="240" w:before="0" w:after="0"/>
        <w:ind w:left="0" w:right="0" w:hanging="0"/>
        <w:jc w:val="left"/>
        <w:rPr/>
      </w:pPr>
      <w:r>
        <w:rPr/>
      </w:r>
    </w:p>
    <w:p>
      <w:pPr>
        <w:pStyle w:val="TextBody"/>
        <w:spacing w:lineRule="auto" w:line="240" w:before="0" w:after="0"/>
        <w:ind w:left="0" w:right="0" w:hanging="0"/>
        <w:jc w:val="both"/>
        <w:rPr>
          <w:rFonts w:ascii="Times New Roman;serif" w:hAnsi="Times New Roman;serif"/>
          <w:sz w:val="20"/>
        </w:rPr>
      </w:pPr>
      <w:r>
        <w:rPr>
          <w:rFonts w:ascii="Times New Roman;serif" w:hAnsi="Times New Roman;serif"/>
          <w:sz w:val="20"/>
        </w:rPr>
        <w:t>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our secured convertible notes and other financing arrangements. Accordingly, unless a declaration and payment of cash dividends is made, realization of a gain on stockholders’ investments will depend on the appreciation of the price of our stock. There is no guarantee that our stock will appreciate in value or a dividend declaration will be made.</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If equity research analysts do not publish research or reports about our business or if they issue unfavorable commentary or downgrade our common stock, the price of our common stock could decline.</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i/>
          <w:sz w:val="20"/>
        </w:rPr>
      </w:pPr>
      <w:r>
        <w:rPr>
          <w:rFonts w:ascii="times new roman;times" w:hAnsi="times new roman;times"/>
          <w:i/>
          <w:sz w:val="20"/>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 of incorporation or our bylaws or (iv) any action asserting a claim governed by the internal affairs doctrine, in each case subject to the Delaware Court of Chancery having personal jurisdiction over the indispensable parties named as defendants therein.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27</w:t>
            </w:r>
          </w:p>
        </w:tc>
      </w:tr>
    </w:tbl>
    <w:p>
      <w:pPr>
        <w:pStyle w:val="TextBody"/>
        <w:spacing w:lineRule="auto" w:line="240"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center"/>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pPr>
      <w:r>
        <w:rPr/>
      </w:r>
    </w:p>
    <w:p>
      <w:pPr>
        <w:pStyle w:val="TextBody"/>
        <w:spacing w:lineRule="auto" w:line="240" w:before="0" w:after="0"/>
        <w:ind w:left="0" w:right="0" w:hanging="0"/>
        <w:jc w:val="left"/>
        <w:rPr/>
      </w:pPr>
      <w:hyperlink r:id="rId5">
        <w:bookmarkStart w:id="62" w:name="BAAA_B36RTR4S7400000000000000000000"/>
        <w:bookmarkEnd w:id="62"/>
        <w:r>
          <w:rPr>
            <w:rStyle w:val="VisitedInternetLink"/>
            <w:rFonts w:ascii="times new roman;times" w:hAnsi="times new roman;times"/>
            <w:b/>
            <w:strike w:val="false"/>
            <w:dstrike w:val="false"/>
            <w:color w:val="000000"/>
            <w:sz w:val="20"/>
            <w:u w:val="none"/>
            <w:effect w:val="none"/>
          </w:rPr>
          <w:t xml:space="preserve">ITEM </w:t>
        </w:r>
      </w:hyperlink>
      <w:hyperlink r:id="rId6">
        <w:r>
          <w:rPr>
            <w:rStyle w:val="VisitedInternetLink"/>
            <w:rFonts w:ascii="times new roman;times" w:hAnsi="times new roman;times"/>
            <w:b/>
            <w:strike w:val="false"/>
            <w:dstrike w:val="false"/>
            <w:color w:val="000000"/>
            <w:sz w:val="20"/>
            <w:u w:val="none"/>
            <w:effect w:val="none"/>
          </w:rPr>
          <w:t>1</w:t>
        </w:r>
      </w:hyperlink>
      <w:hyperlink r:id="rId7">
        <w:r>
          <w:rPr>
            <w:rStyle w:val="VisitedInternetLink"/>
            <w:rFonts w:ascii="times new roman;times" w:hAnsi="times new roman;times"/>
            <w:b/>
            <w:strike w:val="false"/>
            <w:dstrike w:val="false"/>
            <w:color w:val="000000"/>
            <w:sz w:val="20"/>
            <w:u w:val="none"/>
            <w:effect w:val="none"/>
          </w:rPr>
          <w:t>B. UNRESOLVED STAFF COMMENTS</w:t>
        </w:r>
      </w:hyperlink>
    </w:p>
    <w:p>
      <w:pPr>
        <w:pStyle w:val="TextBody"/>
        <w:spacing w:lineRule="auto" w:line="240" w:before="0" w:after="0"/>
        <w:ind w:left="0" w:right="0" w:hanging="0"/>
        <w:jc w:val="center"/>
        <w:rPr/>
      </w:pPr>
      <w:r>
        <w:rPr/>
        <w:t> </w:t>
      </w:r>
    </w:p>
    <w:p>
      <w:pPr>
        <w:pStyle w:val="TextBody"/>
        <w:spacing w:lineRule="auto" w:line="240" w:before="0" w:after="0"/>
        <w:ind w:left="0" w:right="0" w:hanging="0"/>
        <w:jc w:val="left"/>
        <w:rPr>
          <w:rFonts w:ascii="times new roman;times" w:hAnsi="times new roman;times"/>
          <w:sz w:val="20"/>
        </w:rPr>
      </w:pPr>
      <w:r>
        <w:rPr>
          <w:rFonts w:ascii="times new roman;times" w:hAnsi="times new roman;times"/>
          <w:sz w:val="20"/>
        </w:rPr>
        <w:t>Not applicable.</w:t>
      </w:r>
    </w:p>
    <w:p>
      <w:pPr>
        <w:pStyle w:val="TextBody"/>
        <w:spacing w:lineRule="auto" w:line="240" w:before="0" w:after="0"/>
        <w:ind w:left="0" w:right="0" w:hanging="0"/>
        <w:jc w:val="center"/>
        <w:rPr/>
      </w:pPr>
      <w:r>
        <w:rPr/>
        <w:t> </w:t>
      </w:r>
    </w:p>
    <w:p>
      <w:pPr>
        <w:pStyle w:val="TextBody"/>
        <w:spacing w:lineRule="auto" w:line="240" w:before="0" w:after="0"/>
        <w:ind w:left="0" w:right="0" w:hanging="0"/>
        <w:jc w:val="left"/>
        <w:rPr/>
      </w:pPr>
      <w:hyperlink r:id="rId8">
        <w:bookmarkStart w:id="63" w:name="BE_HMXOBBKDZ400000000000000000000"/>
        <w:bookmarkEnd w:id="63"/>
        <w:r>
          <w:rPr>
            <w:rStyle w:val="VisitedInternetLink"/>
            <w:rFonts w:ascii="times new roman;times" w:hAnsi="times new roman;times"/>
            <w:b/>
            <w:strike w:val="false"/>
            <w:dstrike w:val="false"/>
            <w:color w:val="000000"/>
            <w:sz w:val="20"/>
            <w:u w:val="none"/>
            <w:effect w:val="none"/>
          </w:rPr>
          <w:t>ITEM 2. PROPERTIES</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occupy a 1,350 square-foot facility in Gainesville, Florida under the terms of an operating lease expiring in February 2028. The Gainesville facility is used primarily to support our research and development activities. </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We occupy a 21,443 square-foot facility in Salt Lake City, Utah under the terms of an operating lease, which has been amended in February 2023 to expire in February 2028. Under the terms of this amendment, we will reduce our space to approximately 9,402 square feet. The facility supports our principal administrative, sales, marketing, customer support, and research and product development activities.  </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occupy a 6,175 square-foot facility in Chennai, India under the terms of an operating lease expiring in August 2023. This facility supports our administrative, marketing, customer support, and research and product development activities.</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occupy a 40,000 square-foot warehouse in Salt Lake City, Utah under the terms of an operating lease expiring in April 2025, which serves as our primary inventory fulfillment center.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We believe our current facilities are adequate to meet our needs for the foreseeable future and that suitable additional or alternative space will be available in the future on commercially reasonable terms as needed.</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pPr>
      <w:hyperlink r:id="rId9">
        <w:bookmarkStart w:id="64" w:name="BF_6R0M0IZUU800000000000000000000"/>
        <w:bookmarkEnd w:id="64"/>
        <w:r>
          <w:rPr>
            <w:rStyle w:val="VisitedInternetLink"/>
            <w:rFonts w:ascii="times new roman;times" w:hAnsi="times new roman;times"/>
            <w:b/>
            <w:strike w:val="false"/>
            <w:dstrike w:val="false"/>
            <w:color w:val="000000"/>
            <w:sz w:val="20"/>
            <w:u w:val="none"/>
            <w:effect w:val="none"/>
          </w:rPr>
          <w:t>ITEM 3. LEGAL PROCEEDINGS</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pPr>
      <w:r>
        <w:rPr>
          <w:rFonts w:ascii="times new roman;times" w:hAnsi="times new roman;times"/>
          <w:sz w:val="20"/>
        </w:rPr>
        <w:t xml:space="preserve">See </w:t>
      </w:r>
      <w:hyperlink w:anchor="Note 8 - Contingencies">
        <w:r>
          <w:rPr>
            <w:rStyle w:val="InternetLink"/>
            <w:rFonts w:ascii="times new roman;times" w:hAnsi="times new roman;times"/>
            <w:sz w:val="20"/>
            <w:u w:val="single"/>
          </w:rPr>
          <w:t>Note 8 – Commitments and Contingencies-Legal Proceedings</w:t>
        </w:r>
      </w:hyperlink>
      <w:r>
        <w:rPr>
          <w:rFonts w:ascii="times new roman;times" w:hAnsi="times new roman;times"/>
          <w:sz w:val="20"/>
        </w:rPr>
        <w:t> of the Notes to Consolidated Financial Statements (Part II, Item 8) for information regarding legal proceedings in which we are involved, which is incorporated in this Item 3 by reference.</w:t>
      </w:r>
    </w:p>
    <w:p>
      <w:pPr>
        <w:pStyle w:val="TextBody"/>
        <w:spacing w:lineRule="auto" w:line="240" w:before="0" w:after="0"/>
        <w:ind w:left="0" w:right="0" w:hanging="0"/>
        <w:jc w:val="center"/>
        <w:rPr/>
      </w:pPr>
      <w:r>
        <w:rPr/>
        <w:t> </w:t>
      </w:r>
    </w:p>
    <w:p>
      <w:pPr>
        <w:pStyle w:val="TextBody"/>
        <w:spacing w:lineRule="auto" w:line="240" w:before="0" w:after="0"/>
        <w:ind w:left="0" w:right="0" w:hanging="0"/>
        <w:jc w:val="left"/>
        <w:rPr/>
      </w:pPr>
      <w:hyperlink r:id="rId10">
        <w:bookmarkStart w:id="65" w:name="BG_ODMGIDN1RK00000000000000000000"/>
        <w:bookmarkEnd w:id="65"/>
        <w:r>
          <w:rPr>
            <w:rStyle w:val="VisitedInternetLink"/>
            <w:rFonts w:ascii="times new roman;times" w:hAnsi="times new roman;times"/>
            <w:b/>
            <w:strike w:val="false"/>
            <w:dstrike w:val="false"/>
            <w:color w:val="000000"/>
            <w:sz w:val="20"/>
            <w:u w:val="none"/>
            <w:effect w:val="none"/>
          </w:rPr>
          <w:t>ITEM 4. MINE SAFETY DISCLOSURES</w:t>
        </w:r>
      </w:hyperlink>
    </w:p>
    <w:p>
      <w:pPr>
        <w:pStyle w:val="TextBody"/>
        <w:spacing w:lineRule="auto" w:line="240" w:before="0" w:after="0"/>
        <w:ind w:left="0" w:right="0" w:hanging="0"/>
        <w:jc w:val="left"/>
        <w:rPr/>
      </w:pPr>
      <w:r>
        <w:rPr/>
        <w:t> </w:t>
      </w:r>
    </w:p>
    <w:p>
      <w:pPr>
        <w:pStyle w:val="TextBody"/>
        <w:spacing w:lineRule="auto" w:line="240" w:before="0" w:after="0"/>
        <w:ind w:left="0" w:right="0" w:hanging="0"/>
        <w:jc w:val="left"/>
        <w:rPr>
          <w:rFonts w:ascii="times new roman;times" w:hAnsi="times new roman;times"/>
          <w:sz w:val="20"/>
        </w:rPr>
      </w:pPr>
      <w:r>
        <w:rPr>
          <w:rFonts w:ascii="times new roman;times" w:hAnsi="times new roman;times"/>
          <w:sz w:val="20"/>
        </w:rPr>
        <w:t>Not Applicable. </w:t>
      </w:r>
    </w:p>
    <w:p>
      <w:pPr>
        <w:pStyle w:val="TextBody"/>
        <w:spacing w:lineRule="auto" w:line="240" w:before="0" w:after="0"/>
        <w:ind w:left="0" w:right="0" w:hanging="0"/>
        <w:jc w:val="left"/>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center"/>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28</w:t>
            </w:r>
          </w:p>
        </w:tc>
      </w:tr>
    </w:tbl>
    <w:p>
      <w:pPr>
        <w:pStyle w:val="HorizontalLine"/>
        <w:spacing w:before="0" w:after="0"/>
        <w:jc w:val="center"/>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left"/>
        <w:rPr/>
      </w:pPr>
      <w:r>
        <w:rPr/>
        <w:t>    </w:t>
      </w:r>
    </w:p>
    <w:p>
      <w:pPr>
        <w:pStyle w:val="TextBody"/>
        <w:spacing w:lineRule="auto" w:line="240" w:before="200" w:after="0"/>
        <w:ind w:left="0" w:right="0" w:hanging="0"/>
        <w:jc w:val="center"/>
        <w:rPr/>
      </w:pPr>
      <w:hyperlink w:anchor="TOC">
        <w:bookmarkStart w:id="66" w:name="BH_Q9L7TKCHZ400000000000000000000"/>
        <w:bookmarkEnd w:id="66"/>
        <w:r>
          <w:rPr>
            <w:rStyle w:val="InternetLink"/>
            <w:rFonts w:ascii="Times New Roman" w:hAnsi="Times New Roman"/>
            <w:b/>
            <w:strike w:val="false"/>
            <w:dstrike w:val="false"/>
            <w:color w:val="000000"/>
            <w:sz w:val="20"/>
            <w:u w:val="none"/>
            <w:effect w:val="none"/>
          </w:rPr>
          <w:t>PART II</w:t>
        </w:r>
      </w:hyperlink>
      <w:r>
        <w:rPr>
          <w:rFonts w:ascii="times new roman;times" w:hAnsi="times new roman;times"/>
          <w:sz w:val="20"/>
        </w:rPr>
        <w:t>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pPr>
      <w:hyperlink w:anchor="TOC">
        <w:bookmarkStart w:id="67" w:name="BI_LPR1G1JEZ400000000000000000000"/>
        <w:bookmarkEnd w:id="67"/>
        <w:r>
          <w:rPr>
            <w:rStyle w:val="InternetLink"/>
            <w:rFonts w:ascii="Times New Roman" w:hAnsi="Times New Roman"/>
            <w:b/>
            <w:strike w:val="false"/>
            <w:dstrike w:val="false"/>
            <w:color w:val="000000"/>
            <w:sz w:val="20"/>
            <w:u w:val="none"/>
            <w:effect w:val="none"/>
          </w:rPr>
          <w:t>ITEM 5. MARKET FOR REGISTRANT’S COMMON EQUITY, RELATED STOCKHOLDER MATTERS AND ISSUER PURCHASES OF EQUITY SECURITIES</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Our common stock is traded on the NASDAQ Capital Market under the symbol CLRO. On </w:t>
      </w:r>
      <w:r>
        <w:rPr>
          <w:rFonts w:ascii="times new roman;times" w:hAnsi="times new roman;times"/>
          <w:sz w:val="20"/>
        </w:rPr>
        <w:t>March 30, 2023</w:t>
      </w:r>
      <w:r>
        <w:rPr>
          <w:rFonts w:ascii="Times New Roman" w:hAnsi="Times New Roman"/>
          <w:sz w:val="20"/>
        </w:rPr>
        <w:t>, there were 23,955,767</w:t>
      </w:r>
      <w:r>
        <w:rPr>
          <w:rFonts w:ascii="times new roman;times" w:hAnsi="times new roman;times"/>
          <w:sz w:val="20"/>
        </w:rPr>
        <w:t>  </w:t>
      </w:r>
      <w:r>
        <w:rPr>
          <w:rFonts w:ascii="Times New Roman" w:hAnsi="Times New Roman"/>
          <w:sz w:val="20"/>
        </w:rPr>
        <w:t xml:space="preserve">shares of our common stock issued and outstanding held by approximately </w:t>
      </w:r>
      <w:r>
        <w:rPr>
          <w:rFonts w:ascii="Times New Roman" w:hAnsi="Times New Roman"/>
          <w:sz w:val="20"/>
        </w:rPr>
        <w:t>294</w:t>
      </w:r>
      <w:r>
        <w:rPr>
          <w:rFonts w:ascii="times new roman;times" w:hAnsi="times new roman;times"/>
          <w:sz w:val="20"/>
        </w:rPr>
        <w:t> </w:t>
      </w:r>
      <w:r>
        <w:rPr>
          <w:rFonts w:ascii="Times New Roman" w:hAnsi="Times New Roman"/>
          <w:sz w:val="20"/>
        </w:rPr>
        <w:t>shareholders of record. Each broker dealer or a clearing corporation that holds shares for customers is counted as a single shareholder of record.</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Dividends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Company paid a cash dividend of $0.07 per share of ClearOne common stock in the first quarter of 2018. On June 13, 2018, the Company announced the suspension of its dividend program until such time as the Company deems it appropriate to once again declare dividends.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Issuer Purchases of Equity Securities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None.</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 xml:space="preserve">Sales of Unregistered Securities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None.</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serif" w:hAnsi="Times New Roman;serif"/>
          <w:b/>
          <w:sz w:val="20"/>
        </w:rPr>
      </w:pPr>
      <w:r>
        <w:rPr>
          <w:rFonts w:ascii="Times New Roman;serif" w:hAnsi="Times New Roman;serif"/>
          <w:b/>
          <w:sz w:val="20"/>
        </w:rPr>
        <w:t>Equity Compensation Plan Information.</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serif" w:hAnsi="Times New Roman;serif"/>
          <w:sz w:val="20"/>
        </w:rPr>
      </w:pPr>
      <w:r>
        <w:rPr>
          <w:rFonts w:ascii="Times New Roman;serif" w:hAnsi="Times New Roman;serif"/>
          <w:sz w:val="20"/>
        </w:rPr>
        <w:t>Information about the Company’s equity compensation plans required by Item 201(d) of Regulation S-K is set forth under Part III, Item 12 of this Annual Report on Form 10-K.</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pPr>
      <w:hyperlink w:anchor="TOC">
        <w:bookmarkStart w:id="68" w:name="BJ_E6DCU6PUGG00000000000000000000"/>
        <w:bookmarkEnd w:id="68"/>
        <w:r>
          <w:rPr>
            <w:rStyle w:val="InternetLink"/>
            <w:rFonts w:ascii="Times New Roman" w:hAnsi="Times New Roman"/>
            <w:b/>
            <w:strike w:val="false"/>
            <w:dstrike w:val="false"/>
            <w:color w:val="000000"/>
            <w:sz w:val="20"/>
            <w:u w:val="none"/>
            <w:effect w:val="none"/>
          </w:rPr>
          <w:t>ITEM 6. RESERVED</w:t>
        </w:r>
      </w:hyperlink>
    </w:p>
    <w:p>
      <w:pPr>
        <w:pStyle w:val="TextBody"/>
        <w:spacing w:lineRule="auto" w:line="240" w:before="0" w:after="0"/>
        <w:ind w:left="0" w:right="0" w:hanging="0"/>
        <w:jc w:val="both"/>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29</w:t>
            </w:r>
          </w:p>
        </w:tc>
      </w:tr>
    </w:tbl>
    <w:p>
      <w:pPr>
        <w:pStyle w:val="HorizontalLine"/>
        <w:spacing w:lineRule="auto" w:line="240" w:before="0" w:after="0"/>
        <w:jc w:val="both"/>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pPr>
      <w:r>
        <w:rPr/>
      </w:r>
    </w:p>
    <w:p>
      <w:pPr>
        <w:pStyle w:val="TextBody"/>
        <w:spacing w:lineRule="auto" w:line="240" w:before="0" w:after="0"/>
        <w:ind w:left="0" w:right="0" w:hanging="0"/>
        <w:jc w:val="both"/>
        <w:rPr/>
      </w:pPr>
      <w:hyperlink w:anchor="TOC">
        <w:bookmarkStart w:id="69" w:name="BK_SAPU2DDP7K00000000000000000000"/>
        <w:bookmarkEnd w:id="69"/>
        <w:r>
          <w:rPr>
            <w:rStyle w:val="InternetLink"/>
            <w:rFonts w:ascii="Times New Roman" w:hAnsi="Times New Roman"/>
            <w:b/>
            <w:strike w:val="false"/>
            <w:dstrike w:val="false"/>
            <w:color w:val="000000"/>
            <w:sz w:val="20"/>
            <w:u w:val="none"/>
            <w:effect w:val="none"/>
          </w:rPr>
          <w:t>ITEM 7. MANAGEMENT’S DISCUSSION AND ANALYSIS OF FINANCIAL CONDITION AND RESULTS OF OPERATIONS</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OVERVIEW</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ClearOne is a global Company that designs, develops and sells conferencing, collaboration, and AV networking solutions for voice and visual communications. The performance and simplicity of our advanced, comprehensive solutions offer a high</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level</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of functionality, reliability and scalability. </w:t>
      </w:r>
      <w:r>
        <w:rPr>
          <w:rFonts w:ascii="Times New Roman" w:hAnsi="Times New Roman"/>
          <w:b w:val="false"/>
          <w:i w:val="false"/>
          <w:caps w:val="false"/>
          <w:smallCaps w:val="false"/>
          <w:color w:val="000000"/>
          <w:spacing w:val="0"/>
          <w:sz w:val="20"/>
        </w:rPr>
        <w:t>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times" w:hAnsi="times new roman;times"/>
          <w:sz w:val="20"/>
        </w:rPr>
      </w:pPr>
      <w:r>
        <w:rPr>
          <w:rFonts w:ascii="Times New Roman;serif" w:hAnsi="Times New Roman;serif"/>
          <w:color w:val="000000"/>
          <w:sz w:val="20"/>
        </w:rPr>
        <w:t>In early January 2022, we introduced DIALOG</w:t>
      </w:r>
      <w:r>
        <w:rPr>
          <w:rFonts w:ascii="Times New Roman;serif" w:hAnsi="Times New Roman;serif"/>
          <w:color w:val="000000"/>
          <w:position w:val="4"/>
          <w:sz w:val="10"/>
          <w:sz w:val="13"/>
        </w:rPr>
        <w:t>®</w:t>
      </w:r>
      <w:r>
        <w:rPr>
          <w:rFonts w:ascii="times new roman;times" w:hAnsi="times new roman;times"/>
          <w:color w:val="000000"/>
          <w:sz w:val="20"/>
        </w:rPr>
        <w:t> </w:t>
      </w:r>
      <w:r>
        <w:rPr>
          <w:rFonts w:ascii="Times New Roman;serif" w:hAnsi="Times New Roman;serif"/>
          <w:color w:val="000000"/>
          <w:sz w:val="20"/>
        </w:rPr>
        <w:t>10 USB, the industry's only pro-quality, single-channel wireless USB microphone system offering professional-quality audio with USB connectivity for webcasting and cloud-based collaboration. In March 2022, this new USB wireless mic system won the 2022 NSCA Excellence in Product Innovation Award. One of only seven winners in this prestigious award program, the DIALOG 10 USB is the industry’s only pro-quality single-channel wireless microphone system with USB connectivity for webcasting and cloud-based collaboration such as Microsoft Teams, Zoom, WebEx, and GotoMeeting. DIALOG 10 USB won its second award in May 2022 by winning the 2022 Top New Technology (TNT) Award in the Microphone category. In June 2022, </w:t>
      </w:r>
      <w:r>
        <w:rPr>
          <w:rFonts w:ascii="Times New Roman;serif" w:hAnsi="Times New Roman;serif"/>
          <w:b w:val="false"/>
          <w:i w:val="false"/>
          <w:caps w:val="false"/>
          <w:smallCaps w:val="false"/>
          <w:color w:val="000000"/>
          <w:spacing w:val="0"/>
          <w:sz w:val="20"/>
        </w:rPr>
        <w:t>at </w:t>
      </w:r>
      <w:r>
        <w:rPr>
          <w:rFonts w:ascii="Times New Roman;serif" w:hAnsi="Times New Roman;serif"/>
          <w:color w:val="000000"/>
          <w:sz w:val="20"/>
        </w:rPr>
        <w:t>Infocomm</w:t>
      </w:r>
      <w:r>
        <w:rPr>
          <w:rFonts w:ascii="Times New Roman;serif" w:hAnsi="Times New Roman;serif"/>
          <w:caps w:val="false"/>
          <w:smallCaps w:val="false"/>
          <w:color w:val="000000"/>
          <w:spacing w:val="0"/>
          <w:sz w:val="20"/>
        </w:rPr>
        <w:t> </w:t>
      </w:r>
      <w:r>
        <w:rPr>
          <w:rFonts w:ascii="Times New Roman;serif" w:hAnsi="Times New Roman;serif"/>
          <w:b w:val="false"/>
          <w:i w:val="false"/>
          <w:caps w:val="false"/>
          <w:smallCaps w:val="false"/>
          <w:color w:val="000000"/>
          <w:spacing w:val="0"/>
          <w:sz w:val="20"/>
        </w:rPr>
        <w:t>2022 in Las Vegas, Nevada, </w:t>
      </w:r>
      <w:r>
        <w:rPr>
          <w:rFonts w:ascii="Times New Roman;serif" w:hAnsi="Times New Roman;serif"/>
          <w:color w:val="000000"/>
          <w:sz w:val="20"/>
        </w:rPr>
        <w:t>DIALOG 10 USB won two additional awards - Commercial Integrator 2022 BEST Award in the Microphones category and 2022 Sound &amp; Video Contractor Magazine Infocomm Best in Market Award.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t>In January 2022, at the Las Vegas Customer Electronics Show, CES 2022, the world’s most influential annual tech event, our home office Aura™ Xceed™ BMA was singled out for exceptional innovation with a CES Picks Award, presented by Residential Systems magazine.</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t>In early February 2022, our Versa Lite CT, a USB audio-enabled Beamforming Ceiling Tile Microphone that brings cost-effective and superb professional conferencing audio to small- and mid-sized spaces received Google Meet certification. Google Meet ranks among the top 5 for growth in the cloud meetings and team collaboration market according to Frost &amp; Sullivan.</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color w:val="000000"/>
          <w:sz w:val="20"/>
        </w:rPr>
        <w:t>In early February 2022, we were awarded a new patent for a beamforming microphone array system with distributed processing. This patent claims a ceiling tile microphone array that can be physically separated from the processors running the beamforming </w:t>
      </w:r>
      <w:r>
        <w:rPr>
          <w:rFonts w:ascii="Times New Roman;serif" w:hAnsi="Times New Roman;serif"/>
          <w:color w:val="000000"/>
          <w:sz w:val="20"/>
        </w:rPr>
        <w:t>algorithm. It enables a single computing engine to run multiple beamforming algorithms for multiple microphone arrays, which can lower the overall system cost compared to an integrated design that is limited to a single computing engine with a single microphone array.  Later in the same month another ClearOne patent was granted which is related to beamforming microphone arrays with acoustic echo cancellation. The patent, titled “Band-Limited Beamforming Microphone Array with Acoustic Echo Cancellation," describes, among other things, a microphone array with one set of microphones used for beamforming, and one or more additional microphones that are not used for beamforming, but instead are used to enhance the audio performance of the microphone array.</w:t>
      </w:r>
    </w:p>
    <w:p>
      <w:pPr>
        <w:pStyle w:val="TextBody"/>
        <w:spacing w:lineRule="auto"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r>
    </w:p>
    <w:p>
      <w:pPr>
        <w:pStyle w:val="TextBody"/>
        <w:widowControl/>
        <w:spacing w:lineRule="auto" w:line="288" w:before="0" w:after="0"/>
        <w:ind w:left="0" w:right="0" w:hanging="0"/>
        <w:jc w:val="both"/>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In March 2022, we were awarded a new patent titled “Conferencing Apparatus”, that describes, among other things, a beamforming microphone array with acoustic echo cancellation and a set of configurable fixed beams. The patent goes on to describe performing a direction of arrival determination, and in response to that determination, selecting one or more of those fixed beams for audio transmission.</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30</w:t>
            </w:r>
          </w:p>
        </w:tc>
      </w:tr>
    </w:tbl>
    <w:p>
      <w:pPr>
        <w:pStyle w:val="TextBody"/>
        <w:spacing w:lineRule="auto" w:line="240"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both"/>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200" w:after="0"/>
        <w:ind w:left="0" w:right="0" w:hanging="0"/>
        <w:jc w:val="center"/>
        <w:rPr/>
      </w:pPr>
      <w:r>
        <w:rPr/>
        <w:t> </w:t>
      </w: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widowControl/>
        <w:spacing w:lineRule="auto" w:line="288" w:before="0" w:after="0"/>
        <w:ind w:left="0" w:right="0" w:hanging="0"/>
        <w:jc w:val="both"/>
        <w:rPr/>
      </w:pPr>
      <w:r>
        <w:rPr/>
      </w:r>
    </w:p>
    <w:p>
      <w:pPr>
        <w:pStyle w:val="TextBody"/>
        <w:widowControl/>
        <w:spacing w:lineRule="auto" w:line="288" w:before="0" w:after="0"/>
        <w:ind w:left="0" w:right="0" w:hanging="0"/>
        <w:jc w:val="both"/>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In April 2022, a ClearOne patent issued titled “Ceiling Tile Microphone,” that claims, among other things, a ceiling tile beamforming microphone that is powered through Power over Ethernet (PoE). Later in the same month another ClearOne patent was granted, also titled “Ceiling Tile Microphone,” that claims, among other things, a ceiling tile microphone that includes beamforming, acoustic echo cancellation, and auto voice tracking. </w:t>
      </w:r>
    </w:p>
    <w:p>
      <w:pPr>
        <w:pStyle w:val="TextBody"/>
        <w:widowControl/>
        <w:spacing w:lineRule="auto" w:line="288" w:before="0" w:after="0"/>
        <w:ind w:left="0" w:right="0" w:hanging="0"/>
        <w:jc w:val="both"/>
        <w:rPr>
          <w:b w:val="false"/>
          <w:i w:val="false"/>
          <w:caps w:val="false"/>
          <w:smallCaps w:val="false"/>
          <w:strike w:val="false"/>
          <w:dstrike w:val="false"/>
          <w:color w:val="000000"/>
          <w:sz w:val="20"/>
          <w:u w:val="none"/>
          <w:effect w:val="none"/>
        </w:rPr>
      </w:pPr>
      <w:r>
        <w:rPr>
          <w:b w:val="false"/>
          <w:i w:val="false"/>
          <w:caps w:val="false"/>
          <w:smallCaps w:val="false"/>
          <w:strike w:val="false"/>
          <w:dstrike w:val="false"/>
          <w:color w:val="000000"/>
          <w:sz w:val="20"/>
          <w:u w:val="none"/>
          <w:effect w:val="none"/>
        </w:rPr>
      </w:r>
    </w:p>
    <w:p>
      <w:pPr>
        <w:pStyle w:val="TextBody"/>
        <w:widowControl/>
        <w:spacing w:lineRule="auto" w:line="288" w:before="0" w:after="0"/>
        <w:ind w:left="0" w:right="0" w:hanging="0"/>
        <w:jc w:val="both"/>
        <w:rPr>
          <w:b w:val="false"/>
          <w:i w:val="false"/>
          <w:caps w:val="false"/>
          <w:smallCaps w:val="false"/>
          <w:strike w:val="false"/>
          <w:dstrike w:val="false"/>
          <w:color w:val="000000"/>
          <w:spacing w:val="0"/>
          <w:sz w:val="20"/>
          <w:u w:val="none"/>
          <w:effect w:val="none"/>
        </w:rPr>
      </w:pPr>
      <w:r>
        <w:rPr>
          <w:b w:val="false"/>
          <w:i w:val="false"/>
          <w:caps w:val="false"/>
          <w:smallCaps w:val="false"/>
          <w:strike w:val="false"/>
          <w:dstrike w:val="false"/>
          <w:color w:val="000000"/>
          <w:spacing w:val="0"/>
          <w:sz w:val="20"/>
          <w:u w:val="none"/>
          <w:effect w:val="none"/>
        </w:rPr>
        <w:t>In May 2022, for the sixth time since its groundbreaking debut in 2020, the ClearOne BMA 360 microphone has been recognized by the world’s most discerning AV buyers with the prestigious Best in Market Award at ISE 2022. The microphone was one of only three winners in this year’s award program. The Best in Market Award program is presented by leading industry publication Sound &amp; Video Contractor at Integrated Systems Europe (ISE), the world’s largest AV and systems integration show. The program recognizes the most innovative technology within the AV industry, and the judges include respected AV and IT managers, directors, engineers, industry consultants and integrators.</w:t>
      </w:r>
    </w:p>
    <w:p>
      <w:pPr>
        <w:pStyle w:val="TextBody"/>
        <w:spacing w:lineRule="auto" w:line="240" w:before="0" w:after="0"/>
        <w:ind w:left="0" w:right="0" w:hanging="0"/>
        <w:jc w:val="both"/>
        <w:rPr>
          <w:sz w:val="20"/>
        </w:rPr>
      </w:pPr>
      <w:r>
        <w:rPr>
          <w:sz w:val="20"/>
        </w:rPr>
      </w:r>
    </w:p>
    <w:p>
      <w:pPr>
        <w:pStyle w:val="TextBody"/>
        <w:spacing w:lineRule="auto" w:line="240" w:before="0" w:after="0"/>
        <w:ind w:left="0" w:right="0" w:hanging="0"/>
        <w:jc w:val="both"/>
        <w:rPr>
          <w:sz w:val="20"/>
        </w:rPr>
      </w:pPr>
      <w:r>
        <w:rPr>
          <w:sz w:val="20"/>
        </w:rPr>
        <w:t>In July 2022, we introduced the CONVERGENCE® InSite server network hardware that enables remote device management by facilitating bi-directional communications between its Cloud or Enterprise AV Manager and on-site ClearOne Pro Audio products.</w:t>
      </w:r>
    </w:p>
    <w:p>
      <w:pPr>
        <w:pStyle w:val="TextBody"/>
        <w:spacing w:lineRule="auto" w:line="240" w:before="0" w:after="0"/>
        <w:ind w:left="0" w:right="0" w:hanging="0"/>
        <w:jc w:val="both"/>
        <w:rPr>
          <w:sz w:val="20"/>
        </w:rPr>
      </w:pPr>
      <w:r>
        <w:rPr>
          <w:sz w:val="20"/>
        </w:rPr>
      </w:r>
    </w:p>
    <w:p>
      <w:pPr>
        <w:pStyle w:val="TextBody"/>
        <w:spacing w:lineRule="auto" w:line="240" w:before="0" w:after="0"/>
        <w:ind w:left="0" w:right="0" w:hanging="0"/>
        <w:jc w:val="both"/>
        <w:rPr>
          <w:sz w:val="20"/>
        </w:rPr>
      </w:pPr>
      <w:r>
        <w:rPr>
          <w:sz w:val="20"/>
        </w:rPr>
        <w:t>At the end of October 2022, we announced the introduction of UNITE 60, a new wide angle 4K USB camera featuring AI-powered smart face and voice tracking, along with electronic PTZ (pan/tilt/zoom) capabilities. With a 120-degree field of view, and a plug-and-play USB 3.0 connection for video, control, and power, the new UNITE® 60 camera is ideally suited for rooms such as executive offices, huddle rooms, or smaller conference rooms. The UNITE 60 camera leverages a wide dynamic range and super-high SNR with advanced 2D and 3D noise reduction to deliver excellent visuals across varied lighting conditions. In addition to the AI auto-tracking feature, the camera can also be controlled via IR remote or UVC protocol. The camera can be paired with a wide variety of microphones and speakers.  </w:t>
      </w:r>
    </w:p>
    <w:p>
      <w:pPr>
        <w:pStyle w:val="TextBody"/>
        <w:spacing w:lineRule="auto" w:line="240" w:before="0" w:after="0"/>
        <w:ind w:left="0" w:right="0" w:hanging="0"/>
        <w:jc w:val="both"/>
        <w:rPr>
          <w:sz w:val="20"/>
        </w:rPr>
      </w:pPr>
      <w:r>
        <w:rPr>
          <w:sz w:val="20"/>
        </w:rPr>
      </w:r>
    </w:p>
    <w:p>
      <w:pPr>
        <w:pStyle w:val="TextBody"/>
        <w:spacing w:lineRule="auto" w:line="240" w:before="0" w:after="0"/>
        <w:ind w:left="0" w:right="0" w:hanging="0"/>
        <w:jc w:val="both"/>
        <w:rPr>
          <w:sz w:val="20"/>
        </w:rPr>
      </w:pPr>
      <w:r>
        <w:rPr>
          <w:sz w:val="20"/>
        </w:rPr>
        <w:t>In November 2022, we announced the introduction of UNITE 160, a new camera that offers cutting-edge 4K UHD performance with 12x optical zoom capabilities, remote-controlled mechanical pan and tilt as well as AI-powered smart face tracking and auto framing. This camera is designed to capture all participants in large rooms while enabling automated focus on a moving presenter, making it ideal for larger spaces including board rooms, training centers, conference rooms and classrooms. This new camera offers an integrated AI-based camera tracking solution for rooms that are a fit for ClearOne's single Versa Lite CT and a single camera. This new lower-cost camera tracking configuration eliminates the need for a DSP mixer and a control system.</w:t>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lineRule="auto" w:line="288" w:before="0" w:after="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w:t>
      </w:r>
      <w:r>
        <w:rPr>
          <w:rFonts w:ascii="Times New Roman" w:hAnsi="Times New Roman"/>
          <w:b w:val="false"/>
          <w:i w:val="false"/>
          <w:caps w:val="false"/>
          <w:smallCaps w:val="false"/>
          <w:strike w:val="false"/>
          <w:dstrike w:val="false"/>
          <w:color w:val="000000"/>
          <w:spacing w:val="0"/>
          <w:sz w:val="20"/>
          <w:u w:val="none"/>
          <w:effect w:val="none"/>
        </w:rPr>
        <w:t>hroughout 2022, we continued our efforts to protect our intellectual property rights, including through litigation.  On December 9, 2022 we entered into a confidential settlement and license agreement under which we received a one-time settlement payment of $55 million in January 2023. Under the terms of this agreement, both parties dismissed with prejudice all the litigations between the parties and released all claims against each other in connection with the litigations. The parties also agreed to cross-license certain patents to each other and certain covenants not to sue. See also Part II, Item 1. Legal Proceedings.</w:t>
      </w:r>
      <w:r>
        <w:rPr>
          <w:b w:val="false"/>
          <w:i w:val="false"/>
          <w:caps w:val="false"/>
          <w:smallCaps w:val="false"/>
          <w:strike w:val="false"/>
          <w:dstrike w:val="false"/>
          <w:color w:val="000000"/>
          <w:spacing w:val="0"/>
          <w:sz w:val="20"/>
          <w:u w:val="none"/>
          <w:effect w:val="none"/>
        </w:rPr>
        <w:t> </w:t>
      </w:r>
    </w:p>
    <w:p>
      <w:pPr>
        <w:pStyle w:val="TextBody"/>
        <w:widowControl/>
        <w:spacing w:lineRule="auto" w:line="288" w:before="0" w:after="0"/>
        <w:ind w:left="0" w:right="0" w:hanging="0"/>
        <w:jc w:val="both"/>
        <w:rPr/>
      </w:pPr>
      <w:r>
        <w:rPr/>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also continued our programs to cut costs and to speed up product development that we believe will enable us to get back to a growth path.</w:t>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lineRule="auto" w:line="288" w:before="0" w:after="0"/>
        <w:ind w:left="0" w:right="0" w:hanging="0"/>
        <w:jc w:val="both"/>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During </w:t>
      </w:r>
      <w:r>
        <w:rPr>
          <w:rFonts w:ascii="times new roman;times" w:hAnsi="times new roman;times"/>
          <w:b w:val="false"/>
          <w:i w:val="false"/>
          <w:caps w:val="false"/>
          <w:smallCaps w:val="false"/>
          <w:strike w:val="false"/>
          <w:dstrike w:val="false"/>
          <w:color w:val="000000"/>
          <w:spacing w:val="0"/>
          <w:sz w:val="20"/>
          <w:u w:val="none"/>
          <w:effect w:val="none"/>
        </w:rPr>
        <w:t>2022</w:t>
      </w:r>
      <w:r>
        <w:rPr>
          <w:rFonts w:ascii="times new roman;times" w:hAnsi="times new roman;times"/>
          <w:b w:val="false"/>
          <w:i w:val="false"/>
          <w:caps w:val="false"/>
          <w:smallCaps w:val="false"/>
          <w:strike w:val="false"/>
          <w:dstrike w:val="false"/>
          <w:color w:val="000000"/>
          <w:spacing w:val="0"/>
          <w:sz w:val="20"/>
          <w:u w:val="none"/>
          <w:effect w:val="none"/>
        </w:rPr>
        <w:t>, our overall revenue of $</w:t>
      </w:r>
      <w:r>
        <w:rPr>
          <w:rFonts w:ascii="times new roman;times" w:hAnsi="times new roman;times"/>
          <w:b w:val="false"/>
          <w:i w:val="false"/>
          <w:caps w:val="false"/>
          <w:smallCaps w:val="false"/>
          <w:strike w:val="false"/>
          <w:dstrike w:val="false"/>
          <w:color w:val="000000"/>
          <w:spacing w:val="0"/>
          <w:sz w:val="20"/>
          <w:u w:val="none"/>
          <w:effect w:val="none"/>
        </w:rPr>
        <w:t>25.2</w:t>
      </w:r>
      <w:r>
        <w:rPr>
          <w:rFonts w:ascii="times new roman;times" w:hAnsi="times new roman;times"/>
          <w:b w:val="false"/>
          <w:i w:val="false"/>
          <w:caps w:val="false"/>
          <w:smallCaps w:val="false"/>
          <w:strike w:val="false"/>
          <w:dstrike w:val="false"/>
          <w:color w:val="000000"/>
          <w:spacing w:val="0"/>
          <w:sz w:val="20"/>
          <w:u w:val="none"/>
          <w:effect w:val="none"/>
        </w:rPr>
        <w:t> million decreased by </w:t>
      </w:r>
      <w:r>
        <w:rPr>
          <w:rFonts w:ascii="times new roman;times" w:hAnsi="times new roman;times"/>
          <w:b w:val="false"/>
          <w:i w:val="false"/>
          <w:caps w:val="false"/>
          <w:smallCaps w:val="false"/>
          <w:strike w:val="false"/>
          <w:dstrike w:val="false"/>
          <w:color w:val="000000"/>
          <w:spacing w:val="0"/>
          <w:sz w:val="20"/>
          <w:u w:val="none"/>
          <w:effect w:val="none"/>
        </w:rPr>
        <w:t>13</w:t>
      </w:r>
      <w:r>
        <w:rPr>
          <w:rFonts w:ascii="times new roman;times" w:hAnsi="times new roman;times"/>
          <w:b w:val="false"/>
          <w:i w:val="false"/>
          <w:caps w:val="false"/>
          <w:smallCaps w:val="false"/>
          <w:strike w:val="false"/>
          <w:dstrike w:val="false"/>
          <w:color w:val="000000"/>
          <w:spacing w:val="0"/>
          <w:sz w:val="20"/>
          <w:u w:val="none"/>
          <w:effect w:val="none"/>
        </w:rPr>
        <w:t>% when compared to revenue during </w:t>
      </w:r>
      <w:r>
        <w:rPr>
          <w:rFonts w:ascii="times new roman;times" w:hAnsi="times new roman;times"/>
          <w:b w:val="false"/>
          <w:i w:val="false"/>
          <w:caps w:val="false"/>
          <w:smallCaps w:val="false"/>
          <w:strike w:val="false"/>
          <w:dstrike w:val="false"/>
          <w:color w:val="000000"/>
          <w:spacing w:val="0"/>
          <w:sz w:val="20"/>
          <w:u w:val="none"/>
          <w:effect w:val="none"/>
        </w:rPr>
        <w:t>2021</w:t>
      </w:r>
      <w:r>
        <w:rPr>
          <w:rFonts w:ascii="times new roman;times" w:hAnsi="times new roman;times"/>
          <w:b w:val="false"/>
          <w:i w:val="false"/>
          <w:caps w:val="false"/>
          <w:smallCaps w:val="false"/>
          <w:strike w:val="false"/>
          <w:dstrike w:val="false"/>
          <w:color w:val="000000"/>
          <w:spacing w:val="0"/>
          <w:sz w:val="20"/>
          <w:u w:val="none"/>
          <w:effect w:val="none"/>
        </w:rPr>
        <w:t>. </w:t>
      </w:r>
      <w:r>
        <w:rPr>
          <w:rFonts w:ascii="times new roman;times" w:hAnsi="times new roman;times"/>
          <w:b w:val="false"/>
          <w:i w:val="false"/>
          <w:caps w:val="false"/>
          <w:smallCaps w:val="false"/>
          <w:strike w:val="false"/>
          <w:dstrike w:val="false"/>
          <w:color w:val="000000"/>
          <w:spacing w:val="0"/>
          <w:sz w:val="20"/>
          <w:u w:val="none"/>
          <w:effect w:val="none"/>
        </w:rPr>
        <w:t>The decrease in revenues from video products and microphones were partially offset by an increase in revenues from audio conferencing. The revenue decline was primarily due to the decline in demand for video products and </w:t>
      </w:r>
      <w:r>
        <w:rPr>
          <w:rFonts w:ascii="Times New Roman;serif" w:hAnsi="Times New Roman;serif"/>
          <w:b w:val="false"/>
          <w:i w:val="false"/>
          <w:caps w:val="false"/>
          <w:smallCaps w:val="false"/>
          <w:strike w:val="false"/>
          <w:dstrike w:val="false"/>
          <w:color w:val="000000"/>
          <w:spacing w:val="0"/>
          <w:sz w:val="20"/>
          <w:u w:val="none"/>
          <w:effect w:val="none"/>
        </w:rPr>
        <w:t>due to our inability in the second half of 2022 to source adequate inventory to meet the demand for professional audio products and BMA due to the ongoing transition of manufacturing of our products from China to Singapore by our EMS provider and the increased costs associated with the electronic raw material supply shortages that have affected the global manufacturing of high tech products.</w:t>
      </w:r>
      <w:r>
        <w:rPr>
          <w:rFonts w:ascii="times new roman;times" w:hAnsi="times new roman;times"/>
          <w:b w:val="false"/>
          <w:i w:val="false"/>
          <w:caps w:val="false"/>
          <w:smallCaps w:val="false"/>
          <w:strike w:val="false"/>
          <w:dstrike w:val="false"/>
          <w:color w:val="000000"/>
          <w:spacing w:val="0"/>
          <w:sz w:val="20"/>
          <w:u w:val="none"/>
          <w:effect w:val="none"/>
        </w:rPr>
        <w:t> </w:t>
      </w:r>
      <w:r>
        <w:rPr>
          <w:rFonts w:ascii="Times New Roman;serif" w:hAnsi="Times New Roman;serif"/>
          <w:b w:val="false"/>
          <w:i w:val="false"/>
          <w:caps w:val="false"/>
          <w:smallCaps w:val="false"/>
          <w:strike w:val="false"/>
          <w:dstrike w:val="false"/>
          <w:color w:val="000000"/>
          <w:spacing w:val="0"/>
          <w:sz w:val="20"/>
          <w:u w:val="none"/>
          <w:effect w:val="none"/>
        </w:rPr>
        <w:t>We expect these supply shortages and associated increased costs to continue through at least the first half of 2023.</w:t>
      </w:r>
      <w:r>
        <w:rPr>
          <w:rFonts w:ascii="times new roman;times" w:hAnsi="times new roman;times"/>
          <w:b w:val="false"/>
          <w:i w:val="false"/>
          <w:caps w:val="false"/>
          <w:smallCaps w:val="false"/>
          <w:strike w:val="false"/>
          <w:dstrike w:val="false"/>
          <w:color w:val="000000"/>
          <w:spacing w:val="0"/>
          <w:sz w:val="20"/>
          <w:u w:val="none"/>
          <w:effect w:val="none"/>
        </w:rPr>
        <w:t> </w:t>
      </w:r>
    </w:p>
    <w:p>
      <w:pPr>
        <w:pStyle w:val="TextBody"/>
        <w:widowControl/>
        <w:spacing w:lineRule="auto" w:line="288"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31</w:t>
            </w:r>
          </w:p>
        </w:tc>
      </w:tr>
    </w:tbl>
    <w:p>
      <w:pPr>
        <w:pStyle w:val="TextBody"/>
        <w:spacing w:lineRule="auto" w:line="240"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both"/>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88" w:before="14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widowControl/>
        <w:spacing w:lineRule="auto" w:line="288" w:before="0" w:after="0"/>
        <w:ind w:left="0" w:right="0" w:hanging="0"/>
        <w:jc w:val="both"/>
        <w:rPr/>
      </w:pPr>
      <w:r>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gross profit margin decreased to 38</w:t>
      </w:r>
      <w:r>
        <w:rPr>
          <w:rFonts w:ascii="times new roman;times" w:hAnsi="times new roman;times"/>
          <w:b w:val="false"/>
          <w:i w:val="false"/>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xml:space="preserve"> during </w:t>
      </w:r>
      <w:r>
        <w:rPr>
          <w:rFonts w:ascii="times new roman;times" w:hAnsi="times new roman;times"/>
          <w:b w:val="false"/>
          <w:i w:val="false"/>
          <w:caps w:val="false"/>
          <w:smallCaps w:val="false"/>
          <w:color w:val="000000"/>
          <w:spacing w:val="0"/>
          <w:sz w:val="20"/>
        </w:rPr>
        <w:t>2022</w:t>
      </w:r>
      <w:r>
        <w:rPr>
          <w:rFonts w:ascii="times new roman;times" w:hAnsi="times new roman;times"/>
          <w:b w:val="false"/>
          <w:i w:val="false"/>
          <w:caps w:val="false"/>
          <w:smallCaps w:val="false"/>
          <w:color w:val="000000"/>
          <w:spacing w:val="0"/>
          <w:sz w:val="20"/>
        </w:rPr>
        <w:t> from </w:t>
      </w:r>
      <w:r>
        <w:rPr>
          <w:rFonts w:ascii="times new roman;times" w:hAnsi="times new roman;times"/>
          <w:b w:val="false"/>
          <w:i w:val="false"/>
          <w:caps w:val="false"/>
          <w:smallCaps w:val="false"/>
          <w:color w:val="000000"/>
          <w:spacing w:val="0"/>
          <w:sz w:val="20"/>
        </w:rPr>
        <w:t>41%</w:t>
      </w:r>
      <w:r>
        <w:rPr>
          <w:rFonts w:ascii="times new roman;times" w:hAnsi="times new roman;times"/>
          <w:b w:val="false"/>
          <w:i w:val="false"/>
          <w:caps w:val="false"/>
          <w:smallCaps w:val="false"/>
          <w:color w:val="000000"/>
          <w:spacing w:val="0"/>
          <w:sz w:val="20"/>
        </w:rPr>
        <w:t> in </w:t>
      </w:r>
      <w:r>
        <w:rPr>
          <w:rFonts w:ascii="times new roman;times" w:hAnsi="times new roman;times"/>
          <w:b w:val="false"/>
          <w:i w:val="false"/>
          <w:caps w:val="false"/>
          <w:smallCaps w:val="false"/>
          <w:color w:val="000000"/>
          <w:spacing w:val="0"/>
          <w:sz w:val="20"/>
        </w:rPr>
        <w:t>2021</w:t>
      </w:r>
      <w:r>
        <w:rPr>
          <w:rFonts w:ascii="times new roman;times" w:hAnsi="times new roman;times"/>
          <w:b w:val="false"/>
          <w:i w:val="false"/>
          <w:caps w:val="false"/>
          <w:smallCaps w:val="false"/>
          <w:color w:val="000000"/>
          <w:spacing w:val="0"/>
          <w:sz w:val="20"/>
        </w:rPr>
        <w:t>. Net loss of $7</w:t>
      </w:r>
      <w:r>
        <w:rPr>
          <w:rFonts w:ascii="times new roman;times" w:hAnsi="times new roman;times"/>
          <w:b w:val="false"/>
          <w:i w:val="false"/>
          <w:caps w:val="false"/>
          <w:smallCaps w:val="false"/>
          <w:color w:val="000000"/>
          <w:spacing w:val="0"/>
          <w:sz w:val="20"/>
        </w:rPr>
        <w:t>.7</w:t>
      </w:r>
      <w:r>
        <w:rPr>
          <w:rFonts w:ascii="times new roman;times" w:hAnsi="times new roman;times"/>
          <w:b w:val="false"/>
          <w:i w:val="false"/>
          <w:caps w:val="false"/>
          <w:smallCaps w:val="false"/>
          <w:color w:val="000000"/>
          <w:spacing w:val="0"/>
          <w:sz w:val="20"/>
        </w:rPr>
        <w:t xml:space="preserve"> million in </w:t>
      </w:r>
      <w:r>
        <w:rPr>
          <w:rFonts w:ascii="times new roman;times" w:hAnsi="times new roman;times"/>
          <w:b w:val="false"/>
          <w:i w:val="false"/>
          <w:caps w:val="false"/>
          <w:smallCaps w:val="false"/>
          <w:color w:val="000000"/>
          <w:spacing w:val="0"/>
          <w:sz w:val="20"/>
        </w:rPr>
        <w:t>2021</w:t>
      </w:r>
      <w:r>
        <w:rPr>
          <w:rFonts w:ascii="times new roman;times" w:hAnsi="times new roman;times"/>
          <w:b w:val="false"/>
          <w:i w:val="false"/>
          <w:caps w:val="false"/>
          <w:smallCaps w:val="false"/>
          <w:color w:val="000000"/>
          <w:spacing w:val="0"/>
          <w:sz w:val="20"/>
        </w:rPr>
        <w:t xml:space="preserve"> changed to net income of $21.6 million in </w:t>
      </w:r>
      <w:r>
        <w:rPr>
          <w:rFonts w:ascii="times new roman;times" w:hAnsi="times new roman;times"/>
          <w:b w:val="false"/>
          <w:i w:val="false"/>
          <w:caps w:val="false"/>
          <w:smallCaps w:val="false"/>
          <w:color w:val="000000"/>
          <w:spacing w:val="0"/>
          <w:sz w:val="20"/>
        </w:rPr>
        <w:t>2022</w:t>
      </w:r>
      <w:r>
        <w:rPr>
          <w:rFonts w:ascii="times new roman;times" w:hAnsi="times new roman;times"/>
          <w:b w:val="false"/>
          <w:i w:val="false"/>
          <w:caps w:val="false"/>
          <w:smallCaps w:val="false"/>
          <w:color w:val="000000"/>
          <w:spacing w:val="0"/>
          <w:sz w:val="20"/>
        </w:rPr>
        <w:t>. The change from net loss to net income was primarily due to the recognition of a gain of $33.6 million and included under other income related to the one-time legal settlement receivable of $55 million net of unamortized capitalized legal expenses of $21.4 million. This gain was partially offset by operating loss of $7.2 million and a tax provision of $6.9 million.</w:t>
      </w:r>
    </w:p>
    <w:p>
      <w:pPr>
        <w:pStyle w:val="TextBody"/>
        <w:widowControl/>
        <w:spacing w:lineRule="auto" w:line="288" w:before="0" w:after="0"/>
        <w:ind w:left="0" w:right="0" w:hanging="0"/>
        <w:jc w:val="both"/>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r>
    </w:p>
    <w:p>
      <w:pPr>
        <w:pStyle w:val="TextBody"/>
        <w:widowControl/>
        <w:spacing w:lineRule="auto" w:line="288" w:before="0" w:after="0"/>
        <w:ind w:left="0" w:right="0" w:hanging="0"/>
        <w:jc w:val="both"/>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Industry conditions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 funded start-ups and private companies willing to fund cumulative cash losses in order to</w:t>
      </w:r>
      <w:r>
        <w:rPr>
          <w:rFonts w:ascii="times new roman;times" w:hAnsi="times new roman;times"/>
          <w:sz w:val="20"/>
        </w:rPr>
        <w:t> </w:t>
      </w:r>
      <w:r>
        <w:rPr>
          <w:rFonts w:ascii="Times New Roman" w:hAnsi="Times New Roman"/>
          <w:sz w:val="20"/>
        </w:rPr>
        <w:t>gain market share and achieve certain non-financial goals. It has become increasingly important to have higher interoperability with other products in the audio visual market as well as with leading video conferencing service providers like Microsoft and Zoom.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i/>
          <w:sz w:val="20"/>
        </w:rPr>
      </w:pPr>
      <w:r>
        <w:rPr>
          <w:rFonts w:ascii="Times New Roman" w:hAnsi="Times New Roman"/>
          <w:i/>
          <w:sz w:val="20"/>
        </w:rPr>
        <w:t>Economic conditions, challenges and risks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audio-visual products market is characterized by intense competition and rapidly evolving technology. Our competitors vary within each product category. Our installed professional audio conferencing</w:t>
      </w:r>
      <w:r>
        <w:rPr>
          <w:rFonts w:ascii="times new roman;times" w:hAnsi="times new roman;times"/>
          <w:sz w:val="20"/>
        </w:rPr>
        <w:t xml:space="preserve"> </w:t>
      </w:r>
      <w:r>
        <w:rPr>
          <w:rFonts w:ascii="Times New Roman" w:hAnsi="Times New Roman"/>
          <w:sz w:val="20"/>
        </w:rPr>
        <w:t>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w:t>
      </w:r>
      <w:r>
        <w:rPr>
          <w:rFonts w:ascii="times new roman;times" w:hAnsi="times new roman;times"/>
          <w:sz w:val="20"/>
        </w:rPr>
        <w:t xml:space="preserve"> </w:t>
      </w:r>
      <w:r>
        <w:rPr>
          <w:rFonts w:ascii="Times New Roman" w:hAnsi="Times New Roman"/>
          <w:sz w:val="20"/>
        </w:rPr>
        <w:t>market, we face challenges to revenue growth due to the limited size of the market, pricing pressures from new competitors attracted to the commercial market due to higher margins, our limited ability to be interoperable with other audio visual products in the market, and the lack of certifications from Microsoft.</w:t>
      </w:r>
    </w:p>
    <w:p>
      <w:pPr>
        <w:pStyle w:val="TextBody"/>
        <w:spacing w:lineRule="auto" w:line="240" w:before="0" w:after="0"/>
        <w:ind w:left="0" w:right="0" w:hanging="0"/>
        <w:jc w:val="both"/>
        <w:rPr/>
      </w:pPr>
      <w:r>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video products and beamforming microphone arrays, especially highly advanced  BMA 360 and BMA-CT are critical to our long term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 conferencing products and microphones, and offering a wide range of innovative professional cameras will generate high growth in the near future. </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derive a significant portion of our revenue (approximately 52%</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 </w:t>
      </w:r>
      <w:r>
        <w:rPr>
          <w:rFonts w:ascii="Times New Roman" w:hAnsi="Times New Roman"/>
          <w:b w:val="false"/>
          <w:i w:val="false"/>
          <w:caps w:val="false"/>
          <w:smallCaps w:val="false"/>
          <w:color w:val="000000"/>
          <w:spacing w:val="0"/>
          <w:sz w:val="20"/>
        </w:rPr>
        <w:t>2022</w:t>
      </w:r>
      <w:r>
        <w:rPr>
          <w:rFonts w:ascii="Times New Roman" w:hAnsi="Times New Roman"/>
          <w:b w:val="false"/>
          <w:i w:val="false"/>
          <w:caps w:val="false"/>
          <w:smallCaps w:val="false"/>
          <w:color w:val="000000"/>
          <w:spacing w:val="0"/>
          <w:sz w:val="20"/>
        </w:rPr>
        <w:t>) from international operations and expect this trend to continue in the future. Most of our revenue from outside the U.S. is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billed in U.S. dollars and is not exposed to any significant currency risk. However, we are exposed to foreign exchange risk if the U.S. dollar is strong against other currencies as it will make U.S. Dollar denominated prices of our products less competitive.</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40" w:before="0" w:after="0"/>
        <w:ind w:left="0" w:right="0" w:hanging="0"/>
        <w:jc w:val="both"/>
        <w:rPr>
          <w:rFonts w:ascii="Times New Roman" w:hAnsi="Times New Roman"/>
          <w:sz w:val="20"/>
        </w:rPr>
      </w:pPr>
      <w:r>
        <w:rPr>
          <w:rFonts w:ascii="times new roman;times" w:hAnsi="times new roman;times"/>
          <w:b w:val="false"/>
          <w:i w:val="false"/>
          <w:caps w:val="false"/>
          <w:smallCaps w:val="false"/>
          <w:color w:val="000000"/>
          <w:spacing w:val="0"/>
          <w:sz w:val="20"/>
        </w:rPr>
        <w:t>In December 2019, a novel strain of coronavirus (“COVID-</w:t>
      </w:r>
      <w:r>
        <w:rPr>
          <w:rFonts w:ascii="Times New Roman" w:hAnsi="Times New Roman"/>
          <w:sz w:val="20"/>
        </w:rPr>
        <w:t>19</w:t>
      </w:r>
      <w:r>
        <w:rPr>
          <w:rFonts w:ascii="Times New Roman" w:hAnsi="Times New Roman"/>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started spreading from China and was declared a pandemic. The COVID-</w:t>
      </w:r>
      <w:r>
        <w:rPr>
          <w:rFonts w:ascii="Times New Roman" w:hAnsi="Times New Roman"/>
          <w:sz w:val="20"/>
        </w:rPr>
        <w:t>19</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pandemic caused severe global disruptions and had varying impact on our business.  The installed audio conferencing market was negatively impacted due to </w:t>
      </w:r>
      <w:r>
        <w:rPr>
          <w:rFonts w:ascii="Times New Roman" w:hAnsi="Times New Roman"/>
          <w:sz w:val="20"/>
        </w:rPr>
        <w:t>lockdowns</w:t>
      </w:r>
      <w:r>
        <w:rPr>
          <w:rFonts w:ascii="times new roman;times" w:hAnsi="times new roman;times"/>
          <w:b w:val="false"/>
          <w:i w:val="false"/>
          <w:caps w:val="false"/>
          <w:smallCaps w:val="false"/>
          <w:color w:val="000000"/>
          <w:spacing w:val="0"/>
          <w:sz w:val="20"/>
        </w:rPr>
        <w:t>, postponement of projects and restrictions on installers to visit commercial sites. On the other hand, COVID-</w:t>
      </w:r>
      <w:r>
        <w:rPr>
          <w:rFonts w:ascii="Times New Roman" w:hAnsi="Times New Roman"/>
          <w:sz w:val="20"/>
        </w:rPr>
        <w:t>19</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generated higher than normal demand in 2020 for our video products and personal conferencing products due to the significant expansion of work-from-home market. The extent of COVID-</w:t>
      </w:r>
      <w:r>
        <w:rPr>
          <w:rFonts w:ascii="Times New Roman" w:hAnsi="Times New Roman"/>
          <w:sz w:val="20"/>
        </w:rPr>
        <w:t>19</w:t>
      </w:r>
      <w:r>
        <w:rPr>
          <w:rFonts w:ascii="Times New Roman" w:hAnsi="Times New Roman"/>
          <w:caps w:val="false"/>
          <w:smallCaps w:val="false"/>
          <w:color w:val="000000"/>
          <w:spacing w:val="0"/>
          <w:sz w:val="20"/>
        </w:rPr>
        <w:t>’</w:t>
      </w:r>
      <w:r>
        <w:rPr>
          <w:rFonts w:ascii="times new roman;times" w:hAnsi="times new roman;times"/>
          <w:b w:val="false"/>
          <w:i w:val="false"/>
          <w:caps w:val="false"/>
          <w:smallCaps w:val="false"/>
          <w:color w:val="000000"/>
          <w:spacing w:val="0"/>
          <w:sz w:val="20"/>
        </w:rPr>
        <w:t>s effect on our operational and financial performance keeps evolving and depends on multiple factors including the severity and infectiousness of current and future virus strains, effectiveness of vaccines especially on novel strains of COVID-</w:t>
      </w:r>
      <w:r>
        <w:rPr>
          <w:rFonts w:ascii="Times New Roman" w:hAnsi="Times New Roman"/>
          <w:sz w:val="20"/>
        </w:rPr>
        <w:t>19</w:t>
      </w:r>
      <w:r>
        <w:rPr>
          <w:rFonts w:ascii="times new roman;times" w:hAnsi="times new roman;times"/>
          <w:b w:val="false"/>
          <w:i w:val="false"/>
          <w:caps w:val="false"/>
          <w:smallCaps w:val="false"/>
          <w:color w:val="000000"/>
          <w:spacing w:val="0"/>
          <w:sz w:val="20"/>
        </w:rPr>
        <w:t>, government regulations, </w:t>
      </w:r>
      <w:r>
        <w:rPr>
          <w:rFonts w:ascii="Times New Roman" w:hAnsi="Times New Roman"/>
          <w:sz w:val="20"/>
        </w:rPr>
        <w:t>etc</w:t>
      </w:r>
      <w:r>
        <w:rPr>
          <w:rFonts w:ascii="times new roman;times" w:hAnsi="times new roman;times"/>
          <w:b w:val="false"/>
          <w:i w:val="false"/>
          <w:caps w:val="false"/>
          <w:smallCaps w:val="false"/>
          <w:color w:val="000000"/>
          <w:spacing w:val="0"/>
          <w:sz w:val="20"/>
        </w:rPr>
        <w:t>., all of which are uncertain and difficult to predict considering the rapidly evolving landscape. Supply chain disruptions resulting from COVID-19 have caused significant fluctuations in our costs of goods resulting in a reduction of our gross margins in 2021 and 2022. We expect these fluctuations to continue in 2023. If the pandemic continues to be a severe worldwide health crisis, the disease could have a material adverse effect on our business, results of operations, financial condition and cash flows and adversely impact the trading price of our common stock.</w:t>
      </w:r>
    </w:p>
    <w:p>
      <w:pPr>
        <w:pStyle w:val="TextBody"/>
        <w:widowControl/>
        <w:spacing w:lineRule="auto" w:line="288" w:before="0" w:after="0"/>
        <w:ind w:left="0" w:right="0" w:hanging="0"/>
        <w:jc w:val="both"/>
        <w:rPr/>
      </w:pPr>
      <w:r>
        <w:rPr/>
      </w:r>
    </w:p>
    <w:p>
      <w:pPr>
        <w:pStyle w:val="TextBody"/>
        <w:widowControl/>
        <w:spacing w:lineRule="auto" w:line="288" w:before="0" w:after="0"/>
        <w:ind w:left="0" w:right="0" w:hanging="0"/>
        <w:jc w:val="both"/>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Deferred Revenue</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Deferred revenue increased from $54 thousand in 2021 to $63 thousand in 2022 due to a small increase in new subscriptions to the video conferencing software.</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32</w:t>
            </w:r>
          </w:p>
        </w:tc>
      </w:tr>
    </w:tbl>
    <w:p>
      <w:pPr>
        <w:pStyle w:val="TextBody"/>
        <w:spacing w:lineRule="auto" w:line="288"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both"/>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160" w:after="0"/>
        <w:ind w:left="0" w:right="0" w:hanging="0"/>
        <w:jc w:val="center"/>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DISCUSSION OF RESULTS OF OPERATIONS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following table sets forth certain items from our consolidated statements of operations and comprehensive income (loss) for the years ended December 31, 2022 and 2021, together with the percentage change each item represents. Throughout this discussion, we compare results of operations for the year ended December 31, 2022 (“2022</w:t>
      </w:r>
      <w:r>
        <w:rPr>
          <w:rFonts w:ascii="times new roman;times" w:hAnsi="times new roman;times"/>
          <w:sz w:val="20"/>
        </w:rPr>
        <w:t>”</w:t>
      </w:r>
      <w:r>
        <w:rPr>
          <w:rFonts w:ascii="Times New Roman" w:hAnsi="Times New Roman"/>
          <w:sz w:val="20"/>
        </w:rPr>
        <w:t>) to the year ended December 31, 2021 (“2021</w:t>
      </w:r>
      <w:r>
        <w:rPr>
          <w:rFonts w:ascii="times new roman;times" w:hAnsi="times new roman;times"/>
          <w:sz w:val="20"/>
        </w:rPr>
        <w:t xml:space="preserve">” </w:t>
      </w:r>
      <w:r>
        <w:rPr>
          <w:rFonts w:ascii="Times New Roman" w:hAnsi="Times New Roman"/>
          <w:sz w:val="20"/>
        </w:rPr>
        <w:t>or “the comparable period”).</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500" w:type="pct"/>
        <w:jc w:val="left"/>
        <w:tblInd w:w="0" w:type="dxa"/>
        <w:tblCellMar>
          <w:top w:w="0" w:type="dxa"/>
          <w:left w:w="0" w:type="dxa"/>
          <w:bottom w:w="28" w:type="dxa"/>
          <w:right w:w="0" w:type="dxa"/>
        </w:tblCellMar>
      </w:tblPr>
      <w:tblGrid>
        <w:gridCol w:w="3006"/>
        <w:gridCol w:w="138"/>
        <w:gridCol w:w="251"/>
        <w:gridCol w:w="620"/>
        <w:gridCol w:w="145"/>
        <w:gridCol w:w="138"/>
        <w:gridCol w:w="236"/>
        <w:gridCol w:w="620"/>
        <w:gridCol w:w="145"/>
        <w:gridCol w:w="138"/>
        <w:gridCol w:w="249"/>
        <w:gridCol w:w="1208"/>
        <w:gridCol w:w="249"/>
      </w:tblGrid>
      <w:tr>
        <w:trPr/>
        <w:tc>
          <w:tcPr>
            <w:tcW w:w="3006" w:type="dxa"/>
            <w:tcBorders>
              <w:bottom w:val="single" w:sz="2" w:space="0" w:color="000000"/>
            </w:tcBorders>
            <w:shd w:fill="auto" w:val="clear"/>
            <w:vAlign w:val="center"/>
          </w:tcPr>
          <w:p>
            <w:pPr>
              <w:pStyle w:val="TableContents"/>
              <w:spacing w:before="0" w:after="0"/>
              <w:ind w:left="0" w:right="0" w:hanging="0"/>
              <w:rPr>
                <w:rFonts w:ascii="Times New Roman" w:hAnsi="Times New Roman"/>
                <w:b/>
                <w:sz w:val="18"/>
              </w:rPr>
            </w:pPr>
            <w:r>
              <w:rPr>
                <w:rFonts w:ascii="Times New Roman" w:hAnsi="Times New Roman"/>
                <w:b/>
                <w:sz w:val="18"/>
              </w:rPr>
              <w:t xml:space="preserve">(In thousands, except percentages)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871"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856"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1457" w:type="dxa"/>
            <w:gridSpan w:val="2"/>
            <w:tcBorders>
              <w:bottom w:val="single" w:sz="6" w:space="0" w:color="000000"/>
            </w:tcBorders>
            <w:shd w:fill="auto" w:val="clear"/>
            <w:vAlign w:val="center"/>
          </w:tcPr>
          <w:p>
            <w:pPr>
              <w:pStyle w:val="TableContents"/>
              <w:spacing w:before="0" w:after="0"/>
              <w:ind w:left="0" w:right="0" w:hanging="0"/>
              <w:jc w:val="center"/>
              <w:rPr>
                <w:b/>
                <w:sz w:val="18"/>
              </w:rPr>
            </w:pPr>
            <w:r>
              <w:rPr>
                <w:b/>
                <w:sz w:val="18"/>
              </w:rPr>
              <w:t>Change</w:t>
            </w:r>
          </w:p>
          <w:p>
            <w:pPr>
              <w:pStyle w:val="TableContents"/>
              <w:spacing w:before="0" w:after="0"/>
              <w:ind w:left="0" w:right="0" w:hanging="0"/>
              <w:jc w:val="center"/>
              <w:rPr>
                <w:rFonts w:ascii="Times New Roman" w:hAnsi="Times New Roman"/>
                <w:b/>
                <w:sz w:val="18"/>
              </w:rPr>
            </w:pPr>
            <w:r>
              <w:rPr>
                <w:rFonts w:ascii="Times New Roman" w:hAnsi="Times New Roman"/>
                <w:b/>
                <w:sz w:val="18"/>
              </w:rPr>
              <w:t>Favorable (Adverse)</w:t>
            </w:r>
          </w:p>
          <w:p>
            <w:pPr>
              <w:pStyle w:val="TableContents"/>
              <w:widowControl/>
              <w:spacing w:before="0" w:after="0"/>
              <w:ind w:left="0" w:right="0" w:hanging="0"/>
              <w:jc w:val="center"/>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in %</w:t>
            </w:r>
          </w:p>
        </w:tc>
        <w:tc>
          <w:tcPr>
            <w:tcW w:w="249" w:type="dxa"/>
            <w:tcBorders/>
            <w:shd w:fill="auto" w:val="clear"/>
            <w:tcMar>
              <w:bottom w:w="0" w:type="dxa"/>
            </w:tcMar>
            <w:vAlign w:val="center"/>
          </w:tcPr>
          <w:p>
            <w:pPr>
              <w:pStyle w:val="TableContents"/>
              <w:spacing w:before="0" w:after="0"/>
              <w:ind w:left="0" w:right="0" w:hanging="0"/>
              <w:rPr/>
            </w:pPr>
            <w:r>
              <w:rPr/>
              <w:t xml:space="preserve">   </w:t>
            </w:r>
          </w:p>
        </w:tc>
      </w:tr>
      <w:tr>
        <w:trPr/>
        <w:tc>
          <w:tcPr>
            <w:tcW w:w="3006"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Revenue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51" w:type="dxa"/>
            <w:tcBorders/>
            <w:shd w:fill="CCEEFF" w:val="clear"/>
            <w:tcMar>
              <w:bottom w:w="0" w:type="dxa"/>
            </w:tcMar>
            <w:vAlign w:val="center"/>
          </w:tcPr>
          <w:p>
            <w:pPr>
              <w:pStyle w:val="TableContents"/>
              <w:pBdr/>
              <w:spacing w:before="0" w:after="0"/>
              <w:ind w:left="0" w:right="0" w:hanging="0"/>
              <w:jc w:val="left"/>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25,205</w:t>
            </w:r>
          </w:p>
        </w:tc>
        <w:tc>
          <w:tcPr>
            <w:tcW w:w="145"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6"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28,967</w:t>
            </w:r>
          </w:p>
        </w:tc>
        <w:tc>
          <w:tcPr>
            <w:tcW w:w="145"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9" w:type="dxa"/>
            <w:tcBorders/>
            <w:shd w:fill="CCEEFF" w:val="clear"/>
            <w:tcMar>
              <w:bottom w:w="0" w:type="dxa"/>
            </w:tcMar>
            <w:vAlign w:val="center"/>
          </w:tcPr>
          <w:p>
            <w:pPr>
              <w:pStyle w:val="TableContents"/>
              <w:spacing w:before="0" w:after="0"/>
              <w:ind w:left="0" w:right="0" w:hanging="0"/>
              <w:rPr/>
            </w:pPr>
            <w:r>
              <w:rPr/>
              <w:t xml:space="preserve">  </w:t>
            </w:r>
          </w:p>
        </w:tc>
        <w:tc>
          <w:tcPr>
            <w:tcW w:w="1208"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w:t>
            </w:r>
          </w:p>
        </w:tc>
        <w:tc>
          <w:tcPr>
            <w:tcW w:w="249" w:type="dxa"/>
            <w:tcBorders/>
            <w:shd w:fill="CCEEFF" w:val="clear"/>
            <w:tcMar>
              <w:bottom w:w="0" w:type="dxa"/>
            </w:tcMar>
            <w:vAlign w:val="center"/>
          </w:tcPr>
          <w:p>
            <w:pPr>
              <w:pStyle w:val="TableContents"/>
              <w:spacing w:before="0" w:after="0"/>
              <w:ind w:left="0" w:right="0" w:hanging="0"/>
              <w:rPr/>
            </w:pPr>
            <w:r>
              <w:rPr/>
              <w:t>)</w:t>
            </w:r>
          </w:p>
        </w:tc>
      </w:tr>
      <w:tr>
        <w:trPr/>
        <w:tc>
          <w:tcPr>
            <w:tcW w:w="300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Cost of goods sold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51" w:type="dxa"/>
            <w:tcBorders>
              <w:bottom w:val="single" w:sz="2" w:space="0" w:color="000000"/>
            </w:tcBorders>
            <w:shd w:fill="auto" w:val="clear"/>
            <w:vAlign w:val="center"/>
          </w:tcPr>
          <w:p>
            <w:pPr>
              <w:pStyle w:val="TableContents"/>
              <w:pBdr/>
              <w:spacing w:before="0" w:after="0"/>
              <w:ind w:left="0" w:right="0" w:hanging="0"/>
              <w:rPr/>
            </w:pPr>
            <w:r>
              <w:rPr/>
              <w:t xml:space="preserve">  </w:t>
            </w:r>
          </w:p>
        </w:tc>
        <w:tc>
          <w:tcPr>
            <w:tcW w:w="620" w:type="dxa"/>
            <w:tcBorders>
              <w:bottom w:val="single" w:sz="2"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15,748</w:t>
            </w:r>
          </w:p>
        </w:tc>
        <w:tc>
          <w:tcPr>
            <w:tcW w:w="145" w:type="dxa"/>
            <w:tcBorders>
              <w:bottom w:val="single" w:sz="2" w:space="0" w:color="000000"/>
            </w:tcBorders>
            <w:shd w:fill="auto" w:val="cle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6" w:type="dxa"/>
            <w:tcBorders>
              <w:bottom w:val="single" w:sz="2" w:space="0" w:color="000000"/>
            </w:tcBorders>
            <w:shd w:fill="auto" w:val="clear"/>
            <w:vAlign w:val="center"/>
          </w:tcPr>
          <w:p>
            <w:pPr>
              <w:pStyle w:val="TableContents"/>
              <w:spacing w:before="0" w:after="0"/>
              <w:ind w:left="0" w:right="0" w:hanging="0"/>
              <w:rPr/>
            </w:pPr>
            <w:r>
              <w:rPr/>
              <w:t xml:space="preserve">  </w:t>
            </w:r>
          </w:p>
        </w:tc>
        <w:tc>
          <w:tcPr>
            <w:tcW w:w="620" w:type="dxa"/>
            <w:tcBorders>
              <w:bottom w:val="single" w:sz="2"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17,051</w:t>
            </w:r>
          </w:p>
        </w:tc>
        <w:tc>
          <w:tcPr>
            <w:tcW w:w="145" w:type="dxa"/>
            <w:tcBorders>
              <w:bottom w:val="single" w:sz="2" w:space="0" w:color="000000"/>
            </w:tcBorders>
            <w:shd w:fill="auto" w:val="cle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9" w:type="dxa"/>
            <w:tcBorders/>
            <w:shd w:fill="auto" w:val="clear"/>
            <w:tcMar>
              <w:bottom w:w="0" w:type="dxa"/>
            </w:tcMar>
            <w:vAlign w:val="center"/>
          </w:tcPr>
          <w:p>
            <w:pPr>
              <w:pStyle w:val="TableContents"/>
              <w:spacing w:before="0" w:after="0"/>
              <w:ind w:left="0" w:right="0" w:hanging="0"/>
              <w:rPr/>
            </w:pPr>
            <w:r>
              <w:rPr/>
              <w:t xml:space="preserve">  </w:t>
            </w:r>
          </w:p>
        </w:tc>
        <w:tc>
          <w:tcPr>
            <w:tcW w:w="1208"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c>
          <w:tcPr>
            <w:tcW w:w="24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3006"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profit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51" w:type="dxa"/>
            <w:tcBorders/>
            <w:shd w:fill="CCEEFF" w:val="clear"/>
            <w:tcMar>
              <w:bottom w:w="0" w:type="dxa"/>
            </w:tcMar>
            <w:vAlign w:val="center"/>
          </w:tcPr>
          <w:p>
            <w:pPr>
              <w:pStyle w:val="TableContents"/>
              <w:pBdr/>
              <w:spacing w:before="0" w:after="0"/>
              <w:ind w:left="0" w:right="0" w:hanging="0"/>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9,457</w:t>
            </w:r>
          </w:p>
        </w:tc>
        <w:tc>
          <w:tcPr>
            <w:tcW w:w="145"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6" w:type="dxa"/>
            <w:tcBorders/>
            <w:shd w:fill="CCEEFF" w:val="clear"/>
            <w:tcMar>
              <w:bottom w:w="0" w:type="dxa"/>
            </w:tcMar>
            <w:vAlign w:val="center"/>
          </w:tcPr>
          <w:p>
            <w:pPr>
              <w:pStyle w:val="TableContents"/>
              <w:spacing w:before="0" w:after="0"/>
              <w:ind w:left="0" w:right="0" w:hanging="0"/>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11,916</w:t>
            </w:r>
          </w:p>
        </w:tc>
        <w:tc>
          <w:tcPr>
            <w:tcW w:w="145"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9" w:type="dxa"/>
            <w:tcBorders/>
            <w:shd w:fill="CCEEFF" w:val="clear"/>
            <w:tcMar>
              <w:bottom w:w="0" w:type="dxa"/>
            </w:tcMar>
            <w:vAlign w:val="center"/>
          </w:tcPr>
          <w:p>
            <w:pPr>
              <w:pStyle w:val="TableContents"/>
              <w:spacing w:before="0" w:after="0"/>
              <w:ind w:left="0" w:right="0" w:hanging="0"/>
              <w:rPr/>
            </w:pPr>
            <w:r>
              <w:rPr/>
              <w:t xml:space="preserve">  </w:t>
            </w:r>
          </w:p>
        </w:tc>
        <w:tc>
          <w:tcPr>
            <w:tcW w:w="1208"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(21</w:t>
            </w:r>
          </w:p>
        </w:tc>
        <w:tc>
          <w:tcPr>
            <w:tcW w:w="249" w:type="dxa"/>
            <w:tcBorders/>
            <w:shd w:fill="CCEEFF" w:val="clear"/>
            <w:tcMar>
              <w:bottom w:w="0" w:type="dxa"/>
            </w:tcMar>
            <w:vAlign w:val="center"/>
          </w:tcPr>
          <w:p>
            <w:pPr>
              <w:pStyle w:val="TableContents"/>
              <w:spacing w:before="0" w:after="0"/>
              <w:ind w:left="0" w:right="0" w:hanging="0"/>
              <w:rPr/>
            </w:pPr>
            <w:r>
              <w:rPr/>
              <w:t>)</w:t>
            </w:r>
          </w:p>
        </w:tc>
      </w:tr>
      <w:tr>
        <w:trPr/>
        <w:tc>
          <w:tcPr>
            <w:tcW w:w="300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Sales and marketing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51" w:type="dxa"/>
            <w:tcBorders/>
            <w:shd w:fill="auto" w:val="clear"/>
            <w:tcMar>
              <w:bottom w:w="0" w:type="dxa"/>
            </w:tcMar>
            <w:vAlign w:val="center"/>
          </w:tcPr>
          <w:p>
            <w:pPr>
              <w:pStyle w:val="TableContents"/>
              <w:pBdr/>
              <w:spacing w:before="0" w:after="0"/>
              <w:ind w:left="0" w:right="0" w:hanging="0"/>
              <w:rPr/>
            </w:pPr>
            <w:r>
              <w:rPr/>
              <w:t xml:space="preserve">  </w:t>
            </w:r>
          </w:p>
        </w:tc>
        <w:tc>
          <w:tcPr>
            <w:tcW w:w="6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5,517</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6" w:type="dxa"/>
            <w:tcBorders/>
            <w:shd w:fill="auto" w:val="clear"/>
            <w:tcMar>
              <w:bottom w:w="0" w:type="dxa"/>
            </w:tcMar>
            <w:vAlign w:val="center"/>
          </w:tcPr>
          <w:p>
            <w:pPr>
              <w:pStyle w:val="TableContents"/>
              <w:spacing w:before="0" w:after="0"/>
              <w:ind w:left="0" w:right="0" w:hanging="0"/>
              <w:rPr/>
            </w:pPr>
            <w:r>
              <w:rPr/>
              <w:t xml:space="preserve">  </w:t>
            </w:r>
          </w:p>
        </w:tc>
        <w:tc>
          <w:tcPr>
            <w:tcW w:w="6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6,736</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9" w:type="dxa"/>
            <w:tcBorders/>
            <w:shd w:fill="auto" w:val="clear"/>
            <w:tcMar>
              <w:bottom w:w="0" w:type="dxa"/>
            </w:tcMar>
            <w:vAlign w:val="center"/>
          </w:tcPr>
          <w:p>
            <w:pPr>
              <w:pStyle w:val="TableContents"/>
              <w:spacing w:before="0" w:after="0"/>
              <w:ind w:left="0" w:right="0" w:hanging="0"/>
              <w:rPr/>
            </w:pPr>
            <w:r>
              <w:rPr/>
              <w:t xml:space="preserve">  </w:t>
            </w:r>
          </w:p>
        </w:tc>
        <w:tc>
          <w:tcPr>
            <w:tcW w:w="1208"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w:t>
            </w:r>
          </w:p>
        </w:tc>
        <w:tc>
          <w:tcPr>
            <w:tcW w:w="24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3006"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Research and product development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51" w:type="dxa"/>
            <w:tcBorders/>
            <w:shd w:fill="CCEEFF" w:val="clear"/>
            <w:tcMar>
              <w:bottom w:w="0" w:type="dxa"/>
            </w:tcMar>
            <w:vAlign w:val="center"/>
          </w:tcPr>
          <w:p>
            <w:pPr>
              <w:pStyle w:val="TableContents"/>
              <w:pBdr/>
              <w:spacing w:before="0" w:after="0"/>
              <w:ind w:left="0" w:right="0" w:hanging="0"/>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4,390</w:t>
            </w:r>
          </w:p>
        </w:tc>
        <w:tc>
          <w:tcPr>
            <w:tcW w:w="145"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6" w:type="dxa"/>
            <w:tcBorders/>
            <w:shd w:fill="CCEEFF" w:val="clear"/>
            <w:tcMar>
              <w:bottom w:w="0" w:type="dxa"/>
            </w:tcMar>
            <w:vAlign w:val="center"/>
          </w:tcPr>
          <w:p>
            <w:pPr>
              <w:pStyle w:val="TableContents"/>
              <w:spacing w:before="0" w:after="0"/>
              <w:ind w:left="0" w:right="0" w:hanging="0"/>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5,794</w:t>
            </w:r>
          </w:p>
        </w:tc>
        <w:tc>
          <w:tcPr>
            <w:tcW w:w="145"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9" w:type="dxa"/>
            <w:tcBorders/>
            <w:shd w:fill="CCEEFF" w:val="clear"/>
            <w:tcMar>
              <w:bottom w:w="0" w:type="dxa"/>
            </w:tcMar>
            <w:vAlign w:val="center"/>
          </w:tcPr>
          <w:p>
            <w:pPr>
              <w:pStyle w:val="TableContents"/>
              <w:spacing w:before="0" w:after="0"/>
              <w:ind w:left="0" w:right="0" w:hanging="0"/>
              <w:rPr/>
            </w:pPr>
            <w:r>
              <w:rPr/>
              <w:t xml:space="preserve">  </w:t>
            </w:r>
          </w:p>
        </w:tc>
        <w:tc>
          <w:tcPr>
            <w:tcW w:w="1208"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c>
          <w:tcPr>
            <w:tcW w:w="249"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r>
      <w:tr>
        <w:trPr/>
        <w:tc>
          <w:tcPr>
            <w:tcW w:w="300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General and administrative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51" w:type="dxa"/>
            <w:tcBorders/>
            <w:shd w:fill="auto" w:val="clear"/>
            <w:tcMar>
              <w:bottom w:w="0" w:type="dxa"/>
            </w:tcMar>
            <w:vAlign w:val="center"/>
          </w:tcPr>
          <w:p>
            <w:pPr>
              <w:pStyle w:val="TableContents"/>
              <w:pBdr/>
              <w:spacing w:before="0" w:after="0"/>
              <w:ind w:left="0" w:right="0" w:hanging="0"/>
              <w:rPr/>
            </w:pPr>
            <w:r>
              <w:rPr/>
              <w:t xml:space="preserve">  </w:t>
            </w:r>
          </w:p>
        </w:tc>
        <w:tc>
          <w:tcPr>
            <w:tcW w:w="6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6,772</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6" w:type="dxa"/>
            <w:tcBorders/>
            <w:shd w:fill="auto" w:val="clear"/>
            <w:tcMar>
              <w:bottom w:w="0" w:type="dxa"/>
            </w:tcMar>
            <w:vAlign w:val="center"/>
          </w:tcPr>
          <w:p>
            <w:pPr>
              <w:pStyle w:val="TableContents"/>
              <w:spacing w:before="0" w:after="0"/>
              <w:ind w:left="0" w:right="0" w:hanging="0"/>
              <w:rPr/>
            </w:pPr>
            <w:r>
              <w:rPr/>
              <w:t xml:space="preserve">  </w:t>
            </w:r>
          </w:p>
        </w:tc>
        <w:tc>
          <w:tcPr>
            <w:tcW w:w="6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6,881</w:t>
            </w:r>
          </w:p>
        </w:tc>
        <w:tc>
          <w:tcPr>
            <w:tcW w:w="145" w:type="dxa"/>
            <w:tcBorders/>
            <w:shd w:fill="auto" w:val="clear"/>
            <w:tcMar>
              <w:bottom w:w="0" w:type="dxa"/>
            </w:tcMar>
            <w:vAlign w:val="center"/>
          </w:tcPr>
          <w:p>
            <w:pPr>
              <w:pStyle w:val="TableContents"/>
              <w:spacing w:before="0" w:after="0"/>
              <w:ind w:left="0" w:right="0" w:hanging="0"/>
              <w:rPr/>
            </w:pPr>
            <w:r>
              <w:rPr/>
              <w:t xml:space="preserve">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9" w:type="dxa"/>
            <w:tcBorders/>
            <w:shd w:fill="auto" w:val="clear"/>
            <w:tcMar>
              <w:bottom w:w="0" w:type="dxa"/>
            </w:tcMar>
            <w:vAlign w:val="center"/>
          </w:tcPr>
          <w:p>
            <w:pPr>
              <w:pStyle w:val="TableContents"/>
              <w:spacing w:before="0" w:after="0"/>
              <w:ind w:left="0" w:right="0" w:hanging="0"/>
              <w:rPr/>
            </w:pPr>
            <w:r>
              <w:rPr/>
              <w:t xml:space="preserve">  </w:t>
            </w:r>
          </w:p>
        </w:tc>
        <w:tc>
          <w:tcPr>
            <w:tcW w:w="1208"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c>
          <w:tcPr>
            <w:tcW w:w="24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3006"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operating expenses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51" w:type="dxa"/>
            <w:tcBorders/>
            <w:shd w:fill="CCEEFF" w:val="clear"/>
            <w:tcMar>
              <w:bottom w:w="0" w:type="dxa"/>
            </w:tcMar>
            <w:vAlign w:val="center"/>
          </w:tcPr>
          <w:p>
            <w:pPr>
              <w:pStyle w:val="TableContents"/>
              <w:pBdr/>
              <w:spacing w:before="0" w:after="0"/>
              <w:ind w:left="0" w:right="0" w:hanging="0"/>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16,679</w:t>
            </w:r>
          </w:p>
        </w:tc>
        <w:tc>
          <w:tcPr>
            <w:tcW w:w="145"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6" w:type="dxa"/>
            <w:tcBorders/>
            <w:shd w:fill="CCEEFF" w:val="clear"/>
            <w:tcMar>
              <w:bottom w:w="0" w:type="dxa"/>
            </w:tcMar>
            <w:vAlign w:val="center"/>
          </w:tcPr>
          <w:p>
            <w:pPr>
              <w:pStyle w:val="TableContents"/>
              <w:spacing w:before="0" w:after="0"/>
              <w:ind w:left="0" w:right="0" w:hanging="0"/>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19,411</w:t>
            </w:r>
          </w:p>
        </w:tc>
        <w:tc>
          <w:tcPr>
            <w:tcW w:w="145" w:type="dxa"/>
            <w:tcBorders/>
            <w:shd w:fill="CCEEFF" w:val="clear"/>
            <w:tcMar>
              <w:bottom w:w="0" w:type="dxa"/>
            </w:tcMar>
            <w:vAlign w:val="center"/>
          </w:tcPr>
          <w:p>
            <w:pPr>
              <w:pStyle w:val="TableContents"/>
              <w:spacing w:before="0" w:after="0"/>
              <w:ind w:left="0" w:right="0" w:hanging="0"/>
              <w:rPr/>
            </w:pPr>
            <w:r>
              <w:rPr/>
              <w:t xml:space="preserve">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9" w:type="dxa"/>
            <w:tcBorders/>
            <w:shd w:fill="CCEEFF" w:val="clear"/>
            <w:tcMar>
              <w:bottom w:w="0" w:type="dxa"/>
            </w:tcMar>
            <w:vAlign w:val="center"/>
          </w:tcPr>
          <w:p>
            <w:pPr>
              <w:pStyle w:val="TableContents"/>
              <w:spacing w:before="0" w:after="0"/>
              <w:ind w:left="0" w:right="0" w:hanging="0"/>
              <w:rPr/>
            </w:pPr>
            <w:r>
              <w:rPr/>
              <w:t xml:space="preserve">  </w:t>
            </w:r>
          </w:p>
        </w:tc>
        <w:tc>
          <w:tcPr>
            <w:tcW w:w="1208"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w:t>
            </w:r>
          </w:p>
        </w:tc>
        <w:tc>
          <w:tcPr>
            <w:tcW w:w="249"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r>
      <w:tr>
        <w:trPr/>
        <w:tc>
          <w:tcPr>
            <w:tcW w:w="300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loss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51" w:type="dxa"/>
            <w:tcBorders>
              <w:bottom w:val="single" w:sz="2" w:space="0" w:color="000000"/>
            </w:tcBorders>
            <w:shd w:fill="auto" w:val="clear"/>
            <w:vAlign w:val="center"/>
          </w:tcPr>
          <w:p>
            <w:pPr>
              <w:pStyle w:val="TableContents"/>
              <w:pBdr/>
              <w:spacing w:before="0" w:after="0"/>
              <w:ind w:left="0" w:right="0" w:hanging="0"/>
              <w:rPr/>
            </w:pPr>
            <w:r>
              <w:rPr/>
              <w:t xml:space="preserve">  </w:t>
            </w:r>
          </w:p>
        </w:tc>
        <w:tc>
          <w:tcPr>
            <w:tcW w:w="620" w:type="dxa"/>
            <w:tcBorders>
              <w:bottom w:val="single" w:sz="2"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(7,222</w:t>
            </w:r>
          </w:p>
        </w:tc>
        <w:tc>
          <w:tcPr>
            <w:tcW w:w="145" w:type="dxa"/>
            <w:tcBorders>
              <w:bottom w:val="single" w:sz="2" w:space="0" w:color="000000"/>
            </w:tcBorders>
            <w:shd w:fill="auto" w:val="clear"/>
            <w:vAlign w:val="center"/>
          </w:tcPr>
          <w:p>
            <w:pPr>
              <w:pStyle w:val="TableContents"/>
              <w:spacing w:before="0" w:after="0"/>
              <w:ind w:left="0" w:right="0" w:hanging="0"/>
              <w:rPr/>
            </w:pPr>
            <w:r>
              <w:rPr/>
              <w:t>)</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6" w:type="dxa"/>
            <w:tcBorders>
              <w:bottom w:val="single" w:sz="2" w:space="0" w:color="000000"/>
            </w:tcBorders>
            <w:shd w:fill="auto" w:val="clear"/>
            <w:vAlign w:val="center"/>
          </w:tcPr>
          <w:p>
            <w:pPr>
              <w:pStyle w:val="TableContents"/>
              <w:spacing w:before="0" w:after="0"/>
              <w:ind w:left="0" w:right="0" w:hanging="0"/>
              <w:rPr/>
            </w:pPr>
            <w:r>
              <w:rPr/>
              <w:t xml:space="preserve">  </w:t>
            </w:r>
          </w:p>
        </w:tc>
        <w:tc>
          <w:tcPr>
            <w:tcW w:w="620" w:type="dxa"/>
            <w:tcBorders>
              <w:bottom w:val="single" w:sz="2" w:space="0" w:color="000000"/>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(7,495</w:t>
            </w:r>
          </w:p>
        </w:tc>
        <w:tc>
          <w:tcPr>
            <w:tcW w:w="145" w:type="dxa"/>
            <w:tcBorders>
              <w:bottom w:val="single" w:sz="2" w:space="0" w:color="000000"/>
            </w:tcBorders>
            <w:shd w:fill="auto" w:val="clear"/>
            <w:vAlign w:val="center"/>
          </w:tcPr>
          <w:p>
            <w:pPr>
              <w:pStyle w:val="TableContents"/>
              <w:spacing w:before="0" w:after="0"/>
              <w:ind w:left="0" w:right="0" w:hanging="0"/>
              <w:rPr/>
            </w:pPr>
            <w:r>
              <w:rPr/>
              <w:t>)</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9" w:type="dxa"/>
            <w:tcBorders/>
            <w:shd w:fill="auto" w:val="clear"/>
            <w:tcMar>
              <w:bottom w:w="0" w:type="dxa"/>
            </w:tcMar>
            <w:vAlign w:val="center"/>
          </w:tcPr>
          <w:p>
            <w:pPr>
              <w:pStyle w:val="TableContents"/>
              <w:spacing w:before="0" w:after="0"/>
              <w:ind w:left="0" w:right="0" w:hanging="0"/>
              <w:rPr/>
            </w:pPr>
            <w:r>
              <w:rPr/>
              <w:t xml:space="preserve">  </w:t>
            </w:r>
          </w:p>
        </w:tc>
        <w:tc>
          <w:tcPr>
            <w:tcW w:w="1208"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w:t>
            </w:r>
          </w:p>
        </w:tc>
        <w:tc>
          <w:tcPr>
            <w:tcW w:w="24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3006"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Income (loss) before income taxes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51" w:type="dxa"/>
            <w:tcBorders/>
            <w:shd w:fill="CCEEFF" w:val="clear"/>
            <w:tcMar>
              <w:bottom w:w="0" w:type="dxa"/>
            </w:tcMar>
            <w:vAlign w:val="center"/>
          </w:tcPr>
          <w:p>
            <w:pPr>
              <w:pStyle w:val="TableContents"/>
              <w:pBdr/>
              <w:spacing w:before="0" w:after="0"/>
              <w:ind w:left="0" w:right="0" w:hanging="0"/>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27,460</w:t>
            </w:r>
          </w:p>
        </w:tc>
        <w:tc>
          <w:tcPr>
            <w:tcW w:w="145"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6" w:type="dxa"/>
            <w:tcBorders/>
            <w:shd w:fill="CCEEFF" w:val="clear"/>
            <w:tcMar>
              <w:bottom w:w="0" w:type="dxa"/>
            </w:tcMar>
            <w:vAlign w:val="center"/>
          </w:tcPr>
          <w:p>
            <w:pPr>
              <w:pStyle w:val="TableContents"/>
              <w:spacing w:before="0" w:after="0"/>
              <w:ind w:left="0" w:right="0" w:hanging="0"/>
              <w:rPr/>
            </w:pPr>
            <w:r>
              <w:rPr/>
              <w:t xml:space="preserve">  </w:t>
            </w:r>
          </w:p>
        </w:tc>
        <w:tc>
          <w:tcPr>
            <w:tcW w:w="620"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(7,977</w:t>
            </w:r>
          </w:p>
        </w:tc>
        <w:tc>
          <w:tcPr>
            <w:tcW w:w="145" w:type="dxa"/>
            <w:tcBorders/>
            <w:shd w:fill="CCEEFF" w:val="clear"/>
            <w:tcMar>
              <w:bottom w:w="0" w:type="dxa"/>
            </w:tcMar>
            <w:vAlign w:val="center"/>
          </w:tcPr>
          <w:p>
            <w:pPr>
              <w:pStyle w:val="TableContents"/>
              <w:spacing w:before="0" w:after="0"/>
              <w:ind w:left="0" w:right="0" w:hanging="0"/>
              <w:rPr/>
            </w:pPr>
            <w:r>
              <w:rPr/>
              <w:t>)</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9" w:type="dxa"/>
            <w:tcBorders/>
            <w:shd w:fill="CCEEFF" w:val="clear"/>
            <w:tcMar>
              <w:bottom w:w="0" w:type="dxa"/>
            </w:tcMar>
            <w:vAlign w:val="center"/>
          </w:tcPr>
          <w:p>
            <w:pPr>
              <w:pStyle w:val="TableContents"/>
              <w:spacing w:before="0" w:after="0"/>
              <w:ind w:left="0" w:right="0" w:hanging="0"/>
              <w:rPr/>
            </w:pPr>
            <w:r>
              <w:rPr/>
              <w:t xml:space="preserve">  </w:t>
            </w:r>
          </w:p>
        </w:tc>
        <w:tc>
          <w:tcPr>
            <w:tcW w:w="1208"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444</w:t>
            </w:r>
          </w:p>
        </w:tc>
        <w:tc>
          <w:tcPr>
            <w:tcW w:w="249"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r>
      <w:tr>
        <w:trPr/>
        <w:tc>
          <w:tcPr>
            <w:tcW w:w="300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Provision for (benefit from) income taxes </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51" w:type="dxa"/>
            <w:tcBorders/>
            <w:shd w:fill="auto" w:val="clear"/>
            <w:tcMar>
              <w:bottom w:w="0" w:type="dxa"/>
            </w:tcMar>
            <w:vAlign w:val="center"/>
          </w:tcPr>
          <w:p>
            <w:pPr>
              <w:pStyle w:val="TableContents"/>
              <w:pBdr/>
              <w:spacing w:before="0" w:after="0"/>
              <w:ind w:left="0" w:right="0" w:hanging="0"/>
              <w:rPr/>
            </w:pPr>
            <w:r>
              <w:rPr/>
              <w:t xml:space="preserve">  </w:t>
            </w:r>
          </w:p>
        </w:tc>
        <w:tc>
          <w:tcPr>
            <w:tcW w:w="6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6,904</w:t>
            </w:r>
          </w:p>
        </w:tc>
        <w:tc>
          <w:tcPr>
            <w:tcW w:w="14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36" w:type="dxa"/>
            <w:tcBorders/>
            <w:shd w:fill="auto" w:val="clear"/>
            <w:tcMar>
              <w:bottom w:w="0" w:type="dxa"/>
            </w:tcMar>
            <w:vAlign w:val="center"/>
          </w:tcPr>
          <w:p>
            <w:pPr>
              <w:pStyle w:val="TableContents"/>
              <w:spacing w:before="0" w:after="0"/>
              <w:ind w:left="0" w:right="0" w:hanging="0"/>
              <w:rPr/>
            </w:pPr>
            <w:r>
              <w:rPr/>
              <w:t xml:space="preserve">  </w:t>
            </w:r>
          </w:p>
        </w:tc>
        <w:tc>
          <w:tcPr>
            <w:tcW w:w="620"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(283</w:t>
            </w:r>
          </w:p>
        </w:tc>
        <w:tc>
          <w:tcPr>
            <w:tcW w:w="145" w:type="dxa"/>
            <w:tcBorders/>
            <w:shd w:fill="auto" w:val="clear"/>
            <w:tcMar>
              <w:bottom w:w="0" w:type="dxa"/>
            </w:tcMar>
            <w:vAlign w:val="center"/>
          </w:tcPr>
          <w:p>
            <w:pPr>
              <w:pStyle w:val="TableContents"/>
              <w:spacing w:before="0" w:after="0"/>
              <w:ind w:left="0" w:right="0" w:hanging="0"/>
              <w:rPr/>
            </w:pPr>
            <w:r>
              <w:rPr/>
              <w:t>)</w:t>
            </w:r>
          </w:p>
        </w:tc>
        <w:tc>
          <w:tcPr>
            <w:tcW w:w="138" w:type="dxa"/>
            <w:tcBorders/>
            <w:shd w:fill="auto" w:val="clear"/>
            <w:tcMar>
              <w:bottom w:w="0" w:type="dxa"/>
            </w:tcMar>
            <w:vAlign w:val="center"/>
          </w:tcPr>
          <w:p>
            <w:pPr>
              <w:pStyle w:val="TableContents"/>
              <w:spacing w:before="0" w:after="0"/>
              <w:ind w:left="0" w:right="0" w:hanging="0"/>
              <w:rPr/>
            </w:pPr>
            <w:r>
              <w:rPr/>
              <w:t xml:space="preserve">  </w:t>
            </w:r>
          </w:p>
        </w:tc>
        <w:tc>
          <w:tcPr>
            <w:tcW w:w="249" w:type="dxa"/>
            <w:tcBorders/>
            <w:shd w:fill="auto" w:val="clear"/>
            <w:tcMar>
              <w:bottom w:w="0" w:type="dxa"/>
            </w:tcMar>
            <w:vAlign w:val="center"/>
          </w:tcPr>
          <w:p>
            <w:pPr>
              <w:pStyle w:val="TableContents"/>
              <w:spacing w:before="0" w:after="0"/>
              <w:ind w:left="0" w:right="0" w:hanging="0"/>
              <w:rPr/>
            </w:pPr>
            <w:r>
              <w:rPr/>
              <w:t xml:space="preserve">  </w:t>
            </w:r>
          </w:p>
        </w:tc>
        <w:tc>
          <w:tcPr>
            <w:tcW w:w="1208" w:type="dxa"/>
            <w:tcBorders/>
            <w:shd w:fill="auto"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(2,540</w:t>
            </w:r>
          </w:p>
        </w:tc>
        <w:tc>
          <w:tcPr>
            <w:tcW w:w="249" w:type="dxa"/>
            <w:tcBorders/>
            <w:shd w:fill="auto" w:val="clear"/>
            <w:tcMar>
              <w:bottom w:w="0" w:type="dxa"/>
            </w:tcMar>
            <w:vAlign w:val="center"/>
          </w:tcPr>
          <w:p>
            <w:pPr>
              <w:pStyle w:val="TableContents"/>
              <w:spacing w:before="0" w:after="0"/>
              <w:ind w:left="0" w:right="0" w:hanging="0"/>
              <w:rPr/>
            </w:pPr>
            <w:r>
              <w:rPr/>
              <w:t>)</w:t>
            </w:r>
          </w:p>
        </w:tc>
      </w:tr>
      <w:tr>
        <w:trPr/>
        <w:tc>
          <w:tcPr>
            <w:tcW w:w="3006"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income (loss) </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51" w:type="dxa"/>
            <w:tcBorders>
              <w:bottom w:val="single" w:sz="2" w:space="0" w:color="000000"/>
            </w:tcBorders>
            <w:shd w:fill="CCEEFF" w:val="clear"/>
            <w:vAlign w:val="center"/>
          </w:tcPr>
          <w:p>
            <w:pPr>
              <w:pStyle w:val="TableContents"/>
              <w:pBdr/>
              <w:spacing w:before="0" w:after="0"/>
              <w:ind w:left="0" w:right="0" w:hanging="0"/>
              <w:jc w:val="left"/>
              <w:rPr/>
            </w:pPr>
            <w:r>
              <w:rPr/>
              <w:t> </w:t>
            </w:r>
            <w:r>
              <w:rPr>
                <w:rFonts w:ascii="Times New Roman" w:hAnsi="Times New Roman"/>
                <w:sz w:val="20"/>
              </w:rPr>
              <w:t xml:space="preserve">$ </w:t>
            </w:r>
          </w:p>
        </w:tc>
        <w:tc>
          <w:tcPr>
            <w:tcW w:w="620" w:type="dxa"/>
            <w:tcBorders>
              <w:bottom w:val="single" w:sz="2"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20,556</w:t>
            </w:r>
          </w:p>
        </w:tc>
        <w:tc>
          <w:tcPr>
            <w:tcW w:w="145" w:type="dxa"/>
            <w:tcBorders>
              <w:bottom w:val="single" w:sz="2" w:space="0" w:color="000000"/>
            </w:tcBorders>
            <w:shd w:fill="CCEEFF" w:val="clear"/>
            <w:vAlign w:val="center"/>
          </w:tcPr>
          <w:p>
            <w:pPr>
              <w:pStyle w:val="TableContents"/>
              <w:spacing w:before="0" w:after="283"/>
              <w:ind w:left="0" w:right="0" w:hanging="0"/>
              <w:rPr>
                <w:sz w:val="4"/>
                <w:szCs w:val="4"/>
              </w:rPr>
            </w:pPr>
            <w:r>
              <w:rPr>
                <w:sz w:val="4"/>
                <w:szCs w:val="4"/>
              </w:rPr>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36" w:type="dxa"/>
            <w:tcBorders>
              <w:bottom w:val="single" w:sz="2" w:space="0" w:color="000000"/>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 </w:t>
            </w:r>
          </w:p>
        </w:tc>
        <w:tc>
          <w:tcPr>
            <w:tcW w:w="620" w:type="dxa"/>
            <w:tcBorders>
              <w:bottom w:val="single" w:sz="2" w:space="0" w:color="000000"/>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(7,694</w:t>
            </w:r>
          </w:p>
        </w:tc>
        <w:tc>
          <w:tcPr>
            <w:tcW w:w="145" w:type="dxa"/>
            <w:tcBorders>
              <w:bottom w:val="single" w:sz="2" w:space="0" w:color="000000"/>
            </w:tcBorders>
            <w:shd w:fill="CCEEFF" w:val="clear"/>
            <w:vAlign w:val="center"/>
          </w:tcPr>
          <w:p>
            <w:pPr>
              <w:pStyle w:val="TableContents"/>
              <w:spacing w:before="0" w:after="0"/>
              <w:ind w:left="0" w:right="0" w:hanging="0"/>
              <w:rPr/>
            </w:pPr>
            <w:r>
              <w:rPr/>
              <w:t>)</w:t>
            </w:r>
          </w:p>
        </w:tc>
        <w:tc>
          <w:tcPr>
            <w:tcW w:w="138" w:type="dxa"/>
            <w:tcBorders/>
            <w:shd w:fill="CCEEFF" w:val="clear"/>
            <w:tcMar>
              <w:bottom w:w="0" w:type="dxa"/>
            </w:tcMar>
            <w:vAlign w:val="center"/>
          </w:tcPr>
          <w:p>
            <w:pPr>
              <w:pStyle w:val="TableContents"/>
              <w:spacing w:before="0" w:after="0"/>
              <w:ind w:left="0" w:right="0" w:hanging="0"/>
              <w:rPr/>
            </w:pPr>
            <w:r>
              <w:rPr/>
              <w:t xml:space="preserve">  </w:t>
            </w:r>
          </w:p>
        </w:tc>
        <w:tc>
          <w:tcPr>
            <w:tcW w:w="249" w:type="dxa"/>
            <w:tcBorders/>
            <w:shd w:fill="CCEEFF" w:val="clear"/>
            <w:tcMar>
              <w:bottom w:w="0" w:type="dxa"/>
            </w:tcMar>
            <w:vAlign w:val="center"/>
          </w:tcPr>
          <w:p>
            <w:pPr>
              <w:pStyle w:val="TableContents"/>
              <w:spacing w:before="0" w:after="0"/>
              <w:ind w:left="0" w:right="0" w:hanging="0"/>
              <w:rPr/>
            </w:pPr>
            <w:r>
              <w:rPr/>
              <w:t xml:space="preserve">  </w:t>
            </w:r>
          </w:p>
        </w:tc>
        <w:tc>
          <w:tcPr>
            <w:tcW w:w="1208" w:type="dxa"/>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367</w:t>
            </w:r>
          </w:p>
        </w:tc>
        <w:tc>
          <w:tcPr>
            <w:tcW w:w="249" w:type="dxa"/>
            <w:tcBorders/>
            <w:shd w:fill="CCEEFF" w:val="clear"/>
            <w:tcMar>
              <w:bottom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pStyle w:val="TextBody"/>
        <w:spacing w:lineRule="auto" w:line="240" w:before="0" w:after="0"/>
        <w:ind w:left="0" w:right="0" w:hanging="0"/>
        <w:jc w:val="left"/>
        <w:rPr>
          <w:rFonts w:ascii="Times New Roman" w:hAnsi="Times New Roman"/>
          <w:b/>
          <w:sz w:val="20"/>
        </w:rPr>
      </w:pPr>
      <w:r>
        <w:rPr>
          <w:rFonts w:ascii="Times New Roman" w:hAnsi="Times New Roman"/>
          <w:b/>
          <w:sz w:val="20"/>
        </w:rPr>
        <w:t>Revenue</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sz w:val="20"/>
        </w:rPr>
      </w:pPr>
      <w:r>
        <w:rPr>
          <w:rFonts w:ascii="Times New Roman" w:hAnsi="Times New Roman"/>
          <w:sz w:val="20"/>
        </w:rPr>
        <w:t xml:space="preserve">Our revenue </w:t>
      </w:r>
      <w:r>
        <w:rPr>
          <w:sz w:val="20"/>
        </w:rPr>
        <w:t>decreased by 13% to </w:t>
      </w:r>
      <w:r>
        <w:rPr>
          <w:rFonts w:ascii="Times New Roman" w:hAnsi="Times New Roman"/>
          <w:sz w:val="20"/>
        </w:rPr>
        <w:t>$25.2</w:t>
      </w:r>
      <w:r>
        <w:rPr>
          <w:sz w:val="20"/>
        </w:rPr>
        <w:t xml:space="preserve"> </w:t>
      </w:r>
      <w:r>
        <w:rPr>
          <w:rFonts w:ascii="Times New Roman" w:hAnsi="Times New Roman"/>
          <w:sz w:val="20"/>
        </w:rPr>
        <w:t>million in 2022 compared to $29.0 million of revenue in 2021. The highest decline in revenue was seen in video products with a 45</w:t>
      </w:r>
      <w:r>
        <w:rPr>
          <w:rFonts w:ascii="Times New Roman" w:hAnsi="Times New Roman"/>
          <w:b w:val="false"/>
          <w:i w:val="false"/>
          <w:caps w:val="false"/>
          <w:smallCaps w:val="false"/>
          <w:color w:val="000000"/>
          <w:spacing w:val="0"/>
          <w:sz w:val="20"/>
        </w:rPr>
        <w:t>% decrease, </w:t>
      </w:r>
      <w:r>
        <w:rPr>
          <w:rFonts w:ascii="Times New Roman" w:hAnsi="Times New Roman"/>
          <w:sz w:val="20"/>
        </w:rPr>
        <w:t>followed by a decrease in microphones of 10%. These decreases were partially offset by a 2%</w:t>
      </w:r>
      <w:r>
        <w:rPr>
          <w:sz w:val="20"/>
        </w:rPr>
        <w:t> </w:t>
      </w:r>
      <w:r>
        <w:rPr>
          <w:rFonts w:ascii="Times New Roman" w:hAnsi="Times New Roman"/>
          <w:sz w:val="20"/>
        </w:rPr>
        <w:t xml:space="preserve">increase in revenues from audio conferencing.  </w:t>
      </w:r>
      <w:r>
        <w:rPr>
          <w:rFonts w:ascii="times new roman;times" w:hAnsi="times new roman;times"/>
          <w:b w:val="false"/>
          <w:i w:val="false"/>
          <w:caps w:val="false"/>
          <w:smallCaps w:val="false"/>
          <w:color w:val="000000"/>
          <w:spacing w:val="0"/>
          <w:sz w:val="20"/>
        </w:rPr>
        <w:t>Video products suffered a decline in revenues in 2022 compared to 2021 due to</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 </w:t>
      </w:r>
      <w:r>
        <w:rPr>
          <w:rFonts w:ascii="Times New Roman" w:hAnsi="Times New Roman"/>
          <w:b w:val="false"/>
          <w:i w:val="false"/>
          <w:caps w:val="false"/>
          <w:smallCaps w:val="false"/>
          <w:color w:val="000000"/>
          <w:spacing w:val="0"/>
          <w:sz w:val="20"/>
        </w:rPr>
        <w:t>lack of demand for video products due to bottoming of demand for the work from home and learn from home markets and due to extreme pricing pressures. Except for professional audio conferencing category under audio conferencing products every other category suffered revenue decreases during 2022. Cameras as a category declined the most followed by video conferencing equipment and personal audio conferencing categories. Revenue from these categories declined due to reduced demand for these products. Revenue from beamforming microphone arrays reduced mainly due to our inability to procure adequate supply of inventory due to the ongoing transition of manufacturing from China to Singapore. </w:t>
      </w:r>
    </w:p>
    <w:p>
      <w:pPr>
        <w:pStyle w:val="TextBody"/>
        <w:widowControl/>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widowControl/>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expect our revenues for professional audio conferencing and beamforming microphone arrays to be adversely impacted at least through the first half of 2023 due to the delay in the completion of transition of outsourced manufacturing from China to Singapore. We believe our revenues in the second half of 2023 will be positively impacted by new product introductions, which would leverage our advanced beamforming microphone array technology and our recent initiative to improve the interoperability of our products with audiovisual products made by other manufacturers. Despite the introduction of new cameras in 2022, we expect the challenging market conditions for our video products to continue through 2023.</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share of audio conferencing</w:t>
      </w:r>
      <w:r>
        <w:rPr>
          <w:rFonts w:ascii="times new roman;times" w:hAnsi="times new roman;times"/>
          <w:sz w:val="20"/>
        </w:rPr>
        <w:t xml:space="preserve"> </w:t>
      </w:r>
      <w:r>
        <w:rPr>
          <w:rFonts w:ascii="Times New Roman" w:hAnsi="Times New Roman"/>
          <w:sz w:val="20"/>
        </w:rPr>
        <w:t xml:space="preserve">products in our product mix increased significantly from 40% in </w:t>
      </w:r>
      <w:r>
        <w:rPr>
          <w:rFonts w:ascii="Times New Roman" w:hAnsi="Times New Roman"/>
          <w:sz w:val="20"/>
        </w:rPr>
        <w:t>2021</w:t>
      </w:r>
      <w:r>
        <w:rPr>
          <w:rFonts w:ascii="Times New Roman" w:hAnsi="Times New Roman"/>
          <w:sz w:val="20"/>
        </w:rPr>
        <w:t xml:space="preserve"> to </w:t>
      </w:r>
      <w:r>
        <w:rPr>
          <w:rFonts w:ascii="Times New Roman" w:hAnsi="Times New Roman"/>
          <w:sz w:val="20"/>
        </w:rPr>
        <w:t>47</w:t>
      </w:r>
      <w:r>
        <w:rPr>
          <w:rFonts w:ascii="Times New Roman" w:hAnsi="Times New Roman"/>
          <w:sz w:val="20"/>
        </w:rPr>
        <w:t xml:space="preserve">% in </w:t>
      </w:r>
      <w:r>
        <w:rPr>
          <w:rFonts w:ascii="Times New Roman" w:hAnsi="Times New Roman"/>
          <w:sz w:val="20"/>
        </w:rPr>
        <w:t>2022</w:t>
      </w:r>
      <w:r>
        <w:rPr>
          <w:rFonts w:ascii="Times New Roman" w:hAnsi="Times New Roman"/>
          <w:sz w:val="20"/>
        </w:rPr>
        <w:t>.</w:t>
      </w:r>
      <w:r>
        <w:rPr>
          <w:rFonts w:ascii="times new roman;times" w:hAnsi="times new roman;times"/>
          <w:sz w:val="20"/>
        </w:rPr>
        <w:t> </w:t>
      </w:r>
      <w:r>
        <w:rPr>
          <w:rFonts w:ascii="Times New Roman" w:hAnsi="Times New Roman"/>
          <w:sz w:val="20"/>
        </w:rPr>
        <w:t xml:space="preserve">The share of microphones in the revenue mix increased slightly from 38% in 2021 to </w:t>
      </w:r>
      <w:r>
        <w:rPr>
          <w:rFonts w:ascii="Times New Roman" w:hAnsi="Times New Roman"/>
          <w:sz w:val="20"/>
        </w:rPr>
        <w:t>39</w:t>
      </w:r>
      <w:r>
        <w:rPr>
          <w:rFonts w:ascii="Times New Roman" w:hAnsi="Times New Roman"/>
          <w:sz w:val="20"/>
        </w:rPr>
        <w:t xml:space="preserve">% in 2022. Share of video products in the revenue mix declined significantly from 22% in </w:t>
      </w:r>
      <w:r>
        <w:rPr>
          <w:rFonts w:ascii="Times New Roman" w:hAnsi="Times New Roman"/>
          <w:sz w:val="20"/>
        </w:rPr>
        <w:t>2021</w:t>
      </w:r>
      <w:r>
        <w:rPr>
          <w:rFonts w:ascii="Times New Roman" w:hAnsi="Times New Roman"/>
          <w:sz w:val="20"/>
        </w:rPr>
        <w:t xml:space="preserve"> to 14% in </w:t>
      </w:r>
      <w:r>
        <w:rPr>
          <w:rFonts w:ascii="Times New Roman" w:hAnsi="Times New Roman"/>
          <w:sz w:val="20"/>
        </w:rPr>
        <w:t>2022</w:t>
      </w:r>
      <w:r>
        <w:rPr>
          <w:rFonts w:ascii="Times New Roman" w:hAnsi="Times New Roman"/>
          <w:sz w:val="20"/>
        </w:rPr>
        <w:t>.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During 2022, revenue decreased significantly in all regions of the world.  Asia Pacific including the Middle East </w:t>
      </w:r>
      <w:r>
        <w:rPr>
          <w:rFonts w:ascii="Times New Roman" w:hAnsi="Times New Roman"/>
          <w:sz w:val="20"/>
        </w:rPr>
        <w:t>decreased</w:t>
      </w:r>
      <w:r>
        <w:rPr>
          <w:rFonts w:ascii="Times New Roman" w:hAnsi="Times New Roman"/>
          <w:sz w:val="20"/>
        </w:rPr>
        <w:t> by 5%, Europe and Africa decreased by 24% and the Americas decreased by approximately 12%.</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We believe, although there can be no assurance, that we can return to revenue growth and generating operating profits through our strategic initiatives namely product innovation, focus on core products and cost reduction.</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33</w:t>
            </w:r>
          </w:p>
        </w:tc>
      </w:tr>
    </w:tbl>
    <w:p>
      <w:pPr>
        <w:pStyle w:val="TextBody"/>
        <w:spacing w:lineRule="auto" w:line="240"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both"/>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14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Cost of Goods Sold and Gross Profit</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and the allocation of overhead expenses.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Our gross profit during 2022</w:t>
      </w:r>
      <w:r>
        <w:rPr>
          <w:rFonts w:ascii="times new roman;times" w:hAnsi="times new roman;times"/>
          <w:sz w:val="20"/>
        </w:rPr>
        <w:t xml:space="preserve"> </w:t>
      </w:r>
      <w:r>
        <w:rPr>
          <w:rFonts w:ascii="Times New Roman" w:hAnsi="Times New Roman"/>
          <w:sz w:val="20"/>
        </w:rPr>
        <w:t>was approximately $9.5</w:t>
      </w:r>
      <w:r>
        <w:rPr>
          <w:rFonts w:ascii="times new roman;times" w:hAnsi="times new roman;times"/>
          <w:sz w:val="20"/>
        </w:rPr>
        <w:t> </w:t>
      </w:r>
      <w:r>
        <w:rPr>
          <w:rFonts w:ascii="Times New Roman" w:hAnsi="Times New Roman"/>
          <w:sz w:val="20"/>
        </w:rPr>
        <w:t>million or 38%</w:t>
      </w:r>
      <w:r>
        <w:rPr>
          <w:rFonts w:ascii="times new roman;times" w:hAnsi="times new roman;times"/>
          <w:sz w:val="20"/>
        </w:rPr>
        <w:t xml:space="preserve"> </w:t>
      </w:r>
      <w:r>
        <w:rPr>
          <w:rFonts w:ascii="Times New Roman" w:hAnsi="Times New Roman"/>
          <w:sz w:val="20"/>
        </w:rPr>
        <w:t>compared to approximately $11.9</w:t>
      </w:r>
      <w:r>
        <w:rPr>
          <w:rFonts w:ascii="times new roman;times" w:hAnsi="times new roman;times"/>
          <w:sz w:val="20"/>
        </w:rPr>
        <w:t xml:space="preserve"> </w:t>
      </w:r>
      <w:r>
        <w:rPr>
          <w:rFonts w:ascii="Times New Roman" w:hAnsi="Times New Roman"/>
          <w:sz w:val="20"/>
        </w:rPr>
        <w:t xml:space="preserve">million or </w:t>
      </w:r>
      <w:r>
        <w:rPr>
          <w:rFonts w:ascii="Times New Roman" w:hAnsi="Times New Roman"/>
          <w:sz w:val="20"/>
        </w:rPr>
        <w:t>41</w:t>
      </w:r>
      <w:r>
        <w:rPr>
          <w:rFonts w:ascii="Times New Roman" w:hAnsi="Times New Roman"/>
          <w:sz w:val="20"/>
        </w:rPr>
        <w:t>% in 2021. The gross profit margin was negatively impacted due to increase in material costs due to supply chain constraints and increased administration costs as a percentage of revenue partially offset by reduction in inventory obsolescence and freight and tariff costs.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Our profitability in the near-term continues to depend significantly on our revenues from audio conferencing products. We hold long-term inventory and if we are unable to sell our long-term inventory, our profitability might be affected by inventory write-offs and price mark-downs. Our long-term inventory includes approximately $0.5</w:t>
      </w:r>
      <w:r>
        <w:rPr>
          <w:rFonts w:ascii="times new roman;times" w:hAnsi="times new roman;times"/>
          <w:sz w:val="20"/>
        </w:rPr>
        <w:t> </w:t>
      </w:r>
      <w:r>
        <w:rPr>
          <w:rFonts w:ascii="Times New Roman" w:hAnsi="Times New Roman"/>
          <w:sz w:val="20"/>
        </w:rPr>
        <w:t>million of wireless microphone-related finished goods and assemblies, $</w:t>
      </w:r>
      <w:r>
        <w:rPr>
          <w:rFonts w:ascii="Times New Roman" w:hAnsi="Times New Roman"/>
          <w:sz w:val="20"/>
        </w:rPr>
        <w:t>1</w:t>
      </w:r>
      <w:r>
        <w:rPr>
          <w:rFonts w:ascii="Times New Roman" w:hAnsi="Times New Roman"/>
          <w:sz w:val="20"/>
        </w:rPr>
        <w:t> million of video products and about $1 million of raw materials that will be used primarily for manufacturing installed professional audio conferencing</w:t>
      </w:r>
      <w:r>
        <w:rPr>
          <w:rFonts w:ascii="times new roman;times" w:hAnsi="times new roman;times"/>
          <w:sz w:val="20"/>
        </w:rPr>
        <w:t xml:space="preserve"> </w:t>
      </w:r>
      <w:r>
        <w:rPr>
          <w:rFonts w:ascii="Times New Roman" w:hAnsi="Times New Roman"/>
          <w:sz w:val="20"/>
        </w:rPr>
        <w:t>products.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Operating Expenses and Profits (Losses)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Operating income (loss), or income (loss) from operations, is the surplus or deficit after operating expenses are deducted from gross profits. Operating expenses include sales and marketing (“S&amp;M”) expenses, research and product development (“R&amp;D”) expenses and general and administrative (“G&amp;A”) expenses. Total operating expenses were $16.7</w:t>
      </w:r>
      <w:r>
        <w:rPr>
          <w:rFonts w:ascii="times new roman;times" w:hAnsi="times new roman;times"/>
          <w:sz w:val="20"/>
        </w:rPr>
        <w:t xml:space="preserve"> </w:t>
      </w:r>
      <w:r>
        <w:rPr>
          <w:rFonts w:ascii="Times New Roman" w:hAnsi="Times New Roman"/>
          <w:sz w:val="20"/>
        </w:rPr>
        <w:t>million in 2022, compared to $19.4 million in 2021. The following contains a more detailed discussion of expenses related to sales and marketing, research and product development, general and administrative, and other items.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b/>
          <w:sz w:val="20"/>
          <w:u w:val="single"/>
        </w:rPr>
        <w:t>Sales and Marketing</w:t>
      </w:r>
      <w:r>
        <w:rPr>
          <w:rFonts w:ascii="Times New Roman" w:hAnsi="Times New Roman"/>
          <w:sz w:val="20"/>
        </w:rPr>
        <w:t>S&amp;M expenses include sales, customer service, and marketing expenses such as employee-related costs, allocations of overhead expenses, trade shows, and other advertising and selling expenses.</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 w:hAnsi="Times New Roman"/>
          <w:sz w:val="20"/>
        </w:rPr>
      </w:pPr>
      <w:r>
        <w:rPr>
          <w:rFonts w:ascii="Times New Roman" w:hAnsi="Times New Roman"/>
          <w:sz w:val="20"/>
        </w:rPr>
        <w:t xml:space="preserve">S&amp;M expenses in 2022 decreased to $5.5 million, compared to $6.7 million in 2021. </w:t>
      </w:r>
      <w:r>
        <w:rPr>
          <w:rFonts w:ascii="Times New Roman" w:hAnsi="Times New Roman"/>
          <w:b w:val="false"/>
          <w:i w:val="false"/>
          <w:caps w:val="false"/>
          <w:smallCaps w:val="false"/>
          <w:color w:val="000000"/>
          <w:spacing w:val="0"/>
          <w:sz w:val="20"/>
        </w:rPr>
        <w:t>The decrease was primarily due to (a) decreases </w:t>
      </w:r>
      <w:r>
        <w:rPr>
          <w:rFonts w:ascii="times new roman;times" w:hAnsi="times new roman;times"/>
          <w:b w:val="false"/>
          <w:i w:val="false"/>
          <w:caps w:val="false"/>
          <w:smallCaps w:val="false"/>
          <w:color w:val="000000"/>
          <w:spacing w:val="0"/>
          <w:sz w:val="20"/>
        </w:rPr>
        <w:t>in employment expenses and consultant expenses, (b) a decrease in commissions paid to employees and full-time consultants (c) a decrease in employee benefits costs, and (d) a decrease in costs of inventory used for sales demonstrations. This overall decrease was partially offset by (a) an increase in trade-show-related costs, (b) an increase in travel expenses, and (c) an increase in commissions paid to independent manufacturer representatives.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b/>
          <w:sz w:val="20"/>
          <w:u w:val="single"/>
        </w:rPr>
        <w:t>Research and Product Development</w:t>
      </w:r>
      <w:r>
        <w:rPr>
          <w:rFonts w:ascii="times new roman;times" w:hAnsi="times new roman;times"/>
          <w:sz w:val="20"/>
        </w:rPr>
        <w:t> </w:t>
      </w:r>
      <w:r>
        <w:rPr>
          <w:rFonts w:ascii="Times New Roman" w:hAnsi="Times New Roman"/>
          <w:sz w:val="20"/>
        </w:rPr>
        <w:t>R&amp;D expenses include research and development, product line management, engineering services, and test and application expenses, including employee-related costs, outside services, expensed materials, depreciation, and an allocation of overhead expenses.</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times" w:hAnsi="times new roman;times"/>
          <w:sz w:val="20"/>
        </w:rPr>
      </w:pPr>
      <w:r>
        <w:rPr>
          <w:rFonts w:ascii="Times New Roman" w:hAnsi="Times New Roman"/>
          <w:sz w:val="20"/>
        </w:rPr>
        <w:t xml:space="preserve">R&amp;D expenses </w:t>
      </w:r>
      <w:r>
        <w:rPr>
          <w:rFonts w:ascii="Times New Roman" w:hAnsi="Times New Roman"/>
          <w:sz w:val="20"/>
        </w:rPr>
        <w:t>decreased</w:t>
      </w:r>
      <w:r>
        <w:rPr>
          <w:rFonts w:ascii="times new roman;times" w:hAnsi="times new roman;times"/>
          <w:sz w:val="20"/>
        </w:rPr>
        <w:t xml:space="preserve"> </w:t>
      </w:r>
      <w:r>
        <w:rPr>
          <w:rFonts w:ascii="Times New Roman" w:hAnsi="Times New Roman"/>
          <w:sz w:val="20"/>
        </w:rPr>
        <w:t>from $5.8 million in 2021to $4.4</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 xml:space="preserve">in 2022. </w:t>
      </w:r>
      <w:r>
        <w:rPr>
          <w:rFonts w:ascii="Times New Roman" w:hAnsi="Times New Roman"/>
          <w:b w:val="false"/>
          <w:i w:val="false"/>
          <w:caps w:val="false"/>
          <w:smallCaps w:val="false"/>
          <w:color w:val="000000"/>
          <w:spacing w:val="0"/>
          <w:sz w:val="20"/>
        </w:rPr>
        <w:t>The decrease was primarily due to (a) a decrease in project-related expenses and (b) a decrease in employment expenses including salaries and benefits.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b/>
          <w:sz w:val="20"/>
          <w:u w:val="single"/>
        </w:rPr>
        <w:t>General and Administrative</w:t>
      </w:r>
      <w:r>
        <w:rPr>
          <w:rFonts w:ascii="times new roman;times" w:hAnsi="times new roman;times"/>
          <w:sz w:val="20"/>
        </w:rPr>
        <w:t> </w:t>
      </w:r>
      <w:r>
        <w:rPr>
          <w:rFonts w:ascii="Times New Roman" w:hAnsi="Times New Roman"/>
          <w:sz w:val="20"/>
        </w:rPr>
        <w:t>G&amp;A expenses include employee-related costs, professional service fees, allocations of overhead expenses, litigation costs, and corporate administrative costs, including costs related to finance and human resources.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G&amp;A expenses decreased marginally to $6.8 million in 2022,compared to $6.9 million in 2021. The decrease was primarily due to (a) a decrease in legal expenses (b) a decrease in consulting expenses, and (c) a decrease in regular employment expenses including salaries and benefits. This decrease was mostly offset by (a) increases in bonuses paid to employees and executives, and (b) an increase in amortization of capitalized legal costs related to patents litigation.</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34</w:t>
            </w:r>
          </w:p>
        </w:tc>
      </w:tr>
    </w:tbl>
    <w:p>
      <w:pPr>
        <w:pStyle w:val="TextBody"/>
        <w:spacing w:lineRule="auto" w:line="240"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both"/>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spacing w:lineRule="auto" w:line="240" w:before="14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MANAGEMENT'S DISCUSSION AND ANALYSIS OF FINANCIAL CONDITION AND RESULTS OF OPERATIONS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Other income (expense), net</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 w:hAnsi="Times New Roman"/>
          <w:sz w:val="20"/>
        </w:rPr>
      </w:pPr>
      <w:r>
        <w:rPr>
          <w:rFonts w:ascii="Times New Roman" w:hAnsi="Times New Roman"/>
          <w:sz w:val="20"/>
        </w:rPr>
        <w:t>Other income (expense), net includes interest income and foreign currency changes. Other </w:t>
      </w:r>
      <w:r>
        <w:rPr>
          <w:rFonts w:ascii="times new roman;times" w:hAnsi="times new roman;times"/>
          <w:sz w:val="20"/>
        </w:rPr>
        <w:t xml:space="preserve">income during 2022 includes (a) $1.5 million recognized on the gain arising from the CARES Act Paycheck Protection Program loan forgiveness, and (b) </w:t>
      </w:r>
      <w:r>
        <w:rPr>
          <w:rFonts w:ascii="times new roman;times" w:hAnsi="times new roman;times"/>
          <w:b w:val="false"/>
          <w:i w:val="false"/>
          <w:caps w:val="false"/>
          <w:smallCaps w:val="false"/>
          <w:color w:val="000000"/>
          <w:spacing w:val="0"/>
          <w:sz w:val="20"/>
        </w:rPr>
        <w:t>a gain recognized of $33.6 million related to the one-time legal settlement receivable of $55 million, net of unamortized capitalized legal expenses of $21.4 million.</w:t>
      </w:r>
      <w:r>
        <w:rPr>
          <w:rFonts w:ascii="times new roman;times" w:hAnsi="times new roman;times"/>
          <w:sz w:val="20"/>
        </w:rPr>
        <w:t> Other items remained immaterial in 2022 and 2021.</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sz w:val="20"/>
        </w:rPr>
      </w:pPr>
      <w:r>
        <w:rPr>
          <w:rFonts w:ascii="times new roman;times" w:hAnsi="times new roman;times"/>
          <w:sz w:val="20"/>
        </w:rPr>
        <w:t>I</w:t>
      </w:r>
      <w:r>
        <w:rPr>
          <w:rFonts w:ascii="times new roman;times" w:hAnsi="times new roman;times"/>
          <w:b w:val="false"/>
          <w:i w:val="false"/>
          <w:caps w:val="false"/>
          <w:smallCaps w:val="false"/>
          <w:color w:val="000000"/>
          <w:spacing w:val="0"/>
          <w:sz w:val="20"/>
        </w:rPr>
        <w:t xml:space="preserve">nterest expense decreased to $0.4 million in 2022 compared to $0.5 million in 2021. </w:t>
      </w:r>
      <w:r>
        <w:rPr>
          <w:sz w:val="20"/>
        </w:rPr>
        <w:t>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Provision for income taxes</w:t>
      </w:r>
    </w:p>
    <w:p>
      <w:pPr>
        <w:pStyle w:val="TextBody"/>
        <w:spacing w:lineRule="auto" w:line="240" w:before="0" w:after="0"/>
        <w:ind w:left="0" w:right="0" w:hanging="0"/>
        <w:jc w:val="both"/>
        <w:rPr/>
      </w:pPr>
      <w:r>
        <w:rPr/>
        <w:t> </w:t>
      </w:r>
    </w:p>
    <w:p>
      <w:pPr>
        <w:pStyle w:val="TextBody"/>
        <w:widowControl/>
        <w:spacing w:lineRule="auto" w:line="240" w:before="0" w:after="0"/>
        <w:ind w:left="0" w:right="0" w:hanging="0"/>
        <w:jc w:val="both"/>
        <w:rPr>
          <w:rFonts w:ascii="Times New Roman" w:hAnsi="Times New Roman"/>
          <w:sz w:val="20"/>
        </w:rPr>
      </w:pPr>
      <w:r>
        <w:rPr>
          <w:rFonts w:ascii="Times New Roman" w:hAnsi="Times New Roman"/>
          <w:sz w:val="20"/>
        </w:rPr>
        <w:t xml:space="preserve">The effective tax provision rate was </w:t>
      </w:r>
      <w:r>
        <w:rPr>
          <w:rFonts w:ascii="Times New Roman" w:hAnsi="Times New Roman"/>
          <w:sz w:val="20"/>
        </w:rPr>
        <w:t>25</w:t>
      </w:r>
      <w:r>
        <w:rPr>
          <w:rFonts w:ascii="Times New Roman" w:hAnsi="Times New Roman"/>
          <w:sz w:val="20"/>
        </w:rPr>
        <w:t>% in 2022, compared to 4% effective tax benefit rate during 2021. Income tax provision for 2022 was $6.9 million as compared to an income tax benefit of $0.3 million in 2021. The significant change in income taxes was </w:t>
      </w:r>
      <w:r>
        <w:rPr>
          <w:rFonts w:ascii="times new roman;times" w:hAnsi="times new roman;times"/>
          <w:b w:val="false"/>
          <w:i w:val="false"/>
          <w:caps w:val="false"/>
          <w:smallCaps w:val="false"/>
          <w:color w:val="000000"/>
          <w:spacing w:val="0"/>
          <w:sz w:val="20"/>
        </w:rPr>
        <w:t>primarily due to an increase in net income due to the recognition of a one-time settlement payment. </w:t>
      </w:r>
      <w:r>
        <w:rPr>
          <w:rFonts w:ascii="Times New Roman" w:hAnsi="Times New Roman"/>
          <w:sz w:val="20"/>
        </w:rPr>
        <w:t>We have been recording a valuation allowance against net deferred tax assets since 2018 and have not been claiming tax benefit for our losses as we have concluded that it is more likely than not that our deferred tax assets were not realizable, primarily due to our recent pre-tax losses.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LIQUIDITY, CAPITAL RESOURCES AND FINANCIAL POSITION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As of December 31, 2022, our cash and cash equivalents were approximately $1.0</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compared to $1.1</w:t>
      </w:r>
      <w:r>
        <w:rPr>
          <w:rFonts w:ascii="times new roman;times" w:hAnsi="times new roman;times"/>
          <w:sz w:val="20"/>
        </w:rPr>
        <w:t> </w:t>
      </w:r>
      <w:r>
        <w:rPr>
          <w:rFonts w:ascii="Times New Roman" w:hAnsi="Times New Roman"/>
          <w:sz w:val="20"/>
        </w:rPr>
        <w:t>million as of December 31, 2021. Our working capital was $</w:t>
      </w:r>
      <w:r>
        <w:rPr>
          <w:rFonts w:ascii="Times New Roman" w:hAnsi="Times New Roman"/>
          <w:sz w:val="20"/>
        </w:rPr>
        <w:t>69.3</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and $18.0 million as of December 31, 2022 and 2021, respectively.</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Net cash flows used</w:t>
      </w:r>
      <w:r>
        <w:rPr>
          <w:rFonts w:ascii="times new roman;times" w:hAnsi="times new roman;times"/>
          <w:sz w:val="20"/>
        </w:rPr>
        <w:t> </w:t>
      </w:r>
      <w:r>
        <w:rPr>
          <w:rFonts w:ascii="Times New Roman" w:hAnsi="Times New Roman"/>
          <w:sz w:val="20"/>
        </w:rPr>
        <w:t>in operating activities were approximately $4.2</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during 2022, a</w:t>
      </w:r>
      <w:r>
        <w:rPr>
          <w:rFonts w:ascii="times new roman;times" w:hAnsi="times new roman;times"/>
          <w:sz w:val="20"/>
        </w:rPr>
        <w:t> </w:t>
      </w:r>
      <w:r>
        <w:rPr>
          <w:rFonts w:ascii="Times New Roman" w:hAnsi="Times New Roman"/>
          <w:sz w:val="20"/>
        </w:rPr>
        <w:t>decrease of approximately $0.2</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from $4.4</w:t>
      </w:r>
      <w:r>
        <w:rPr>
          <w:rFonts w:ascii="times new roman;times" w:hAnsi="times new roman;times"/>
          <w:sz w:val="20"/>
        </w:rPr>
        <w:t xml:space="preserve"> </w:t>
      </w:r>
      <w:r>
        <w:rPr>
          <w:rFonts w:ascii="Times New Roman" w:hAnsi="Times New Roman"/>
          <w:sz w:val="20"/>
        </w:rPr>
        <w:t>million used</w:t>
      </w:r>
      <w:r>
        <w:rPr>
          <w:rFonts w:ascii="times new roman;times" w:hAnsi="times new roman;times"/>
          <w:sz w:val="20"/>
        </w:rPr>
        <w:t> </w:t>
      </w:r>
      <w:r>
        <w:rPr>
          <w:rFonts w:ascii="Times New Roman" w:hAnsi="Times New Roman"/>
          <w:sz w:val="20"/>
        </w:rPr>
        <w:t xml:space="preserve">in operating activities in 2021. The decrease in cash used was due to (a) a change in net income by $28.3 million from a net loss of $7.7 million in </w:t>
      </w:r>
      <w:r>
        <w:rPr>
          <w:rFonts w:ascii="Times New Roman" w:hAnsi="Times New Roman"/>
          <w:sz w:val="20"/>
        </w:rPr>
        <w:t>2021</w:t>
      </w:r>
      <w:r>
        <w:rPr>
          <w:rFonts w:ascii="Times New Roman" w:hAnsi="Times New Roman"/>
          <w:sz w:val="20"/>
        </w:rPr>
        <w:t xml:space="preserve"> to a net income of $20.6 million in </w:t>
      </w:r>
      <w:r>
        <w:rPr>
          <w:rFonts w:ascii="Times New Roman" w:hAnsi="Times New Roman"/>
          <w:sz w:val="20"/>
        </w:rPr>
        <w:t>2022</w:t>
      </w:r>
      <w:r>
        <w:rPr>
          <w:rFonts w:ascii="Times New Roman" w:hAnsi="Times New Roman"/>
          <w:sz w:val="20"/>
        </w:rPr>
        <w:t>, (b) a</w:t>
      </w:r>
      <w:r>
        <w:rPr>
          <w:rFonts w:ascii="times new roman;times" w:hAnsi="times new roman;times"/>
          <w:sz w:val="20"/>
        </w:rPr>
        <w:t> </w:t>
      </w:r>
      <w:r>
        <w:rPr>
          <w:rFonts w:ascii="Times New Roman" w:hAnsi="Times New Roman"/>
          <w:sz w:val="20"/>
        </w:rPr>
        <w:t>decrease of $35.7 million in non-cash charges primarily due to the recognition of a gain from the one-time settlement payment which was not received before the end of the year, and (c) a decrease in cash outflows due to change in operating assets and liabilities of $7.6</w:t>
      </w:r>
      <w:r>
        <w:rPr>
          <w:rFonts w:ascii="times new roman;times" w:hAnsi="times new roman;times"/>
          <w:sz w:val="20"/>
        </w:rPr>
        <w:t> </w:t>
      </w:r>
      <w:r>
        <w:rPr>
          <w:rFonts w:ascii="Times New Roman" w:hAnsi="Times New Roman"/>
          <w:sz w:val="20"/>
        </w:rPr>
        <w:t xml:space="preserve">million which included among other things cash inflows due to (i) a $6.8 million change in income tax receivable and (ii) a $5.5 million change in accounts payable, partially offset by (iii) a $3.2 million change in prepaid expenses.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Net cash provided by investing activities was $2.1 million in 2022 compared to $8.5 million used in investing activities in  </w:t>
      </w:r>
      <w:r>
        <w:rPr>
          <w:rFonts w:ascii="Times New Roman" w:hAnsi="Times New Roman"/>
          <w:sz w:val="20"/>
        </w:rPr>
        <w:t>2022</w:t>
      </w:r>
      <w:r>
        <w:rPr>
          <w:rFonts w:ascii="Times New Roman" w:hAnsi="Times New Roman"/>
          <w:sz w:val="20"/>
        </w:rPr>
        <w:t>, a decrease in cash used of $10.6 million. The decrease in cash used in investing activities in 2022 was primarily due to (a) a decrease of $7.1 million in capitalized legal spending, and (b) an increase in net cash inflows from sale of marketable securities of approximately $3.2 million.</w:t>
      </w:r>
    </w:p>
    <w:p>
      <w:pPr>
        <w:pStyle w:val="TextBody"/>
        <w:spacing w:lineRule="auto" w:line="240" w:before="0" w:after="0"/>
        <w:ind w:left="0" w:right="0" w:hanging="0"/>
        <w:jc w:val="both"/>
        <w:rPr/>
      </w:pPr>
      <w:r>
        <w:rPr/>
        <w:t> </w:t>
      </w:r>
    </w:p>
    <w:p>
      <w:pPr>
        <w:pStyle w:val="TextBody"/>
        <w:widowControl/>
        <w:spacing w:lineRule="auto" w:line="288" w:before="0" w:after="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Net cash provided by financing activities was $2.1 million during 2022 compared to net cash</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provided by financing activities of $10.2 million during 2021, a decrease in cash provided of $8.2 million. The decrease was primarily due to a decrease in cash raised through equity and debt issuances of $11.3 million in 2021 to $2.0 million in 2022. This decrease was partially offset by $0.8 million refund of </w:t>
      </w:r>
      <w:r>
        <w:rPr>
          <w:rFonts w:ascii="times new roman;times" w:hAnsi="times new roman;times"/>
          <w:b w:val="false"/>
          <w:i w:val="false"/>
          <w:caps w:val="false"/>
          <w:smallCaps w:val="false"/>
          <w:color w:val="000000"/>
          <w:spacing w:val="0"/>
          <w:sz w:val="20"/>
        </w:rPr>
        <w:t>CARES Act Paycheck Protection Program Loan. </w:t>
      </w:r>
      <w:r>
        <w:rPr>
          <w:rFonts w:ascii="Times New Roman" w:hAnsi="Times New Roman"/>
          <w:b w:val="false"/>
          <w:i w:val="false"/>
          <w:caps w:val="false"/>
          <w:smallCaps w:val="false"/>
          <w:color w:val="000000"/>
          <w:spacing w:val="0"/>
          <w:sz w:val="20"/>
        </w:rPr>
        <w:t> </w:t>
      </w:r>
    </w:p>
    <w:p>
      <w:pPr>
        <w:pStyle w:val="TextBody"/>
        <w:widowControl/>
        <w:spacing w:lineRule="auto" w:line="288"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Capitalization of patent defense costs</w:t>
      </w:r>
      <w:r>
        <w:rPr>
          <w:rFonts w:ascii="Times New Roman" w:hAnsi="Times New Roman"/>
          <w:sz w:val="20"/>
        </w:rPr>
        <w:t>. We capitalized external legal costs incurred in the defense of our patents when we believe that a significant, discernible increase in value will result from the defense and a successful outcome of the legal action is probable. When we capitalize patent defense costs</w:t>
      </w:r>
      <w:r>
        <w:rPr>
          <w:rFonts w:ascii="times new roman;times" w:hAnsi="times new roman;times"/>
          <w:sz w:val="20"/>
        </w:rPr>
        <w:t xml:space="preserve"> </w:t>
      </w:r>
      <w:r>
        <w:rPr>
          <w:rFonts w:ascii="Times New Roman" w:hAnsi="Times New Roman"/>
          <w:sz w:val="20"/>
        </w:rPr>
        <w:t>we amortize the costs over the remaining estimated useful life of the patent, which is 15 to 17 years. During 2022</w:t>
      </w:r>
      <w:r>
        <w:rPr>
          <w:rFonts w:ascii="times new roman;times" w:hAnsi="times new roman;times"/>
          <w:sz w:val="20"/>
        </w:rPr>
        <w:t xml:space="preserve"> </w:t>
      </w:r>
      <w:r>
        <w:rPr>
          <w:rFonts w:ascii="Times New Roman" w:hAnsi="Times New Roman"/>
          <w:sz w:val="20"/>
        </w:rPr>
        <w:t>we spent $</w:t>
      </w:r>
      <w:r>
        <w:rPr>
          <w:rFonts w:ascii="Times New Roman" w:hAnsi="Times New Roman"/>
          <w:sz w:val="20"/>
        </w:rPr>
        <w:t>0.7</w:t>
      </w:r>
      <w:r>
        <w:rPr>
          <w:rFonts w:ascii="Times New Roman" w:hAnsi="Times New Roman"/>
          <w:sz w:val="20"/>
        </w:rPr>
        <w:t> million</w:t>
      </w:r>
      <w:r>
        <w:rPr>
          <w:rFonts w:ascii="times new roman;times" w:hAnsi="times new roman;times"/>
          <w:sz w:val="20"/>
        </w:rPr>
        <w:t xml:space="preserve"> </w:t>
      </w:r>
      <w:r>
        <w:rPr>
          <w:rFonts w:ascii="Times New Roman" w:hAnsi="Times New Roman"/>
          <w:sz w:val="20"/>
        </w:rPr>
        <w:t>of legal costs related to the defense of our patents and capitalized the entire amount. As of December 31, 2022, the unamortized balance of capitalized legal expenses of $21.4 million was fully netted against the one-time settlement amount of $55 million and a gain of $33.6 million was recognized.</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35</w:t>
            </w:r>
          </w:p>
        </w:tc>
      </w:tr>
    </w:tbl>
    <w:p>
      <w:pPr>
        <w:pStyle w:val="TextBody"/>
        <w:spacing w:lineRule="auto" w:line="240"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jc w:val="both"/>
        <w:rPr/>
      </w:pPr>
      <w:r>
        <w:rPr/>
      </w:r>
    </w:p>
    <w:p>
      <w:pPr>
        <w:pStyle w:val="TextBody"/>
        <w:spacing w:lineRule="auto" w:line="240" w:before="0" w:after="0"/>
        <w:jc w:val="left"/>
        <w:rPr/>
      </w:pPr>
      <w:hyperlink w:anchor="TOC">
        <w:r>
          <w:rPr>
            <w:rStyle w:val="InternetLink"/>
            <w:rFonts w:ascii="times new roman;times" w:hAnsi="times new roman;times"/>
            <w:sz w:val="20"/>
          </w:rPr>
          <w:t>Table of Contents</w:t>
        </w:r>
      </w:hyperlink>
    </w:p>
    <w:p>
      <w:pPr>
        <w:pStyle w:val="TextBody"/>
        <w:spacing w:lineRule="auto" w:line="240" w:before="180" w:after="0"/>
        <w:ind w:left="0" w:right="0" w:hanging="0"/>
        <w:jc w:val="center"/>
        <w:rPr/>
      </w:pPr>
      <w:r>
        <w:rPr/>
        <w:t> </w:t>
      </w:r>
      <w:r>
        <w:rPr>
          <w:rFonts w:ascii="Times New Roman" w:hAnsi="Times New Roman"/>
          <w:b/>
          <w:sz w:val="20"/>
        </w:rPr>
        <w:t>MANAGEMENT'S DISCUSSION AND ANALYSIS OF FINANCIAL CONDITION AND RESULTS OF OPERATIONS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t>In order to maintain liquidity, the Company has been actively engaged in preserving cash by implementing company-wide cost reduction measures and raising additional capital. The company raised additional capital in 2019 by issuing senior convertible notes, in 2020 by borrowing through the CARES Act Paycheck Protection Program and issuing common stock and warrants and in 2021 by issuing short-term notes and issuing common stock and warrants. In January 2022, the Company issued $2,000 in common stock as consideration for the cancellation and termination of the short-term notes. In October 2022, the Company issued short term notes to raise $2,000. In addition, the Company has been generating additional cash as our inventory levels are brought down to historical levels.  The Company also believes that the Company's core strategies of product innovation and prudent cost management will bring the company back to profitability in the future. The Company believes, although there can be no assurance, that all of these measures and effective management of working capital, along with the current cash balance after the receipt of proceeds from legal settlement, will provide the liquidity needed to meet our operating needs through at least March 31, 2024. </w:t>
      </w:r>
    </w:p>
    <w:p>
      <w:pPr>
        <w:pStyle w:val="TextBody"/>
        <w:spacing w:lineRule="auto" w:line="240" w:before="0" w:after="0"/>
        <w:ind w:left="0" w:right="0" w:hanging="0"/>
        <w:jc w:val="both"/>
        <w:rPr>
          <w:color w:val="000000"/>
          <w:sz w:val="20"/>
        </w:rPr>
      </w:pPr>
      <w:r>
        <w:rPr>
          <w:color w:val="000000"/>
          <w:sz w:val="20"/>
        </w:rPr>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2022, we had open purchase orders of approximately $2.0</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mostly for purchase of inventory.</w:t>
      </w:r>
    </w:p>
    <w:p>
      <w:pPr>
        <w:pStyle w:val="TextBody"/>
        <w:widowControl/>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2022, we had inventory totaling $11.7</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of which non-current inventory accounted for $2.7</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This compares to total inventories of $</w:t>
      </w:r>
      <w:r>
        <w:rPr>
          <w:rFonts w:ascii="Times New Roman" w:hAnsi="Times New Roman"/>
          <w:b w:val="false"/>
          <w:i w:val="false"/>
          <w:caps w:val="false"/>
          <w:smallCaps w:val="false"/>
          <w:color w:val="000000"/>
          <w:spacing w:val="0"/>
          <w:sz w:val="20"/>
        </w:rPr>
        <w:t>13.6</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and non-current inventory of $3.6</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as of December 31, 2021.</w:t>
      </w:r>
    </w:p>
    <w:p>
      <w:pPr>
        <w:pStyle w:val="TextBody"/>
        <w:shd w:fill="FFFFFF" w:val="clear"/>
        <w:spacing w:lineRule="auto" w:line="240" w:before="180" w:after="0"/>
        <w:ind w:left="0" w:right="0" w:hanging="0"/>
        <w:jc w:val="both"/>
        <w:rPr>
          <w:rFonts w:ascii="times new roman;times" w:hAnsi="times new roman;times"/>
          <w:b/>
          <w:sz w:val="20"/>
        </w:rPr>
      </w:pPr>
      <w:r>
        <w:rPr>
          <w:rFonts w:ascii="times new roman;times" w:hAnsi="times new roman;times"/>
          <w:b/>
          <w:sz w:val="20"/>
        </w:rPr>
        <w:t>Contractual Obligations and Commitments</w:t>
      </w:r>
    </w:p>
    <w:p>
      <w:pPr>
        <w:pStyle w:val="TextBody"/>
        <w:spacing w:lineRule="auto" w:line="240" w:before="0" w:after="0"/>
        <w:ind w:left="0" w:right="0" w:hanging="0"/>
        <w:jc w:val="both"/>
        <w:rPr/>
      </w:pPr>
      <w:r>
        <w:rPr/>
        <w:t> </w:t>
      </w:r>
    </w:p>
    <w:p>
      <w:pPr>
        <w:pStyle w:val="TextBody"/>
        <w:spacing w:lineRule="auto" w:line="240" w:before="0" w:after="140"/>
        <w:ind w:left="0" w:right="0" w:firstLine="816"/>
        <w:rPr>
          <w:rFonts w:ascii="times new roman;times" w:hAnsi="times new roman;times"/>
          <w:sz w:val="20"/>
        </w:rPr>
      </w:pPr>
      <w:r>
        <w:rPr>
          <w:rFonts w:ascii="Times New Roman;serif" w:hAnsi="Times New Roman;serif"/>
          <w:color w:val="212529"/>
          <w:sz w:val="20"/>
        </w:rPr>
        <w:t>The following table summarizes our contractual obligations as of December 31, 2022 (in millions):</w:t>
      </w:r>
      <w:r>
        <w:rPr>
          <w:rFonts w:ascii="times new roman;times" w:hAnsi="times new roman;times"/>
          <w:color w:val="212529"/>
          <w:sz w:val="2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4219"/>
        <w:gridCol w:w="164"/>
        <w:gridCol w:w="220"/>
        <w:gridCol w:w="335"/>
        <w:gridCol w:w="164"/>
        <w:gridCol w:w="165"/>
        <w:gridCol w:w="373"/>
        <w:gridCol w:w="569"/>
        <w:gridCol w:w="164"/>
        <w:gridCol w:w="165"/>
        <w:gridCol w:w="340"/>
        <w:gridCol w:w="520"/>
        <w:gridCol w:w="165"/>
        <w:gridCol w:w="164"/>
        <w:gridCol w:w="340"/>
        <w:gridCol w:w="520"/>
        <w:gridCol w:w="165"/>
        <w:gridCol w:w="164"/>
        <w:gridCol w:w="446"/>
        <w:gridCol w:w="645"/>
        <w:gridCol w:w="198"/>
      </w:tblGrid>
      <w:tr>
        <w:trPr/>
        <w:tc>
          <w:tcPr>
            <w:tcW w:w="4219" w:type="dxa"/>
            <w:tcBorders/>
            <w:shd w:fill="auto" w:val="clear"/>
            <w:vAlign w:val="bottom"/>
          </w:tcPr>
          <w:p>
            <w:pPr>
              <w:pStyle w:val="TableContents"/>
              <w:spacing w:before="0" w:after="0"/>
              <w:ind w:left="0" w:right="0" w:hanging="0"/>
              <w:jc w:val="center"/>
              <w:rPr/>
            </w:pPr>
            <w:r>
              <w:rPr/>
              <w:t xml:space="preserve">  </w:t>
            </w:r>
          </w:p>
        </w:tc>
        <w:tc>
          <w:tcPr>
            <w:tcW w:w="164" w:type="dxa"/>
            <w:tcBorders/>
            <w:shd w:fill="FFFFFF" w:val="clear"/>
            <w:vAlign w:val="bottom"/>
          </w:tcPr>
          <w:p>
            <w:pPr>
              <w:pStyle w:val="TableContents"/>
              <w:spacing w:before="0" w:after="0"/>
              <w:ind w:left="0" w:right="0" w:hanging="0"/>
              <w:rPr>
                <w:color w:val="000000"/>
              </w:rPr>
            </w:pPr>
            <w:r>
              <w:rPr>
                <w:color w:val="000000"/>
              </w:rPr>
              <w:t> </w:t>
            </w:r>
          </w:p>
        </w:tc>
        <w:tc>
          <w:tcPr>
            <w:tcW w:w="5624" w:type="dxa"/>
            <w:gridSpan w:val="1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Payment Due by Period</w:t>
            </w:r>
          </w:p>
        </w:tc>
        <w:tc>
          <w:tcPr>
            <w:tcW w:w="198" w:type="dxa"/>
            <w:tcBorders/>
            <w:shd w:fill="auto" w:val="clear"/>
            <w:vAlign w:val="bottom"/>
          </w:tcPr>
          <w:p>
            <w:pPr>
              <w:pStyle w:val="TableContents"/>
              <w:spacing w:before="0" w:after="0"/>
              <w:ind w:left="0" w:right="0" w:hanging="0"/>
              <w:rPr>
                <w:color w:val="000000"/>
              </w:rPr>
            </w:pPr>
            <w:r>
              <w:rPr>
                <w:color w:val="000000"/>
              </w:rPr>
              <w:t> </w:t>
            </w:r>
          </w:p>
        </w:tc>
      </w:tr>
      <w:tr>
        <w:trPr/>
        <w:tc>
          <w:tcPr>
            <w:tcW w:w="4219" w:type="dxa"/>
            <w:tcBorders/>
            <w:shd w:fill="auto" w:val="clear"/>
            <w:vAlign w:val="bottom"/>
          </w:tcPr>
          <w:p>
            <w:pPr>
              <w:pStyle w:val="TableContents"/>
              <w:spacing w:before="0" w:after="0"/>
              <w:ind w:left="0" w:right="0" w:hanging="0"/>
              <w:jc w:val="center"/>
              <w:rPr>
                <w:color w:val="000000"/>
              </w:rPr>
            </w:pPr>
            <w:r>
              <w:rPr>
                <w:color w:val="000000"/>
              </w:rPr>
              <w:t> </w:t>
            </w:r>
          </w:p>
        </w:tc>
        <w:tc>
          <w:tcPr>
            <w:tcW w:w="164" w:type="dxa"/>
            <w:tcBorders/>
            <w:shd w:fill="auto" w:val="clear"/>
            <w:vAlign w:val="bottom"/>
          </w:tcPr>
          <w:p>
            <w:pPr>
              <w:pStyle w:val="TableContents"/>
              <w:spacing w:before="0" w:after="0"/>
              <w:ind w:left="0" w:right="0" w:hanging="0"/>
              <w:rPr>
                <w:color w:val="000000"/>
              </w:rPr>
            </w:pPr>
            <w:r>
              <w:rPr>
                <w:color w:val="000000"/>
              </w:rPr>
              <w:t> </w:t>
            </w:r>
          </w:p>
        </w:tc>
        <w:tc>
          <w:tcPr>
            <w:tcW w:w="555" w:type="dxa"/>
            <w:gridSpan w:val="2"/>
            <w:tcBorders>
              <w:bottom w:val="single" w:sz="2" w:space="0" w:color="000000"/>
            </w:tcBorders>
            <w:shd w:fill="auto"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Total</w:t>
            </w:r>
          </w:p>
        </w:tc>
        <w:tc>
          <w:tcPr>
            <w:tcW w:w="164" w:type="dxa"/>
            <w:tcBorders/>
            <w:shd w:fill="auto" w:val="clear"/>
            <w:vAlign w:val="bottom"/>
          </w:tcPr>
          <w:p>
            <w:pPr>
              <w:pStyle w:val="TableContents"/>
              <w:spacing w:before="0" w:after="0"/>
              <w:ind w:left="0" w:right="0" w:hanging="0"/>
              <w:rPr>
                <w:color w:val="000000"/>
              </w:rPr>
            </w:pPr>
            <w:r>
              <w:rPr>
                <w:color w:val="000000"/>
              </w:rPr>
              <w:t> </w:t>
            </w:r>
          </w:p>
        </w:tc>
        <w:tc>
          <w:tcPr>
            <w:tcW w:w="165" w:type="dxa"/>
            <w:tcBorders/>
            <w:shd w:fill="auto" w:val="clear"/>
            <w:vAlign w:val="bottom"/>
          </w:tcPr>
          <w:p>
            <w:pPr>
              <w:pStyle w:val="TableContents"/>
              <w:spacing w:before="0" w:after="0"/>
              <w:ind w:left="0" w:right="0" w:hanging="0"/>
              <w:rPr>
                <w:color w:val="000000"/>
              </w:rPr>
            </w:pPr>
            <w:r>
              <w:rPr>
                <w:color w:val="000000"/>
              </w:rPr>
              <w:t> </w:t>
            </w:r>
          </w:p>
        </w:tc>
        <w:tc>
          <w:tcPr>
            <w:tcW w:w="942"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lineRule="auto" w:line="288"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Less Than</w:t>
            </w:r>
          </w:p>
          <w:p>
            <w:pPr>
              <w:pStyle w:val="TableContents"/>
              <w:spacing w:lineRule="auto" w:line="288"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1 Year</w:t>
            </w:r>
          </w:p>
        </w:tc>
        <w:tc>
          <w:tcPr>
            <w:tcW w:w="164" w:type="dxa"/>
            <w:tcBorders/>
            <w:shd w:fill="auto" w:val="clear"/>
            <w:vAlign w:val="bottom"/>
          </w:tcPr>
          <w:p>
            <w:pPr>
              <w:pStyle w:val="TableContents"/>
              <w:spacing w:before="0" w:after="0"/>
              <w:ind w:left="0" w:right="0" w:hanging="0"/>
              <w:rPr>
                <w:color w:val="000000"/>
              </w:rPr>
            </w:pPr>
            <w:r>
              <w:rPr>
                <w:color w:val="000000"/>
              </w:rPr>
              <w:t> </w:t>
            </w:r>
          </w:p>
        </w:tc>
        <w:tc>
          <w:tcPr>
            <w:tcW w:w="165" w:type="dxa"/>
            <w:tcBorders/>
            <w:shd w:fill="auto" w:val="clear"/>
            <w:vAlign w:val="bottom"/>
          </w:tcPr>
          <w:p>
            <w:pPr>
              <w:pStyle w:val="TableContents"/>
              <w:spacing w:before="0" w:after="0"/>
              <w:ind w:left="0" w:right="0" w:hanging="0"/>
              <w:rPr>
                <w:color w:val="000000"/>
              </w:rPr>
            </w:pPr>
            <w:r>
              <w:rPr>
                <w:color w:val="000000"/>
              </w:rPr>
              <w:t> </w:t>
            </w:r>
          </w:p>
        </w:tc>
        <w:tc>
          <w:tcPr>
            <w:tcW w:w="860"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1-3 Years</w:t>
            </w:r>
          </w:p>
        </w:tc>
        <w:tc>
          <w:tcPr>
            <w:tcW w:w="165" w:type="dxa"/>
            <w:tcBorders/>
            <w:shd w:fill="auto" w:val="clear"/>
            <w:vAlign w:val="bottom"/>
          </w:tcPr>
          <w:p>
            <w:pPr>
              <w:pStyle w:val="TableContents"/>
              <w:spacing w:before="0" w:after="0"/>
              <w:ind w:left="0" w:right="0" w:hanging="0"/>
              <w:rPr>
                <w:color w:val="000000"/>
              </w:rPr>
            </w:pPr>
            <w:r>
              <w:rPr>
                <w:color w:val="000000"/>
              </w:rPr>
              <w:t> </w:t>
            </w:r>
          </w:p>
        </w:tc>
        <w:tc>
          <w:tcPr>
            <w:tcW w:w="164" w:type="dxa"/>
            <w:tcBorders/>
            <w:shd w:fill="auto" w:val="clear"/>
            <w:vAlign w:val="bottom"/>
          </w:tcPr>
          <w:p>
            <w:pPr>
              <w:pStyle w:val="TableContents"/>
              <w:spacing w:before="0" w:after="0"/>
              <w:ind w:left="0" w:right="0" w:hanging="0"/>
              <w:rPr>
                <w:color w:val="000000"/>
              </w:rPr>
            </w:pPr>
            <w:r>
              <w:rPr>
                <w:color w:val="000000"/>
              </w:rPr>
              <w:t> </w:t>
            </w:r>
          </w:p>
        </w:tc>
        <w:tc>
          <w:tcPr>
            <w:tcW w:w="860" w:type="dxa"/>
            <w:gridSpan w:val="2"/>
            <w:tcBorders>
              <w:bottom w:val="single" w:sz="2" w:space="0" w:color="000000"/>
            </w:tcBorders>
            <w:shd w:fill="auto"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3-5 Years</w:t>
            </w:r>
          </w:p>
        </w:tc>
        <w:tc>
          <w:tcPr>
            <w:tcW w:w="165" w:type="dxa"/>
            <w:tcBorders/>
            <w:shd w:fill="auto" w:val="clear"/>
            <w:vAlign w:val="bottom"/>
          </w:tcPr>
          <w:p>
            <w:pPr>
              <w:pStyle w:val="TableContents"/>
              <w:spacing w:before="0" w:after="0"/>
              <w:ind w:left="0" w:right="0" w:hanging="0"/>
              <w:rPr>
                <w:color w:val="000000"/>
              </w:rPr>
            </w:pPr>
            <w:r>
              <w:rPr>
                <w:color w:val="000000"/>
              </w:rPr>
              <w:t> </w:t>
            </w:r>
          </w:p>
        </w:tc>
        <w:tc>
          <w:tcPr>
            <w:tcW w:w="164" w:type="dxa"/>
            <w:tcBorders/>
            <w:shd w:fill="auto" w:val="clear"/>
            <w:vAlign w:val="bottom"/>
          </w:tcPr>
          <w:p>
            <w:pPr>
              <w:pStyle w:val="TableContents"/>
              <w:spacing w:lineRule="auto" w:line="288" w:before="0" w:after="0"/>
              <w:ind w:left="0" w:right="0" w:hanging="0"/>
              <w:jc w:val="center"/>
              <w:rPr>
                <w:color w:val="000000"/>
              </w:rPr>
            </w:pPr>
            <w:r>
              <w:rPr>
                <w:color w:val="000000"/>
              </w:rPr>
              <w:t> </w:t>
            </w:r>
          </w:p>
        </w:tc>
        <w:tc>
          <w:tcPr>
            <w:tcW w:w="1091" w:type="dxa"/>
            <w:gridSpan w:val="2"/>
            <w:tcBorders>
              <w:bottom w:val="single" w:sz="2" w:space="0" w:color="000000"/>
            </w:tcBorders>
            <w:shd w:fill="auto" w:val="clear"/>
            <w:tcMar>
              <w:bottom w:w="28" w:type="dxa"/>
            </w:tcMar>
            <w:vAlign w:val="bottom"/>
          </w:tcPr>
          <w:p>
            <w:pPr>
              <w:pStyle w:val="TableContents"/>
              <w:spacing w:lineRule="auto" w:line="288"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More than 5</w:t>
            </w:r>
          </w:p>
          <w:p>
            <w:pPr>
              <w:pStyle w:val="TableContents"/>
              <w:spacing w:lineRule="auto" w:line="288"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years</w:t>
            </w:r>
          </w:p>
        </w:tc>
        <w:tc>
          <w:tcPr>
            <w:tcW w:w="198" w:type="dxa"/>
            <w:tcBorders/>
            <w:shd w:fill="auto" w:val="clear"/>
            <w:vAlign w:val="bottom"/>
          </w:tcPr>
          <w:p>
            <w:pPr>
              <w:pStyle w:val="TableContents"/>
              <w:spacing w:before="0" w:after="0"/>
              <w:ind w:left="0" w:right="0" w:hanging="0"/>
              <w:rPr>
                <w:color w:val="000000"/>
              </w:rPr>
            </w:pPr>
            <w:r>
              <w:rPr>
                <w:color w:val="000000"/>
              </w:rPr>
              <w:t> </w:t>
            </w:r>
          </w:p>
        </w:tc>
      </w:tr>
      <w:tr>
        <w:trPr/>
        <w:tc>
          <w:tcPr>
            <w:tcW w:w="4219"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Senior Convertible Notes and short-term notes </w:t>
            </w:r>
          </w:p>
        </w:tc>
        <w:tc>
          <w:tcPr>
            <w:tcW w:w="164" w:type="dxa"/>
            <w:tcBorders/>
            <w:shd w:fill="CFF0FC" w:val="clear"/>
            <w:vAlign w:val="bottom"/>
          </w:tcPr>
          <w:p>
            <w:pPr>
              <w:pStyle w:val="TableContents"/>
              <w:spacing w:before="0" w:after="0"/>
              <w:ind w:left="0" w:right="0" w:hanging="0"/>
              <w:rPr>
                <w:color w:val="000000"/>
              </w:rPr>
            </w:pPr>
            <w:r>
              <w:rPr>
                <w:color w:val="000000"/>
              </w:rPr>
              <w:t xml:space="preserve">  </w:t>
            </w:r>
          </w:p>
        </w:tc>
        <w:tc>
          <w:tcPr>
            <w:tcW w:w="220" w:type="dxa"/>
            <w:tcBorders/>
            <w:shd w:fill="CFF0FC"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335" w:type="dxa"/>
            <w:tcBorders/>
            <w:shd w:fill="CFF0FC"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3.9</w:t>
            </w:r>
          </w:p>
        </w:tc>
        <w:tc>
          <w:tcPr>
            <w:tcW w:w="164" w:type="dxa"/>
            <w:tcBorders/>
            <w:shd w:fill="CFF0FC" w:val="clear"/>
            <w:vAlign w:val="bottom"/>
          </w:tcPr>
          <w:p>
            <w:pPr>
              <w:pStyle w:val="TableContents"/>
              <w:spacing w:before="0" w:after="0"/>
              <w:ind w:left="0" w:right="0" w:hanging="0"/>
              <w:rPr>
                <w:color w:val="000000"/>
              </w:rPr>
            </w:pPr>
            <w:r>
              <w:rPr>
                <w:color w:val="000000"/>
              </w:rPr>
              <w:t xml:space="preserve">  </w:t>
            </w:r>
          </w:p>
        </w:tc>
        <w:tc>
          <w:tcPr>
            <w:tcW w:w="165" w:type="dxa"/>
            <w:tcBorders/>
            <w:shd w:fill="CFF0FC" w:val="clear"/>
            <w:vAlign w:val="bottom"/>
          </w:tcPr>
          <w:p>
            <w:pPr>
              <w:pStyle w:val="TableContents"/>
              <w:spacing w:before="0" w:after="0"/>
              <w:ind w:left="0" w:right="0" w:hanging="0"/>
              <w:rPr>
                <w:color w:val="000000"/>
              </w:rPr>
            </w:pPr>
            <w:r>
              <w:rPr>
                <w:color w:val="000000"/>
              </w:rPr>
              <w:t xml:space="preserve">  </w:t>
            </w:r>
          </w:p>
        </w:tc>
        <w:tc>
          <w:tcPr>
            <w:tcW w:w="373" w:type="dxa"/>
            <w:tcBorders/>
            <w:shd w:fill="CFF0FC"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569" w:type="dxa"/>
            <w:tcBorders/>
            <w:shd w:fill="CFF0FC"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3.9</w:t>
            </w:r>
          </w:p>
        </w:tc>
        <w:tc>
          <w:tcPr>
            <w:tcW w:w="164" w:type="dxa"/>
            <w:tcBorders/>
            <w:shd w:fill="CFF0FC" w:val="clear"/>
            <w:vAlign w:val="bottom"/>
          </w:tcPr>
          <w:p>
            <w:pPr>
              <w:pStyle w:val="TableContents"/>
              <w:spacing w:before="0" w:after="0"/>
              <w:ind w:left="0" w:right="0" w:hanging="0"/>
              <w:rPr>
                <w:color w:val="000000"/>
              </w:rPr>
            </w:pPr>
            <w:r>
              <w:rPr>
                <w:color w:val="000000"/>
              </w:rPr>
              <w:t xml:space="preserve">  </w:t>
            </w:r>
          </w:p>
        </w:tc>
        <w:tc>
          <w:tcPr>
            <w:tcW w:w="165" w:type="dxa"/>
            <w:tcBorders/>
            <w:shd w:fill="CFF0FC" w:val="clear"/>
            <w:vAlign w:val="bottom"/>
          </w:tcPr>
          <w:p>
            <w:pPr>
              <w:pStyle w:val="TableContents"/>
              <w:spacing w:before="0" w:after="0"/>
              <w:ind w:left="0" w:right="0" w:hanging="0"/>
              <w:rPr>
                <w:color w:val="000000"/>
              </w:rPr>
            </w:pPr>
            <w:r>
              <w:rPr>
                <w:color w:val="000000"/>
              </w:rPr>
              <w:t xml:space="preserve">  </w:t>
            </w:r>
          </w:p>
        </w:tc>
        <w:tc>
          <w:tcPr>
            <w:tcW w:w="340" w:type="dxa"/>
            <w:tcBorders/>
            <w:shd w:fill="CFF0FC"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520" w:type="dxa"/>
            <w:tcBorders/>
            <w:shd w:fill="CFF0FC" w:val="clear"/>
            <w:vAlign w:val="bottom"/>
          </w:tcPr>
          <w:p>
            <w:pPr>
              <w:pStyle w:val="TableContents"/>
              <w:spacing w:before="0" w:after="0"/>
              <w:ind w:left="0" w:right="0" w:hanging="0"/>
              <w:jc w:val="right"/>
              <w:rPr>
                <w:color w:val="000000"/>
              </w:rPr>
            </w:pPr>
            <w:r>
              <w:rPr>
                <w:color w:val="000000"/>
              </w:rPr>
              <w:t>—</w:t>
            </w:r>
          </w:p>
        </w:tc>
        <w:tc>
          <w:tcPr>
            <w:tcW w:w="165" w:type="dxa"/>
            <w:tcBorders/>
            <w:shd w:fill="CFF0FC" w:val="clear"/>
            <w:vAlign w:val="bottom"/>
          </w:tcPr>
          <w:p>
            <w:pPr>
              <w:pStyle w:val="TableContents"/>
              <w:spacing w:before="0" w:after="0"/>
              <w:ind w:left="0" w:right="0" w:hanging="0"/>
              <w:rPr>
                <w:color w:val="000000"/>
              </w:rPr>
            </w:pPr>
            <w:r>
              <w:rPr>
                <w:color w:val="000000"/>
              </w:rPr>
              <w:t xml:space="preserve">  </w:t>
            </w:r>
          </w:p>
        </w:tc>
        <w:tc>
          <w:tcPr>
            <w:tcW w:w="164"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340" w:type="dxa"/>
            <w:tcBorders/>
            <w:shd w:fill="CFF0FC"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520" w:type="dxa"/>
            <w:tcBorders/>
            <w:shd w:fill="CFF0FC" w:val="clear"/>
            <w:vAlign w:val="bottom"/>
          </w:tcPr>
          <w:p>
            <w:pPr>
              <w:pStyle w:val="TableContents"/>
              <w:spacing w:before="0" w:after="0"/>
              <w:ind w:left="0" w:right="0" w:hanging="0"/>
              <w:jc w:val="right"/>
              <w:rPr>
                <w:color w:val="000000"/>
              </w:rPr>
            </w:pPr>
            <w:r>
              <w:rPr>
                <w:color w:val="000000"/>
              </w:rPr>
              <w:t>—</w:t>
            </w:r>
          </w:p>
        </w:tc>
        <w:tc>
          <w:tcPr>
            <w:tcW w:w="165" w:type="dxa"/>
            <w:tcBorders/>
            <w:shd w:fill="CFF0FC" w:val="clear"/>
            <w:vAlign w:val="bottom"/>
          </w:tcPr>
          <w:p>
            <w:pPr>
              <w:pStyle w:val="TableContents"/>
              <w:spacing w:before="0" w:after="0"/>
              <w:ind w:left="0" w:right="0" w:hanging="0"/>
              <w:rPr>
                <w:color w:val="000000"/>
              </w:rPr>
            </w:pPr>
            <w:r>
              <w:rPr>
                <w:color w:val="000000"/>
              </w:rPr>
              <w:t xml:space="preserve">  </w:t>
            </w:r>
          </w:p>
        </w:tc>
        <w:tc>
          <w:tcPr>
            <w:tcW w:w="164"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446" w:type="dxa"/>
            <w:tcBorders/>
            <w:shd w:fill="CFF0FC"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645" w:type="dxa"/>
            <w:tcBorders/>
            <w:shd w:fill="CFF0FC" w:val="clear"/>
            <w:vAlign w:val="bottom"/>
          </w:tcPr>
          <w:p>
            <w:pPr>
              <w:pStyle w:val="TableContents"/>
              <w:spacing w:before="0" w:after="0"/>
              <w:ind w:left="0" w:right="0" w:hanging="0"/>
              <w:jc w:val="right"/>
              <w:rPr>
                <w:color w:val="000000"/>
              </w:rPr>
            </w:pPr>
            <w:r>
              <w:rPr>
                <w:color w:val="000000"/>
              </w:rPr>
              <w:t>—</w:t>
            </w:r>
          </w:p>
        </w:tc>
        <w:tc>
          <w:tcPr>
            <w:tcW w:w="198"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4219"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Operating lease obligations </w:t>
            </w:r>
          </w:p>
        </w:tc>
        <w:tc>
          <w:tcPr>
            <w:tcW w:w="164" w:type="dxa"/>
            <w:tcBorders/>
            <w:shd w:fill="auto" w:val="clear"/>
            <w:vAlign w:val="bottom"/>
          </w:tcPr>
          <w:p>
            <w:pPr>
              <w:pStyle w:val="TableContents"/>
              <w:spacing w:before="0" w:after="0"/>
              <w:ind w:left="0" w:right="0" w:hanging="0"/>
              <w:rPr>
                <w:color w:val="000000"/>
              </w:rPr>
            </w:pPr>
            <w:r>
              <w:rPr>
                <w:color w:val="000000"/>
              </w:rPr>
              <w:t xml:space="preserve">  </w:t>
            </w:r>
          </w:p>
        </w:tc>
        <w:tc>
          <w:tcPr>
            <w:tcW w:w="220" w:type="dxa"/>
            <w:tcBorders/>
            <w:shd w:fill="auto" w:val="clear"/>
            <w:vAlign w:val="bottom"/>
          </w:tcPr>
          <w:p>
            <w:pPr>
              <w:pStyle w:val="TableContents"/>
              <w:spacing w:before="0" w:after="0"/>
              <w:ind w:left="0" w:right="0" w:hanging="0"/>
              <w:rPr>
                <w:color w:val="000000"/>
              </w:rPr>
            </w:pPr>
            <w:r>
              <w:rPr>
                <w:color w:val="000000"/>
              </w:rPr>
              <w:t xml:space="preserve">  </w:t>
            </w:r>
          </w:p>
        </w:tc>
        <w:tc>
          <w:tcPr>
            <w:tcW w:w="335"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1.2</w:t>
            </w:r>
          </w:p>
        </w:tc>
        <w:tc>
          <w:tcPr>
            <w:tcW w:w="164" w:type="dxa"/>
            <w:tcBorders/>
            <w:shd w:fill="auto" w:val="clear"/>
            <w:vAlign w:val="bottom"/>
          </w:tcPr>
          <w:p>
            <w:pPr>
              <w:pStyle w:val="TableContents"/>
              <w:spacing w:before="0" w:after="0"/>
              <w:ind w:left="0" w:right="0" w:hanging="0"/>
              <w:rPr>
                <w:color w:val="000000"/>
              </w:rPr>
            </w:pPr>
            <w:r>
              <w:rPr>
                <w:color w:val="000000"/>
              </w:rPr>
              <w:t xml:space="preserve">  </w:t>
            </w:r>
          </w:p>
        </w:tc>
        <w:tc>
          <w:tcPr>
            <w:tcW w:w="165" w:type="dxa"/>
            <w:tcBorders/>
            <w:shd w:fill="auto" w:val="clear"/>
            <w:vAlign w:val="bottom"/>
          </w:tcPr>
          <w:p>
            <w:pPr>
              <w:pStyle w:val="TableContents"/>
              <w:spacing w:before="0" w:after="0"/>
              <w:ind w:left="0" w:right="0" w:hanging="0"/>
              <w:rPr>
                <w:color w:val="000000"/>
              </w:rPr>
            </w:pPr>
            <w:r>
              <w:rPr>
                <w:color w:val="000000"/>
              </w:rPr>
              <w:t xml:space="preserve">  </w:t>
            </w:r>
          </w:p>
        </w:tc>
        <w:tc>
          <w:tcPr>
            <w:tcW w:w="373" w:type="dxa"/>
            <w:tcBorders/>
            <w:shd w:fill="auto" w:val="clear"/>
            <w:vAlign w:val="bottom"/>
          </w:tcPr>
          <w:p>
            <w:pPr>
              <w:pStyle w:val="TableContents"/>
              <w:spacing w:before="0" w:after="0"/>
              <w:ind w:left="0" w:right="0" w:hanging="0"/>
              <w:rPr>
                <w:color w:val="000000"/>
              </w:rPr>
            </w:pPr>
            <w:r>
              <w:rPr>
                <w:color w:val="000000"/>
              </w:rPr>
              <w:t xml:space="preserve">  </w:t>
            </w:r>
          </w:p>
        </w:tc>
        <w:tc>
          <w:tcPr>
            <w:tcW w:w="569"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0.6</w:t>
            </w:r>
          </w:p>
        </w:tc>
        <w:tc>
          <w:tcPr>
            <w:tcW w:w="164" w:type="dxa"/>
            <w:tcBorders/>
            <w:shd w:fill="auto" w:val="clear"/>
            <w:vAlign w:val="bottom"/>
          </w:tcPr>
          <w:p>
            <w:pPr>
              <w:pStyle w:val="TableContents"/>
              <w:spacing w:before="0" w:after="0"/>
              <w:ind w:left="0" w:right="0" w:hanging="0"/>
              <w:rPr>
                <w:color w:val="000000"/>
              </w:rPr>
            </w:pPr>
            <w:r>
              <w:rPr>
                <w:color w:val="000000"/>
              </w:rPr>
              <w:t xml:space="preserve">  </w:t>
            </w:r>
          </w:p>
        </w:tc>
        <w:tc>
          <w:tcPr>
            <w:tcW w:w="165" w:type="dxa"/>
            <w:tcBorders/>
            <w:shd w:fill="auto" w:val="clear"/>
            <w:vAlign w:val="bottom"/>
          </w:tcPr>
          <w:p>
            <w:pPr>
              <w:pStyle w:val="TableContents"/>
              <w:spacing w:before="0" w:after="0"/>
              <w:ind w:left="0" w:right="0" w:hanging="0"/>
              <w:rPr>
                <w:color w:val="000000"/>
              </w:rPr>
            </w:pPr>
            <w:r>
              <w:rPr>
                <w:color w:val="000000"/>
              </w:rPr>
              <w:t xml:space="preserve">  </w:t>
            </w:r>
          </w:p>
        </w:tc>
        <w:tc>
          <w:tcPr>
            <w:tcW w:w="340" w:type="dxa"/>
            <w:tcBorders/>
            <w:shd w:fill="auto" w:val="clear"/>
            <w:vAlign w:val="bottom"/>
          </w:tcPr>
          <w:p>
            <w:pPr>
              <w:pStyle w:val="TableContents"/>
              <w:spacing w:before="0" w:after="0"/>
              <w:ind w:left="0" w:right="0" w:hanging="0"/>
              <w:rPr>
                <w:color w:val="000000"/>
              </w:rPr>
            </w:pPr>
            <w:r>
              <w:rPr>
                <w:color w:val="000000"/>
              </w:rPr>
              <w:t xml:space="preserve">  </w:t>
            </w:r>
          </w:p>
        </w:tc>
        <w:tc>
          <w:tcPr>
            <w:tcW w:w="520"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0.5</w:t>
            </w:r>
          </w:p>
        </w:tc>
        <w:tc>
          <w:tcPr>
            <w:tcW w:w="165" w:type="dxa"/>
            <w:tcBorders/>
            <w:shd w:fill="auto" w:val="clear"/>
            <w:vAlign w:val="bottom"/>
          </w:tcPr>
          <w:p>
            <w:pPr>
              <w:pStyle w:val="TableContents"/>
              <w:spacing w:before="0" w:after="0"/>
              <w:ind w:left="0" w:right="0" w:hanging="0"/>
              <w:rPr>
                <w:color w:val="000000"/>
              </w:rPr>
            </w:pPr>
            <w:r>
              <w:rPr>
                <w:color w:val="000000"/>
              </w:rPr>
              <w:t xml:space="preserve">  </w:t>
            </w:r>
          </w:p>
        </w:tc>
        <w:tc>
          <w:tcPr>
            <w:tcW w:w="164"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340" w:type="dxa"/>
            <w:tcBorders/>
            <w:shd w:fill="auto" w:val="clear"/>
            <w:vAlign w:val="bottom"/>
          </w:tcPr>
          <w:p>
            <w:pPr>
              <w:pStyle w:val="TableContents"/>
              <w:spacing w:before="0" w:after="0"/>
              <w:ind w:left="0" w:right="0" w:hanging="0"/>
              <w:rPr>
                <w:color w:val="000000"/>
              </w:rPr>
            </w:pPr>
            <w:r>
              <w:rPr>
                <w:color w:val="000000"/>
              </w:rPr>
              <w:t xml:space="preserve">  </w:t>
            </w:r>
          </w:p>
        </w:tc>
        <w:tc>
          <w:tcPr>
            <w:tcW w:w="520"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0.1</w:t>
            </w:r>
          </w:p>
        </w:tc>
        <w:tc>
          <w:tcPr>
            <w:tcW w:w="165" w:type="dxa"/>
            <w:tcBorders/>
            <w:shd w:fill="auto" w:val="clear"/>
            <w:vAlign w:val="bottom"/>
          </w:tcPr>
          <w:p>
            <w:pPr>
              <w:pStyle w:val="TableContents"/>
              <w:spacing w:before="0" w:after="0"/>
              <w:ind w:left="0" w:right="0" w:hanging="0"/>
              <w:rPr>
                <w:color w:val="000000"/>
              </w:rPr>
            </w:pPr>
            <w:r>
              <w:rPr>
                <w:color w:val="000000"/>
              </w:rPr>
              <w:t xml:space="preserve">  </w:t>
            </w:r>
          </w:p>
        </w:tc>
        <w:tc>
          <w:tcPr>
            <w:tcW w:w="164"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446" w:type="dxa"/>
            <w:tcBorders/>
            <w:shd w:fill="auto" w:val="clear"/>
            <w:vAlign w:val="bottom"/>
          </w:tcPr>
          <w:p>
            <w:pPr>
              <w:pStyle w:val="TableContents"/>
              <w:spacing w:before="0" w:after="0"/>
              <w:ind w:left="0" w:right="0" w:hanging="0"/>
              <w:rPr>
                <w:color w:val="000000"/>
              </w:rPr>
            </w:pPr>
            <w:r>
              <w:rPr>
                <w:color w:val="000000"/>
              </w:rPr>
              <w:t xml:space="preserve">  </w:t>
            </w:r>
          </w:p>
        </w:tc>
        <w:tc>
          <w:tcPr>
            <w:tcW w:w="645" w:type="dxa"/>
            <w:tcBorders/>
            <w:shd w:fill="auto" w:val="clear"/>
            <w:vAlign w:val="bottom"/>
          </w:tcPr>
          <w:p>
            <w:pPr>
              <w:pStyle w:val="TableContents"/>
              <w:spacing w:before="0" w:after="0"/>
              <w:ind w:left="0" w:right="0" w:hanging="0"/>
              <w:jc w:val="right"/>
              <w:rPr>
                <w:color w:val="000000"/>
              </w:rPr>
            </w:pPr>
            <w:r>
              <w:rPr>
                <w:color w:val="000000"/>
              </w:rPr>
              <w:t>—</w:t>
            </w:r>
          </w:p>
        </w:tc>
        <w:tc>
          <w:tcPr>
            <w:tcW w:w="198"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219"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Purchase obligations </w:t>
            </w:r>
          </w:p>
        </w:tc>
        <w:tc>
          <w:tcPr>
            <w:tcW w:w="164" w:type="dxa"/>
            <w:tcBorders/>
            <w:shd w:fill="CFF0FC" w:val="clear"/>
            <w:vAlign w:val="bottom"/>
          </w:tcPr>
          <w:p>
            <w:pPr>
              <w:pStyle w:val="TableContents"/>
              <w:spacing w:before="0" w:after="0"/>
              <w:ind w:left="0" w:right="0" w:hanging="0"/>
              <w:rPr>
                <w:color w:val="000000"/>
              </w:rPr>
            </w:pPr>
            <w:r>
              <w:rPr>
                <w:color w:val="000000"/>
              </w:rPr>
              <w:t xml:space="preserve">  </w:t>
            </w:r>
          </w:p>
        </w:tc>
        <w:tc>
          <w:tcPr>
            <w:tcW w:w="220" w:type="dxa"/>
            <w:tcBorders>
              <w:bottom w:val="single" w:sz="8" w:space="0" w:color="000000"/>
            </w:tcBorders>
            <w:shd w:fill="CFF0FC" w:val="clear"/>
            <w:tcMar>
              <w:bottom w:w="28" w:type="dxa"/>
            </w:tcMar>
            <w:vAlign w:val="bottom"/>
          </w:tcPr>
          <w:p>
            <w:pPr>
              <w:pStyle w:val="TableContents"/>
              <w:spacing w:before="0" w:after="0"/>
              <w:ind w:left="0" w:right="0" w:hanging="0"/>
              <w:rPr>
                <w:color w:val="000000"/>
              </w:rPr>
            </w:pPr>
            <w:r>
              <w:rPr>
                <w:color w:val="000000"/>
              </w:rPr>
              <w:t xml:space="preserve">  </w:t>
            </w:r>
          </w:p>
        </w:tc>
        <w:tc>
          <w:tcPr>
            <w:tcW w:w="335" w:type="dxa"/>
            <w:tcBorders/>
            <w:shd w:fill="CFF0FC"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2.0</w:t>
            </w:r>
          </w:p>
        </w:tc>
        <w:tc>
          <w:tcPr>
            <w:tcW w:w="164" w:type="dxa"/>
            <w:tcBorders/>
            <w:shd w:fill="CFF0FC" w:val="clear"/>
            <w:vAlign w:val="bottom"/>
          </w:tcPr>
          <w:p>
            <w:pPr>
              <w:pStyle w:val="TableContents"/>
              <w:spacing w:before="0" w:after="0"/>
              <w:ind w:left="0" w:right="0" w:hanging="0"/>
              <w:rPr>
                <w:color w:val="000000"/>
              </w:rPr>
            </w:pPr>
            <w:r>
              <w:rPr>
                <w:color w:val="000000"/>
              </w:rPr>
              <w:t xml:space="preserve">  </w:t>
            </w:r>
          </w:p>
        </w:tc>
        <w:tc>
          <w:tcPr>
            <w:tcW w:w="165" w:type="dxa"/>
            <w:tcBorders/>
            <w:shd w:fill="CFF0FC" w:val="clear"/>
            <w:vAlign w:val="bottom"/>
          </w:tcPr>
          <w:p>
            <w:pPr>
              <w:pStyle w:val="TableContents"/>
              <w:spacing w:before="0" w:after="0"/>
              <w:ind w:left="0" w:right="0" w:hanging="0"/>
              <w:rPr>
                <w:color w:val="000000"/>
              </w:rPr>
            </w:pPr>
            <w:r>
              <w:rPr>
                <w:color w:val="000000"/>
              </w:rPr>
              <w:t xml:space="preserve">  </w:t>
            </w:r>
          </w:p>
        </w:tc>
        <w:tc>
          <w:tcPr>
            <w:tcW w:w="373" w:type="dxa"/>
            <w:tcBorders/>
            <w:shd w:fill="CFF0FC" w:val="clear"/>
            <w:vAlign w:val="bottom"/>
          </w:tcPr>
          <w:p>
            <w:pPr>
              <w:pStyle w:val="TableContents"/>
              <w:spacing w:before="0" w:after="0"/>
              <w:ind w:left="0" w:right="0" w:hanging="0"/>
              <w:rPr>
                <w:color w:val="000000"/>
              </w:rPr>
            </w:pPr>
            <w:r>
              <w:rPr>
                <w:color w:val="000000"/>
              </w:rPr>
              <w:t xml:space="preserve">  </w:t>
            </w:r>
          </w:p>
        </w:tc>
        <w:tc>
          <w:tcPr>
            <w:tcW w:w="569" w:type="dxa"/>
            <w:tcBorders/>
            <w:shd w:fill="CFF0FC"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2.0</w:t>
            </w:r>
          </w:p>
        </w:tc>
        <w:tc>
          <w:tcPr>
            <w:tcW w:w="164" w:type="dxa"/>
            <w:tcBorders/>
            <w:shd w:fill="CFF0FC" w:val="clear"/>
            <w:vAlign w:val="bottom"/>
          </w:tcPr>
          <w:p>
            <w:pPr>
              <w:pStyle w:val="TableContents"/>
              <w:spacing w:before="0" w:after="0"/>
              <w:ind w:left="0" w:right="0" w:hanging="0"/>
              <w:rPr>
                <w:color w:val="000000"/>
              </w:rPr>
            </w:pPr>
            <w:r>
              <w:rPr>
                <w:color w:val="000000"/>
              </w:rPr>
              <w:t xml:space="preserve">  </w:t>
            </w:r>
          </w:p>
        </w:tc>
        <w:tc>
          <w:tcPr>
            <w:tcW w:w="165" w:type="dxa"/>
            <w:tcBorders/>
            <w:shd w:fill="CFF0FC" w:val="clear"/>
            <w:vAlign w:val="bottom"/>
          </w:tcPr>
          <w:p>
            <w:pPr>
              <w:pStyle w:val="TableContents"/>
              <w:spacing w:before="0" w:after="0"/>
              <w:ind w:left="0" w:right="0" w:hanging="0"/>
              <w:rPr>
                <w:color w:val="000000"/>
              </w:rPr>
            </w:pPr>
            <w:r>
              <w:rPr>
                <w:color w:val="000000"/>
              </w:rPr>
              <w:t xml:space="preserve">  </w:t>
            </w:r>
          </w:p>
        </w:tc>
        <w:tc>
          <w:tcPr>
            <w:tcW w:w="340" w:type="dxa"/>
            <w:tcBorders/>
            <w:shd w:fill="CFF0FC" w:val="clear"/>
            <w:vAlign w:val="bottom"/>
          </w:tcPr>
          <w:p>
            <w:pPr>
              <w:pStyle w:val="TableContents"/>
              <w:spacing w:before="0" w:after="0"/>
              <w:ind w:left="0" w:right="0" w:hanging="0"/>
              <w:rPr>
                <w:color w:val="000000"/>
              </w:rPr>
            </w:pPr>
            <w:r>
              <w:rPr>
                <w:color w:val="000000"/>
              </w:rPr>
              <w:t xml:space="preserve">  </w:t>
            </w:r>
          </w:p>
        </w:tc>
        <w:tc>
          <w:tcPr>
            <w:tcW w:w="520" w:type="dxa"/>
            <w:tcBorders/>
            <w:shd w:fill="CFF0FC" w:val="clear"/>
            <w:vAlign w:val="bottom"/>
          </w:tcPr>
          <w:p>
            <w:pPr>
              <w:pStyle w:val="TableContents"/>
              <w:spacing w:before="0" w:after="0"/>
              <w:ind w:left="0" w:right="0" w:hanging="0"/>
              <w:jc w:val="right"/>
              <w:rPr>
                <w:color w:val="000000"/>
              </w:rPr>
            </w:pPr>
            <w:r>
              <w:rPr>
                <w:color w:val="000000"/>
              </w:rPr>
              <w:t>—</w:t>
            </w:r>
          </w:p>
        </w:tc>
        <w:tc>
          <w:tcPr>
            <w:tcW w:w="165" w:type="dxa"/>
            <w:tcBorders/>
            <w:shd w:fill="CFF0FC" w:val="clear"/>
            <w:vAlign w:val="bottom"/>
          </w:tcPr>
          <w:p>
            <w:pPr>
              <w:pStyle w:val="TableContents"/>
              <w:spacing w:before="0" w:after="0"/>
              <w:ind w:left="0" w:right="0" w:hanging="0"/>
              <w:rPr>
                <w:color w:val="000000"/>
              </w:rPr>
            </w:pPr>
            <w:r>
              <w:rPr>
                <w:color w:val="000000"/>
              </w:rPr>
              <w:t xml:space="preserve">  </w:t>
            </w:r>
          </w:p>
        </w:tc>
        <w:tc>
          <w:tcPr>
            <w:tcW w:w="164"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340" w:type="dxa"/>
            <w:tcBorders/>
            <w:shd w:fill="CFF0FC" w:val="clear"/>
            <w:vAlign w:val="bottom"/>
          </w:tcPr>
          <w:p>
            <w:pPr>
              <w:pStyle w:val="TableContents"/>
              <w:spacing w:before="0" w:after="0"/>
              <w:ind w:left="0" w:right="0" w:hanging="0"/>
              <w:rPr>
                <w:color w:val="000000"/>
              </w:rPr>
            </w:pPr>
            <w:r>
              <w:rPr>
                <w:color w:val="000000"/>
              </w:rPr>
              <w:t xml:space="preserve">  </w:t>
            </w:r>
          </w:p>
        </w:tc>
        <w:tc>
          <w:tcPr>
            <w:tcW w:w="520" w:type="dxa"/>
            <w:tcBorders/>
            <w:shd w:fill="CFF0FC" w:val="clear"/>
            <w:vAlign w:val="bottom"/>
          </w:tcPr>
          <w:p>
            <w:pPr>
              <w:pStyle w:val="TableContents"/>
              <w:spacing w:before="0" w:after="0"/>
              <w:ind w:left="0" w:right="0" w:hanging="0"/>
              <w:jc w:val="right"/>
              <w:rPr>
                <w:color w:val="000000"/>
              </w:rPr>
            </w:pPr>
            <w:r>
              <w:rPr>
                <w:color w:val="000000"/>
              </w:rPr>
              <w:t>—</w:t>
            </w:r>
          </w:p>
        </w:tc>
        <w:tc>
          <w:tcPr>
            <w:tcW w:w="165" w:type="dxa"/>
            <w:tcBorders/>
            <w:shd w:fill="CFF0FC" w:val="clear"/>
            <w:vAlign w:val="bottom"/>
          </w:tcPr>
          <w:p>
            <w:pPr>
              <w:pStyle w:val="TableContents"/>
              <w:spacing w:before="0" w:after="0"/>
              <w:ind w:left="0" w:right="0" w:hanging="0"/>
              <w:rPr>
                <w:color w:val="000000"/>
              </w:rPr>
            </w:pPr>
            <w:r>
              <w:rPr>
                <w:color w:val="000000"/>
              </w:rPr>
              <w:t xml:space="preserve">  </w:t>
            </w:r>
          </w:p>
        </w:tc>
        <w:tc>
          <w:tcPr>
            <w:tcW w:w="164"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446" w:type="dxa"/>
            <w:tcBorders/>
            <w:shd w:fill="CFF0FC" w:val="clear"/>
            <w:vAlign w:val="bottom"/>
          </w:tcPr>
          <w:p>
            <w:pPr>
              <w:pStyle w:val="TableContents"/>
              <w:spacing w:before="0" w:after="0"/>
              <w:ind w:left="0" w:right="0" w:hanging="0"/>
              <w:rPr>
                <w:color w:val="000000"/>
              </w:rPr>
            </w:pPr>
            <w:r>
              <w:rPr>
                <w:color w:val="000000"/>
              </w:rPr>
              <w:t xml:space="preserve">  </w:t>
            </w:r>
          </w:p>
        </w:tc>
        <w:tc>
          <w:tcPr>
            <w:tcW w:w="645" w:type="dxa"/>
            <w:tcBorders/>
            <w:shd w:fill="CFF0FC" w:val="clear"/>
            <w:vAlign w:val="bottom"/>
          </w:tcPr>
          <w:p>
            <w:pPr>
              <w:pStyle w:val="TableContents"/>
              <w:spacing w:before="0" w:after="0"/>
              <w:ind w:left="0" w:right="0" w:hanging="0"/>
              <w:jc w:val="right"/>
              <w:rPr>
                <w:color w:val="000000"/>
              </w:rPr>
            </w:pPr>
            <w:r>
              <w:rPr>
                <w:color w:val="000000"/>
              </w:rPr>
              <w:t>—</w:t>
            </w:r>
          </w:p>
        </w:tc>
        <w:tc>
          <w:tcPr>
            <w:tcW w:w="198"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4219"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Total </w:t>
            </w:r>
          </w:p>
        </w:tc>
        <w:tc>
          <w:tcPr>
            <w:tcW w:w="164" w:type="dxa"/>
            <w:tcBorders/>
            <w:shd w:fill="auto" w:val="clear"/>
            <w:vAlign w:val="bottom"/>
          </w:tcPr>
          <w:p>
            <w:pPr>
              <w:pStyle w:val="TableContents"/>
              <w:spacing w:before="0" w:after="0"/>
              <w:ind w:left="0" w:right="0" w:hanging="0"/>
              <w:rPr>
                <w:color w:val="000000"/>
              </w:rPr>
            </w:pPr>
            <w:r>
              <w:rPr>
                <w:color w:val="000000"/>
              </w:rPr>
              <w:t xml:space="preserve">  </w:t>
            </w:r>
          </w:p>
        </w:tc>
        <w:tc>
          <w:tcPr>
            <w:tcW w:w="220"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335"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7.1</w:t>
            </w:r>
          </w:p>
        </w:tc>
        <w:tc>
          <w:tcPr>
            <w:tcW w:w="164" w:type="dxa"/>
            <w:tcBorders/>
            <w:shd w:fill="auto" w:val="clear"/>
            <w:vAlign w:val="bottom"/>
          </w:tcPr>
          <w:p>
            <w:pPr>
              <w:pStyle w:val="TableContents"/>
              <w:spacing w:before="0" w:after="0"/>
              <w:ind w:left="0" w:right="0" w:hanging="0"/>
              <w:rPr>
                <w:color w:val="000000"/>
              </w:rPr>
            </w:pPr>
            <w:r>
              <w:rPr>
                <w:color w:val="000000"/>
              </w:rPr>
              <w:t xml:space="preserve">  </w:t>
            </w:r>
          </w:p>
        </w:tc>
        <w:tc>
          <w:tcPr>
            <w:tcW w:w="165" w:type="dxa"/>
            <w:tcBorders/>
            <w:shd w:fill="auto" w:val="clear"/>
            <w:vAlign w:val="bottom"/>
          </w:tcPr>
          <w:p>
            <w:pPr>
              <w:pStyle w:val="TableContents"/>
              <w:spacing w:before="0" w:after="0"/>
              <w:ind w:left="0" w:right="0" w:hanging="0"/>
              <w:rPr>
                <w:color w:val="000000"/>
              </w:rPr>
            </w:pPr>
            <w:r>
              <w:rPr>
                <w:color w:val="000000"/>
              </w:rPr>
              <w:t xml:space="preserve">  </w:t>
            </w:r>
          </w:p>
        </w:tc>
        <w:tc>
          <w:tcPr>
            <w:tcW w:w="373"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569"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6.5</w:t>
            </w:r>
          </w:p>
        </w:tc>
        <w:tc>
          <w:tcPr>
            <w:tcW w:w="164" w:type="dxa"/>
            <w:tcBorders/>
            <w:shd w:fill="auto" w:val="clear"/>
            <w:vAlign w:val="bottom"/>
          </w:tcPr>
          <w:p>
            <w:pPr>
              <w:pStyle w:val="TableContents"/>
              <w:spacing w:before="0" w:after="0"/>
              <w:ind w:left="0" w:right="0" w:hanging="0"/>
              <w:rPr>
                <w:color w:val="000000"/>
              </w:rPr>
            </w:pPr>
            <w:r>
              <w:rPr>
                <w:color w:val="000000"/>
              </w:rPr>
              <w:t xml:space="preserve">  </w:t>
            </w:r>
          </w:p>
        </w:tc>
        <w:tc>
          <w:tcPr>
            <w:tcW w:w="165" w:type="dxa"/>
            <w:tcBorders/>
            <w:shd w:fill="auto" w:val="clear"/>
            <w:vAlign w:val="bottom"/>
          </w:tcPr>
          <w:p>
            <w:pPr>
              <w:pStyle w:val="TableContents"/>
              <w:spacing w:before="0" w:after="0"/>
              <w:ind w:left="0" w:right="0" w:hanging="0"/>
              <w:rPr>
                <w:color w:val="000000"/>
              </w:rPr>
            </w:pPr>
            <w:r>
              <w:rPr>
                <w:color w:val="000000"/>
              </w:rPr>
              <w:t xml:space="preserve">  </w:t>
            </w:r>
          </w:p>
        </w:tc>
        <w:tc>
          <w:tcPr>
            <w:tcW w:w="340"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520"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0.5</w:t>
            </w:r>
          </w:p>
        </w:tc>
        <w:tc>
          <w:tcPr>
            <w:tcW w:w="165" w:type="dxa"/>
            <w:tcBorders/>
            <w:shd w:fill="auto" w:val="clear"/>
            <w:vAlign w:val="bottom"/>
          </w:tcPr>
          <w:p>
            <w:pPr>
              <w:pStyle w:val="TableContents"/>
              <w:spacing w:before="0" w:after="0"/>
              <w:ind w:left="0" w:right="0" w:hanging="0"/>
              <w:rPr>
                <w:color w:val="000000"/>
              </w:rPr>
            </w:pPr>
            <w:r>
              <w:rPr>
                <w:color w:val="000000"/>
              </w:rPr>
              <w:t xml:space="preserve">  </w:t>
            </w:r>
          </w:p>
        </w:tc>
        <w:tc>
          <w:tcPr>
            <w:tcW w:w="164"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340"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520"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0.1</w:t>
            </w:r>
          </w:p>
        </w:tc>
        <w:tc>
          <w:tcPr>
            <w:tcW w:w="165" w:type="dxa"/>
            <w:tcBorders/>
            <w:shd w:fill="auto" w:val="clear"/>
            <w:vAlign w:val="bottom"/>
          </w:tcPr>
          <w:p>
            <w:pPr>
              <w:pStyle w:val="TableContents"/>
              <w:spacing w:before="0" w:after="0"/>
              <w:ind w:left="0" w:right="0" w:hanging="0"/>
              <w:rPr>
                <w:color w:val="000000"/>
              </w:rPr>
            </w:pPr>
            <w:r>
              <w:rPr>
                <w:color w:val="000000"/>
              </w:rPr>
              <w:t xml:space="preserve">  </w:t>
            </w:r>
          </w:p>
        </w:tc>
        <w:tc>
          <w:tcPr>
            <w:tcW w:w="164" w:type="dxa"/>
            <w:tcBorders/>
            <w:shd w:fill="auto" w:val="clear"/>
            <w:vAlign w:val="bottom"/>
          </w:tcPr>
          <w:p>
            <w:pPr>
              <w:pStyle w:val="TableContents"/>
              <w:spacing w:before="0" w:after="0"/>
              <w:ind w:left="0" w:right="0" w:hanging="0"/>
              <w:jc w:val="right"/>
              <w:rPr>
                <w:color w:val="000000"/>
              </w:rPr>
            </w:pPr>
            <w:r>
              <w:rPr>
                <w:color w:val="000000"/>
              </w:rPr>
              <w:t xml:space="preserve">  </w:t>
            </w:r>
          </w:p>
        </w:tc>
        <w:tc>
          <w:tcPr>
            <w:tcW w:w="446"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645" w:type="dxa"/>
            <w:tcBorders>
              <w:top w:val="single" w:sz="8" w:space="0" w:color="000000"/>
              <w:bottom w:val="double" w:sz="7" w:space="0" w:color="000000"/>
            </w:tcBorders>
            <w:shd w:fill="auto" w:val="clear"/>
            <w:tcMar>
              <w:top w:w="28" w:type="dxa"/>
              <w:bottom w:w="28" w:type="dxa"/>
            </w:tcMar>
            <w:vAlign w:val="bottom"/>
          </w:tcPr>
          <w:p>
            <w:pPr>
              <w:pStyle w:val="TableContents"/>
              <w:spacing w:before="0" w:after="0"/>
              <w:ind w:left="0" w:right="0" w:hanging="0"/>
              <w:jc w:val="right"/>
              <w:rPr>
                <w:color w:val="000000"/>
              </w:rPr>
            </w:pPr>
            <w:r>
              <w:rPr>
                <w:color w:val="000000"/>
              </w:rPr>
              <w:t>—</w:t>
            </w:r>
          </w:p>
        </w:tc>
        <w:tc>
          <w:tcPr>
            <w:tcW w:w="198" w:type="dxa"/>
            <w:tcBorders/>
            <w:shd w:fill="auto" w:val="clear"/>
            <w:vAlign w:val="bottom"/>
          </w:tcPr>
          <w:p>
            <w:pPr>
              <w:pStyle w:val="TableContents"/>
              <w:spacing w:before="0" w:after="0"/>
              <w:ind w:left="0" w:right="0" w:hanging="0"/>
              <w:rPr>
                <w:color w:val="000000"/>
              </w:rPr>
            </w:pPr>
            <w:r>
              <w:rPr>
                <w:color w:val="000000"/>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4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lineRule="auto" w:line="240" w:before="140" w:after="140"/>
        <w:ind w:left="0" w:right="0" w:hanging="0"/>
        <w:jc w:val="both"/>
        <w:rPr>
          <w:rFonts w:ascii="Times New Roman" w:hAnsi="Times New Roman"/>
          <w:sz w:val="20"/>
        </w:rPr>
      </w:pPr>
      <w:r>
        <w:rPr>
          <w:rFonts w:ascii="Times New Roman" w:hAnsi="Times New Roman"/>
          <w:sz w:val="20"/>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pStyle w:val="TextBody"/>
        <w:spacing w:lineRule="auto" w:line="240" w:before="0" w:after="0"/>
        <w:ind w:left="0" w:right="0" w:hanging="0"/>
        <w:jc w:val="both"/>
        <w:rPr>
          <w:rFonts w:ascii="times new roman;times" w:hAnsi="times new roman;times"/>
          <w:sz w:val="20"/>
        </w:rPr>
      </w:pPr>
      <w:r>
        <w:rPr>
          <w:rFonts w:ascii="Times New Roman" w:hAnsi="Times New Roman"/>
          <w:b/>
          <w:sz w:val="20"/>
        </w:rPr>
        <w:t>CRITICAL ACCOUNTING POLICIES AND ESTIMATES</w:t>
      </w:r>
      <w:r>
        <w:rPr>
          <w:rFonts w:ascii="times new roman;times" w:hAnsi="times new roman;times"/>
          <w:sz w:val="20"/>
        </w:rPr>
        <w:t> </w:t>
      </w:r>
    </w:p>
    <w:p>
      <w:pPr>
        <w:pStyle w:val="TextBody"/>
        <w:spacing w:lineRule="auto" w:line="240" w:before="140" w:after="140"/>
        <w:ind w:left="0" w:right="0" w:hanging="0"/>
        <w:jc w:val="both"/>
        <w:rPr>
          <w:rFonts w:ascii="times new roman;times" w:hAnsi="times new roman;times"/>
          <w:sz w:val="20"/>
        </w:rPr>
      </w:pPr>
      <w:r>
        <w:rPr>
          <w:rFonts w:ascii="Times New Roman" w:hAnsi="Times New Roman"/>
          <w:sz w:val="20"/>
        </w:rPr>
        <w:t xml:space="preserve">Our discussion and analysis of our results of operations and financial position are based upon our consolidated financial statements, which have been prepared in conformity with U.S. generally accepted accounting principles ("GAAP").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Times New Roman" w:hAnsi="Times New Roman"/>
          <w:sz w:val="20"/>
          <w:u w:val="single"/>
        </w:rPr>
        <w:t>Note 1 - Business Description, Basis of Presentation and Significant Accounting Policies</w:t>
      </w:r>
      <w:r>
        <w:rPr>
          <w:rFonts w:ascii="times new roman;times" w:hAnsi="times new roman;times"/>
          <w:sz w:val="20"/>
        </w:rPr>
        <w:t xml:space="preserve"> </w:t>
      </w:r>
      <w:r>
        <w:rPr>
          <w:rFonts w:ascii="Times New Roman" w:hAnsi="Times New Roman"/>
          <w:sz w:val="20"/>
        </w:rPr>
        <w:t>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36</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widowControl/>
        <w:spacing w:lineRule="auto" w:line="240" w:before="18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spacing w:lineRule="auto" w:line="240" w:before="0" w:after="0"/>
        <w:ind w:left="0" w:right="0" w:hanging="0"/>
        <w:jc w:val="both"/>
        <w:rPr/>
      </w:pPr>
      <w:r>
        <w:rPr/>
      </w:r>
    </w:p>
    <w:p>
      <w:pPr>
        <w:pStyle w:val="TextBody"/>
        <w:spacing w:lineRule="auto" w:line="240" w:before="0" w:after="140"/>
        <w:ind w:left="0" w:right="0" w:hanging="0"/>
        <w:jc w:val="both"/>
        <w:rPr>
          <w:rFonts w:ascii="Times New Roman" w:hAnsi="Times New Roman"/>
          <w:b/>
          <w:sz w:val="20"/>
        </w:rPr>
      </w:pPr>
      <w:r>
        <w:rPr>
          <w:rFonts w:ascii="Times New Roman" w:hAnsi="Times New Roman"/>
          <w:b/>
          <w:sz w:val="20"/>
        </w:rPr>
        <w:t>Revenue and Associated Allowances for Revenue Adjustments and Doubtful Accounts</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2022</w:t>
      </w:r>
      <w:r>
        <w:rPr>
          <w:rFonts w:ascii="times new roman;times" w:hAnsi="times new roman;times"/>
          <w:sz w:val="20"/>
        </w:rPr>
        <w:t xml:space="preserve"> </w:t>
      </w:r>
      <w:r>
        <w:rPr>
          <w:rFonts w:ascii="Times New Roman" w:hAnsi="Times New Roman"/>
          <w:sz w:val="20"/>
        </w:rPr>
        <w:t>for audio and video conferencing equipment sales was $25.1</w:t>
      </w:r>
      <w:r>
        <w:rPr>
          <w:rFonts w:ascii="times new roman;times" w:hAnsi="times new roman;times"/>
          <w:sz w:val="20"/>
        </w:rPr>
        <w:t> </w:t>
      </w:r>
      <w:r>
        <w:rPr>
          <w:rFonts w:ascii="Times New Roman" w:hAnsi="Times New Roman"/>
          <w:sz w:val="20"/>
        </w:rPr>
        <w:t>million, and for software, licenses, etc. was $</w:t>
      </w:r>
      <w:r>
        <w:rPr>
          <w:rFonts w:ascii="Times New Roman" w:hAnsi="Times New Roman"/>
          <w:sz w:val="20"/>
        </w:rPr>
        <w:t>0.1</w:t>
      </w:r>
      <w:r>
        <w:rPr>
          <w:rFonts w:ascii="Times New Roman" w:hAnsi="Times New Roman"/>
          <w:sz w:val="20"/>
        </w:rPr>
        <w:t> million.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w:t>
      </w:r>
      <w:r>
        <w:rPr>
          <w:rFonts w:ascii="times new roman;times" w:hAnsi="times new roman;times"/>
          <w:sz w:val="20"/>
        </w:rPr>
        <w:t xml:space="preserve"> </w:t>
      </w:r>
      <w:r>
        <w:rPr>
          <w:rFonts w:ascii="Times New Roman" w:hAnsi="Times New Roman"/>
          <w:sz w:val="20"/>
        </w:rPr>
        <w:t>a related asset for the right to recover returned products with a corresponding reduction to cost of goods sold. The Company reviews warranty and related claims activity and records provisions, as necessary.</w:t>
      </w:r>
      <w:r>
        <w:rPr>
          <w:rFonts w:ascii="times new roman;times" w:hAnsi="times new roman;times"/>
          <w:sz w:val="20"/>
        </w:rPr>
        <w:t>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w:t>
      </w:r>
      <w:r>
        <w:rPr>
          <w:rFonts w:ascii="times new roman;times" w:hAnsi="times new roman;times"/>
          <w:sz w:val="20"/>
        </w:rPr>
        <w:t> </w:t>
      </w:r>
      <w:r>
        <w:rPr>
          <w:rFonts w:ascii="Times New Roman" w:hAnsi="Times New Roman"/>
          <w:sz w:val="20"/>
        </w:rPr>
        <w:t>As scheduled delivery dates are within one year, revenue allocated to future shipments of partially completed contracts are not disclosed.</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r>
        <w:rPr>
          <w:rFonts w:ascii="times new roman;times" w:hAnsi="times new roman;times"/>
          <w:sz w:val="20"/>
        </w:rPr>
        <w:t>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details of deferred revenue and associated cost of goods sold</w:t>
      </w:r>
      <w:r>
        <w:rPr>
          <w:rFonts w:ascii="times new roman;times" w:hAnsi="times new roman;times"/>
          <w:sz w:val="20"/>
        </w:rPr>
        <w:t xml:space="preserve"> </w:t>
      </w:r>
      <w:r>
        <w:rPr>
          <w:rFonts w:ascii="Times New Roman" w:hAnsi="Times New Roman"/>
          <w:sz w:val="20"/>
        </w:rPr>
        <w:t>and gross profit are as follows (in thousands):</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4250" w:type="pct"/>
        <w:jc w:val="left"/>
        <w:tblInd w:w="0" w:type="dxa"/>
        <w:tblCellMar>
          <w:top w:w="0" w:type="dxa"/>
          <w:left w:w="0" w:type="dxa"/>
          <w:bottom w:w="0" w:type="dxa"/>
          <w:right w:w="0" w:type="dxa"/>
        </w:tblCellMar>
      </w:tblPr>
      <w:tblGrid>
        <w:gridCol w:w="4792"/>
        <w:gridCol w:w="311"/>
        <w:gridCol w:w="494"/>
        <w:gridCol w:w="719"/>
        <w:gridCol w:w="370"/>
        <w:gridCol w:w="371"/>
        <w:gridCol w:w="494"/>
        <w:gridCol w:w="719"/>
        <w:gridCol w:w="404"/>
      </w:tblGrid>
      <w:tr>
        <w:trPr/>
        <w:tc>
          <w:tcPr>
            <w:tcW w:w="4792" w:type="dxa"/>
            <w:tcBorders/>
            <w:shd w:fill="auto" w:val="clear"/>
            <w:vAlign w:val="center"/>
          </w:tcPr>
          <w:p>
            <w:pPr>
              <w:pStyle w:val="TableContents"/>
              <w:spacing w:before="0" w:after="0"/>
              <w:ind w:left="0" w:right="0" w:hanging="0"/>
              <w:rPr/>
            </w:pPr>
            <w:r>
              <w:rPr/>
              <w:t xml:space="preserve">  </w:t>
            </w:r>
          </w:p>
        </w:tc>
        <w:tc>
          <w:tcPr>
            <w:tcW w:w="311" w:type="dxa"/>
            <w:tcBorders/>
            <w:shd w:fill="auto" w:val="clear"/>
            <w:vAlign w:val="center"/>
          </w:tcPr>
          <w:p>
            <w:pPr>
              <w:pStyle w:val="TableContents"/>
              <w:spacing w:before="0" w:after="0"/>
              <w:ind w:left="0" w:right="0" w:hanging="0"/>
              <w:rPr/>
            </w:pPr>
            <w:r>
              <w:rPr/>
              <w:t xml:space="preserve">  </w:t>
            </w:r>
          </w:p>
        </w:tc>
        <w:tc>
          <w:tcPr>
            <w:tcW w:w="3167"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As of December 31,</w:t>
            </w:r>
          </w:p>
        </w:tc>
        <w:tc>
          <w:tcPr>
            <w:tcW w:w="404" w:type="dxa"/>
            <w:tcBorders/>
            <w:shd w:fill="auto" w:val="clear"/>
            <w:vAlign w:val="center"/>
          </w:tcPr>
          <w:p>
            <w:pPr>
              <w:pStyle w:val="TableContents"/>
              <w:spacing w:before="0" w:after="0"/>
              <w:ind w:left="0" w:right="0" w:hanging="0"/>
              <w:rPr/>
            </w:pPr>
            <w:r>
              <w:rPr/>
              <w:t xml:space="preserve">  </w:t>
            </w:r>
          </w:p>
        </w:tc>
      </w:tr>
      <w:tr>
        <w:trPr/>
        <w:tc>
          <w:tcPr>
            <w:tcW w:w="4792" w:type="dxa"/>
            <w:tcBorders/>
            <w:shd w:fill="auto" w:val="clear"/>
            <w:vAlign w:val="center"/>
          </w:tcPr>
          <w:p>
            <w:pPr>
              <w:pStyle w:val="TableContents"/>
              <w:spacing w:before="0" w:after="0"/>
              <w:ind w:left="0" w:right="0" w:hanging="0"/>
              <w:rPr/>
            </w:pPr>
            <w:r>
              <w:rPr/>
              <w:t xml:space="preserve">  </w:t>
            </w:r>
          </w:p>
        </w:tc>
        <w:tc>
          <w:tcPr>
            <w:tcW w:w="311" w:type="dxa"/>
            <w:tcBorders/>
            <w:shd w:fill="auto" w:val="clear"/>
            <w:vAlign w:val="center"/>
          </w:tcPr>
          <w:p>
            <w:pPr>
              <w:pStyle w:val="TableContents"/>
              <w:spacing w:before="0" w:after="0"/>
              <w:ind w:left="0" w:right="0" w:hanging="0"/>
              <w:rPr/>
            </w:pPr>
            <w:r>
              <w:rPr/>
              <w:t xml:space="preserve">  </w:t>
            </w:r>
          </w:p>
        </w:tc>
        <w:tc>
          <w:tcPr>
            <w:tcW w:w="1213"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370" w:type="dxa"/>
            <w:tcBorders/>
            <w:shd w:fill="auto" w:val="clear"/>
            <w:vAlign w:val="center"/>
          </w:tcPr>
          <w:p>
            <w:pPr>
              <w:pStyle w:val="TableContents"/>
              <w:spacing w:before="0" w:after="0"/>
              <w:ind w:left="0" w:right="0" w:hanging="0"/>
              <w:rPr/>
            </w:pPr>
            <w:r>
              <w:rPr/>
              <w:t xml:space="preserve">  </w:t>
            </w:r>
          </w:p>
        </w:tc>
        <w:tc>
          <w:tcPr>
            <w:tcW w:w="371" w:type="dxa"/>
            <w:tcBorders/>
            <w:shd w:fill="auto" w:val="clear"/>
            <w:vAlign w:val="center"/>
          </w:tcPr>
          <w:p>
            <w:pPr>
              <w:pStyle w:val="TableContents"/>
              <w:spacing w:before="0" w:after="0"/>
              <w:ind w:left="0" w:right="0" w:hanging="0"/>
              <w:rPr/>
            </w:pPr>
            <w:r>
              <w:rPr/>
              <w:t xml:space="preserve">  </w:t>
            </w:r>
          </w:p>
        </w:tc>
        <w:tc>
          <w:tcPr>
            <w:tcW w:w="1213"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404" w:type="dxa"/>
            <w:tcBorders/>
            <w:shd w:fill="auto" w:val="clear"/>
            <w:vAlign w:val="center"/>
          </w:tcPr>
          <w:p>
            <w:pPr>
              <w:pStyle w:val="TableContents"/>
              <w:spacing w:before="0" w:after="0"/>
              <w:ind w:left="0" w:right="0" w:hanging="0"/>
              <w:rPr/>
            </w:pPr>
            <w:r>
              <w:rPr/>
              <w:t xml:space="preserve">  </w:t>
            </w:r>
          </w:p>
        </w:tc>
      </w:tr>
      <w:tr>
        <w:trPr/>
        <w:tc>
          <w:tcPr>
            <w:tcW w:w="47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revenue </w:t>
            </w:r>
          </w:p>
        </w:tc>
        <w:tc>
          <w:tcPr>
            <w:tcW w:w="311" w:type="dxa"/>
            <w:tcBorders/>
            <w:shd w:fill="CCEEFF" w:val="clear"/>
            <w:vAlign w:val="center"/>
          </w:tcPr>
          <w:p>
            <w:pPr>
              <w:pStyle w:val="TableContents"/>
              <w:spacing w:before="0" w:after="0"/>
              <w:ind w:left="0" w:right="0" w:hanging="0"/>
              <w:rPr/>
            </w:pPr>
            <w:r>
              <w:rPr/>
              <w:t xml:space="preserve">  </w:t>
            </w:r>
          </w:p>
        </w:tc>
        <w:tc>
          <w:tcPr>
            <w:tcW w:w="49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c>
          <w:tcPr>
            <w:tcW w:w="370" w:type="dxa"/>
            <w:tcBorders/>
            <w:shd w:fill="CCEEFF" w:val="clear"/>
            <w:vAlign w:val="center"/>
          </w:tcPr>
          <w:p>
            <w:pPr>
              <w:pStyle w:val="TableContents"/>
              <w:spacing w:before="0" w:after="0"/>
              <w:ind w:left="0" w:right="0" w:hanging="0"/>
              <w:rPr/>
            </w:pPr>
            <w:r>
              <w:rPr/>
              <w:t xml:space="preserve">  </w:t>
            </w:r>
          </w:p>
        </w:tc>
        <w:tc>
          <w:tcPr>
            <w:tcW w:w="371" w:type="dxa"/>
            <w:tcBorders/>
            <w:shd w:fill="CCEEFF" w:val="clear"/>
            <w:vAlign w:val="center"/>
          </w:tcPr>
          <w:p>
            <w:pPr>
              <w:pStyle w:val="TableContents"/>
              <w:spacing w:before="0" w:after="0"/>
              <w:ind w:left="0" w:right="0" w:hanging="0"/>
              <w:rPr/>
            </w:pPr>
            <w:r>
              <w:rPr/>
              <w:t xml:space="preserve">  </w:t>
            </w:r>
          </w:p>
        </w:tc>
        <w:tc>
          <w:tcPr>
            <w:tcW w:w="49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c>
          <w:tcPr>
            <w:tcW w:w="404" w:type="dxa"/>
            <w:tcBorders/>
            <w:shd w:fill="CCEEFF" w:val="clear"/>
            <w:vAlign w:val="center"/>
          </w:tcPr>
          <w:p>
            <w:pPr>
              <w:pStyle w:val="TableContents"/>
              <w:spacing w:before="0" w:after="0"/>
              <w:ind w:left="0" w:right="0" w:hanging="0"/>
              <w:rPr/>
            </w:pPr>
            <w:r>
              <w:rPr/>
              <w:t xml:space="preserve">  </w:t>
            </w:r>
          </w:p>
        </w:tc>
      </w:tr>
      <w:tr>
        <w:trPr/>
        <w:tc>
          <w:tcPr>
            <w:tcW w:w="479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cost of goods sold </w:t>
            </w:r>
          </w:p>
        </w:tc>
        <w:tc>
          <w:tcPr>
            <w:tcW w:w="311" w:type="dxa"/>
            <w:tcBorders/>
            <w:shd w:fill="auto" w:val="clear"/>
            <w:vAlign w:val="center"/>
          </w:tcPr>
          <w:p>
            <w:pPr>
              <w:pStyle w:val="TableContents"/>
              <w:spacing w:before="0" w:after="0"/>
              <w:ind w:left="0" w:right="0" w:hanging="0"/>
              <w:rPr/>
            </w:pPr>
            <w:r>
              <w:rPr/>
              <w:t xml:space="preserve">  </w:t>
            </w:r>
          </w:p>
        </w:tc>
        <w:tc>
          <w:tcPr>
            <w:tcW w:w="494"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19"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70" w:type="dxa"/>
            <w:tcBorders/>
            <w:shd w:fill="auto" w:val="clear"/>
            <w:vAlign w:val="center"/>
          </w:tcPr>
          <w:p>
            <w:pPr>
              <w:pStyle w:val="TableContents"/>
              <w:spacing w:before="0" w:after="0"/>
              <w:ind w:left="0" w:right="0" w:hanging="0"/>
              <w:rPr/>
            </w:pPr>
            <w:r>
              <w:rPr/>
              <w:t xml:space="preserve">  </w:t>
            </w:r>
          </w:p>
        </w:tc>
        <w:tc>
          <w:tcPr>
            <w:tcW w:w="371" w:type="dxa"/>
            <w:tcBorders/>
            <w:shd w:fill="auto" w:val="clear"/>
            <w:vAlign w:val="center"/>
          </w:tcPr>
          <w:p>
            <w:pPr>
              <w:pStyle w:val="TableContents"/>
              <w:spacing w:before="0" w:after="0"/>
              <w:ind w:left="0" w:right="0" w:hanging="0"/>
              <w:rPr/>
            </w:pPr>
            <w:r>
              <w:rPr/>
              <w:t xml:space="preserve">  </w:t>
            </w:r>
          </w:p>
        </w:tc>
        <w:tc>
          <w:tcPr>
            <w:tcW w:w="494"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19"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404" w:type="dxa"/>
            <w:tcBorders/>
            <w:shd w:fill="auto" w:val="clear"/>
            <w:vAlign w:val="center"/>
          </w:tcPr>
          <w:p>
            <w:pPr>
              <w:pStyle w:val="TableContents"/>
              <w:spacing w:before="0" w:after="0"/>
              <w:ind w:left="0" w:right="0" w:hanging="0"/>
              <w:rPr/>
            </w:pPr>
            <w:r>
              <w:rPr/>
              <w:t xml:space="preserve">  </w:t>
            </w:r>
          </w:p>
        </w:tc>
      </w:tr>
      <w:tr>
        <w:trPr/>
        <w:tc>
          <w:tcPr>
            <w:tcW w:w="479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gross profit </w:t>
            </w:r>
          </w:p>
        </w:tc>
        <w:tc>
          <w:tcPr>
            <w:tcW w:w="311" w:type="dxa"/>
            <w:tcBorders/>
            <w:shd w:fill="CCEEFF" w:val="clear"/>
            <w:vAlign w:val="center"/>
          </w:tcPr>
          <w:p>
            <w:pPr>
              <w:pStyle w:val="TableContents"/>
              <w:spacing w:before="0" w:after="0"/>
              <w:ind w:left="0" w:right="0" w:hanging="0"/>
              <w:rPr/>
            </w:pPr>
            <w:r>
              <w:rPr/>
              <w:t xml:space="preserve">  </w:t>
            </w:r>
          </w:p>
        </w:tc>
        <w:tc>
          <w:tcPr>
            <w:tcW w:w="4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c>
          <w:tcPr>
            <w:tcW w:w="370" w:type="dxa"/>
            <w:tcBorders/>
            <w:shd w:fill="CCEEFF" w:val="clear"/>
            <w:vAlign w:val="center"/>
          </w:tcPr>
          <w:p>
            <w:pPr>
              <w:pStyle w:val="TableContents"/>
              <w:spacing w:before="0" w:after="0"/>
              <w:ind w:left="0" w:right="0" w:hanging="0"/>
              <w:rPr/>
            </w:pPr>
            <w:r>
              <w:rPr/>
              <w:t xml:space="preserve">  </w:t>
            </w:r>
          </w:p>
        </w:tc>
        <w:tc>
          <w:tcPr>
            <w:tcW w:w="371" w:type="dxa"/>
            <w:tcBorders/>
            <w:shd w:fill="CCEEFF" w:val="clear"/>
            <w:vAlign w:val="center"/>
          </w:tcPr>
          <w:p>
            <w:pPr>
              <w:pStyle w:val="TableContents"/>
              <w:spacing w:before="0" w:after="0"/>
              <w:ind w:left="0" w:right="0" w:hanging="0"/>
              <w:rPr/>
            </w:pPr>
            <w:r>
              <w:rPr/>
              <w:t xml:space="preserve">  </w:t>
            </w:r>
          </w:p>
        </w:tc>
        <w:tc>
          <w:tcPr>
            <w:tcW w:w="49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19"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54</w:t>
            </w:r>
          </w:p>
        </w:tc>
        <w:tc>
          <w:tcPr>
            <w:tcW w:w="404" w:type="dxa"/>
            <w:tcBorders/>
            <w:shd w:fill="CCEEFF" w:val="clear"/>
            <w:vAlign w:val="center"/>
          </w:tcPr>
          <w:p>
            <w:pPr>
              <w:pStyle w:val="TableContents"/>
              <w:spacing w:before="0" w:after="0"/>
              <w:ind w:left="0" w:right="0" w:hanging="0"/>
              <w:rPr/>
            </w:pPr>
            <w:r>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Company offers rebates and market development funds to certain of its distributors, dealers/resellers, and end-users based upon the volume of product purchased by them. The Company records rebates as a reduction of revenue in accordance with GAAP.</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r>
        <w:rPr>
          <w:rFonts w:ascii="times new roman;times" w:hAnsi="times new roman;times"/>
          <w:sz w:val="20"/>
        </w:rPr>
        <w:t> </w:t>
      </w:r>
    </w:p>
    <w:p>
      <w:pPr>
        <w:pStyle w:val="TextBody"/>
        <w:spacing w:lineRule="auto" w:line="240" w:before="0" w:after="0"/>
        <w:ind w:left="0" w:right="0" w:hanging="0"/>
        <w:jc w:val="both"/>
        <w:rPr/>
      </w:pPr>
      <w:r>
        <w:rPr/>
      </w: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Impairment of Long-Lived Assets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assess the impairment of long-lived assets, such as property and equipment and definite-lived intangible assets subject to amortization,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37</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180" w:after="0"/>
        <w:ind w:left="0" w:right="0" w:hanging="0"/>
        <w:jc w:val="center"/>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Accounting for Income Taxes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We are subject to income taxes in both the United States and in certain non-U.S. jurisdictions.</w:t>
      </w:r>
      <w:r>
        <w:rPr>
          <w:rFonts w:ascii="times new roman;times" w:hAnsi="times new roman;times"/>
          <w:sz w:val="20"/>
        </w:rPr>
        <w:t> </w:t>
      </w:r>
      <w:r>
        <w:rPr>
          <w:rFonts w:ascii="Times New Roman" w:hAnsi="Times New Roman"/>
          <w:sz w:val="20"/>
        </w:rPr>
        <w:t>We account for income taxes following ASC 740,</w:t>
      </w:r>
      <w:r>
        <w:rPr>
          <w:rFonts w:ascii="times new roman;times" w:hAnsi="times new roman;times"/>
          <w:sz w:val="20"/>
        </w:rPr>
        <w:t> </w:t>
      </w:r>
      <w:r>
        <w:rPr>
          <w:rFonts w:ascii="Times New Roman" w:hAnsi="Times New Roman"/>
          <w:i/>
          <w:sz w:val="20"/>
        </w:rPr>
        <w:t>Accounting for Income Taxes,</w:t>
      </w:r>
      <w:r>
        <w:rPr>
          <w:rFonts w:ascii="times new roman;times" w:hAnsi="times new roman;times"/>
          <w:sz w:val="20"/>
        </w:rPr>
        <w:t> </w:t>
      </w:r>
      <w:r>
        <w:rPr>
          <w:rFonts w:ascii="Times New Roman" w:hAnsi="Times New Roman"/>
          <w:sz w:val="20"/>
        </w:rPr>
        <w:t>recognizing deferred tax assets and liabilities using enacted tax rates for the effect of temporary differences between book and tax basis of recorded assets and liabilities.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2022 and determined that based upon available evidence it is more likely than not that certain of our net deferred tax assets</w:t>
      </w:r>
      <w:r>
        <w:rPr>
          <w:rFonts w:ascii="times new roman;times" w:hAnsi="times new roman;times"/>
          <w:sz w:val="20"/>
        </w:rPr>
        <w:t> </w:t>
      </w:r>
      <w:r>
        <w:rPr>
          <w:rFonts w:ascii="Times New Roman" w:hAnsi="Times New Roman"/>
          <w:sz w:val="20"/>
        </w:rPr>
        <w:t xml:space="preserve">will not be realized and, accordingly, we have recorded a full valuation allowance against these deferred tax assets in the amount of $13.5 million. Please refer to </w:t>
      </w:r>
      <w:r>
        <w:rPr>
          <w:rFonts w:ascii="Times New Roman" w:hAnsi="Times New Roman"/>
          <w:sz w:val="20"/>
          <w:u w:val="single"/>
        </w:rPr>
        <w:t>Note 13 - Income Taxes</w:t>
      </w:r>
      <w:r>
        <w:rPr>
          <w:rFonts w:ascii="times new roman;times" w:hAnsi="times new roman;times"/>
          <w:sz w:val="20"/>
        </w:rPr>
        <w:t xml:space="preserve"> </w:t>
      </w:r>
      <w:r>
        <w:rPr>
          <w:rFonts w:ascii="Times New Roman" w:hAnsi="Times New Roman"/>
          <w:sz w:val="20"/>
        </w:rPr>
        <w:t>in the Notes to Consolidated Financial Statements for additional information.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Share-Based Payments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IMPACT OF RECENTLY ISSUED ACCOUNTING PRONOUNCEMENTS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For descriptions of recently issued accounting standards, see</w:t>
      </w:r>
      <w:r>
        <w:rPr>
          <w:rFonts w:ascii="times new roman;times" w:hAnsi="times new roman;times"/>
          <w:sz w:val="20"/>
        </w:rPr>
        <w:t> </w:t>
      </w:r>
      <w:r>
        <w:rPr>
          <w:rFonts w:ascii="Times New Roman" w:hAnsi="Times New Roman"/>
          <w:sz w:val="20"/>
          <w:u w:val="single"/>
        </w:rPr>
        <w:t>Note 1. Business Description, Basis of Presentation and Significant Accounting Policies</w:t>
      </w:r>
      <w:r>
        <w:rPr>
          <w:rFonts w:ascii="times new roman;times" w:hAnsi="times new roman;times"/>
          <w:sz w:val="20"/>
        </w:rPr>
        <w:t xml:space="preserve"> </w:t>
      </w:r>
      <w:r>
        <w:rPr>
          <w:rFonts w:ascii="Times New Roman" w:hAnsi="Times New Roman"/>
          <w:sz w:val="20"/>
        </w:rPr>
        <w:t>of our Notes</w:t>
      </w:r>
      <w:r>
        <w:rPr>
          <w:rFonts w:ascii="times new roman;times" w:hAnsi="times new roman;times"/>
          <w:sz w:val="20"/>
        </w:rPr>
        <w:t> </w:t>
      </w:r>
      <w:r>
        <w:rPr>
          <w:rFonts w:ascii="Times New Roman" w:hAnsi="Times New Roman"/>
          <w:sz w:val="20"/>
        </w:rPr>
        <w:t>to Consolidated Financial Statements.</w:t>
      </w:r>
    </w:p>
    <w:p>
      <w:pPr>
        <w:pStyle w:val="TextBody"/>
        <w:spacing w:lineRule="auto" w:line="240" w:before="0" w:after="0"/>
        <w:ind w:left="0" w:right="0" w:hanging="0"/>
        <w:jc w:val="both"/>
        <w:rPr/>
      </w:pPr>
      <w:r>
        <w:rPr/>
        <w:t> </w:t>
      </w:r>
    </w:p>
    <w:p>
      <w:pPr>
        <w:pStyle w:val="TextBody"/>
        <w:spacing w:lineRule="auto" w:line="240"/>
        <w:ind w:left="0" w:right="0" w:hanging="0"/>
        <w:jc w:val="both"/>
        <w:rPr/>
      </w:pPr>
      <w:hyperlink w:anchor="TOC">
        <w:bookmarkStart w:id="70" w:name="BL_KEF9VQT3PC00000000000000000000"/>
        <w:bookmarkEnd w:id="70"/>
        <w:r>
          <w:rPr>
            <w:rStyle w:val="InternetLink"/>
            <w:rFonts w:ascii="Times New Roman" w:hAnsi="Times New Roman"/>
            <w:b/>
            <w:strike w:val="false"/>
            <w:dstrike w:val="false"/>
            <w:color w:val="000000"/>
            <w:sz w:val="20"/>
            <w:u w:val="none"/>
            <w:effect w:val="none"/>
          </w:rPr>
          <w:t>ITEM 7A. QUANTITATIVE AND QUALITATIVE DISCLOSURES ABOUT MARKET RISK</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Not Applicable</w:t>
      </w:r>
    </w:p>
    <w:p>
      <w:pPr>
        <w:pStyle w:val="TextBody"/>
        <w:spacing w:lineRule="auto" w:line="240" w:before="0" w:after="0"/>
        <w:ind w:left="0" w:right="0" w:hanging="0"/>
        <w:jc w:val="both"/>
        <w:rPr/>
      </w:pPr>
      <w:r>
        <w:rPr/>
        <w:t> </w:t>
      </w:r>
    </w:p>
    <w:p>
      <w:pPr>
        <w:pStyle w:val="TextBody"/>
        <w:spacing w:lineRule="auto" w:line="240"/>
        <w:ind w:left="0" w:right="0" w:hanging="0"/>
        <w:jc w:val="both"/>
        <w:rPr/>
      </w:pPr>
      <w:hyperlink w:anchor="TOC">
        <w:bookmarkStart w:id="71" w:name="BIt8_1BI6QLLEZ400000000000000000000"/>
        <w:bookmarkEnd w:id="71"/>
        <w:r>
          <w:rPr>
            <w:rStyle w:val="InternetLink"/>
            <w:rFonts w:ascii="Times New Roman" w:hAnsi="Times New Roman"/>
            <w:b/>
            <w:strike w:val="false"/>
            <w:dstrike w:val="false"/>
            <w:color w:val="000000"/>
            <w:sz w:val="20"/>
            <w:u w:val="none"/>
            <w:effect w:val="none"/>
          </w:rPr>
          <w:t>ITEM </w:t>
        </w:r>
      </w:hyperlink>
      <w:hyperlink w:anchor="TOC">
        <w:r>
          <w:rPr>
            <w:rStyle w:val="InternetLink"/>
            <w:rFonts w:ascii="Times New Roman" w:hAnsi="Times New Roman"/>
            <w:b/>
            <w:strike w:val="false"/>
            <w:dstrike w:val="false"/>
            <w:color w:val="000000"/>
            <w:sz w:val="20"/>
            <w:u w:val="none"/>
            <w:effect w:val="none"/>
          </w:rPr>
          <w:t>8</w:t>
        </w:r>
      </w:hyperlink>
      <w:hyperlink w:anchor="TOC">
        <w:r>
          <w:rPr>
            <w:rStyle w:val="InternetLink"/>
            <w:rFonts w:ascii="Times New Roman" w:hAnsi="Times New Roman"/>
            <w:b/>
            <w:strike w:val="false"/>
            <w:dstrike w:val="false"/>
            <w:color w:val="000000"/>
            <w:sz w:val="20"/>
            <w:u w:val="none"/>
            <w:effect w:val="none"/>
          </w:rPr>
          <w:t>. FINANCIAL STATEMENTS AND SUPPLEMENTARY DATA</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Financial statements and supplementary data required by this are included herein as a </w:t>
      </w:r>
      <w:r>
        <w:rPr>
          <w:rFonts w:ascii="Times New Roman" w:hAnsi="Times New Roman"/>
          <w:sz w:val="20"/>
          <w:u w:val="single"/>
        </w:rPr>
        <w:t>separate section</w:t>
      </w:r>
      <w:r>
        <w:rPr>
          <w:rFonts w:ascii="times new roman;times" w:hAnsi="times new roman;times"/>
          <w:sz w:val="20"/>
        </w:rPr>
        <w:t> </w:t>
      </w:r>
      <w:r>
        <w:rPr>
          <w:rFonts w:ascii="Times New Roman" w:hAnsi="Times New Roman"/>
          <w:sz w:val="20"/>
        </w:rPr>
        <w:t>of this Form 10-K, beginning on page F-1, and are incorporated in this Item 8 by reference.</w:t>
      </w:r>
      <w:r>
        <w:rPr>
          <w:rFonts w:ascii="times new roman;times" w:hAnsi="times new roman;times"/>
          <w:sz w:val="20"/>
        </w:rPr>
        <w:t> </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38</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pPr>
      <w:r>
        <w:rPr/>
      </w:r>
    </w:p>
    <w:p>
      <w:pPr>
        <w:pStyle w:val="TextBody"/>
        <w:spacing w:lineRule="auto" w:line="240"/>
        <w:ind w:left="0" w:right="0" w:hanging="0"/>
        <w:jc w:val="both"/>
        <w:rPr/>
      </w:pPr>
      <w:hyperlink w:anchor="TOC">
        <w:bookmarkStart w:id="72" w:name="BN_656CSYXQWG00000000000000000000"/>
        <w:bookmarkEnd w:id="72"/>
        <w:r>
          <w:rPr>
            <w:rStyle w:val="InternetLink"/>
            <w:rFonts w:ascii="Times New Roman" w:hAnsi="Times New Roman"/>
            <w:b/>
            <w:strike w:val="false"/>
            <w:dstrike w:val="false"/>
            <w:color w:val="000000"/>
            <w:sz w:val="20"/>
            <w:u w:val="none"/>
            <w:effect w:val="none"/>
          </w:rPr>
          <w:t>ITEM 9. CHANGES IN AND DISAGREEMENTS WITH ACCOUNTANTS ON ACCOUNTING AND FINANCIAL DISCLOSURE</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None.</w:t>
      </w:r>
    </w:p>
    <w:p>
      <w:pPr>
        <w:pStyle w:val="TextBody"/>
        <w:spacing w:lineRule="auto" w:line="240" w:before="0" w:after="0"/>
        <w:ind w:left="0" w:right="0" w:hanging="0"/>
        <w:jc w:val="both"/>
        <w:rPr/>
      </w:pPr>
      <w:r>
        <w:rPr/>
        <w:t> </w:t>
      </w:r>
    </w:p>
    <w:p>
      <w:pPr>
        <w:pStyle w:val="TextBody"/>
        <w:spacing w:lineRule="auto" w:line="240"/>
        <w:ind w:left="0" w:right="0" w:hanging="0"/>
        <w:jc w:val="both"/>
        <w:rPr/>
      </w:pPr>
      <w:hyperlink w:anchor="TOC">
        <w:bookmarkStart w:id="73" w:name="BO_XFEHFTGHAO00000000000000000000"/>
        <w:bookmarkEnd w:id="73"/>
        <w:r>
          <w:rPr>
            <w:rStyle w:val="InternetLink"/>
            <w:rFonts w:ascii="Times New Roman" w:hAnsi="Times New Roman"/>
            <w:b/>
            <w:strike w:val="false"/>
            <w:dstrike w:val="false"/>
            <w:color w:val="000000"/>
            <w:sz w:val="20"/>
            <w:u w:val="none"/>
            <w:effect w:val="none"/>
          </w:rPr>
          <w:t>ITEM 9A. CONTROLS AND PROCEDURES</w:t>
        </w:r>
      </w:hyperlink>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b/>
          <w:i/>
          <w:sz w:val="20"/>
        </w:rPr>
      </w:pPr>
      <w:r>
        <w:rPr>
          <w:rFonts w:ascii="Times New Roman" w:hAnsi="Times New Roman"/>
          <w:b/>
          <w:i/>
          <w:sz w:val="20"/>
        </w:rPr>
        <w:t>Evaluation of Disclosure Controls and Procedures</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 xml:space="preserve">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December 31, 2022. Our disclosure controls and procedures are designed to provide reasonable assurance of achieving their objectives. Based upon this evaluation, our Chief Executive Officer and Chief Financial Officer concluded that, as of the end of the period covered by this Annual Report, our disclosure controls and procedures were effective at a reasonable assurance level as of December 31, 2022.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b/>
          <w:i/>
          <w:sz w:val="20"/>
        </w:rPr>
      </w:pPr>
      <w:r>
        <w:rPr>
          <w:rFonts w:ascii="Times New Roman" w:hAnsi="Times New Roman"/>
          <w:b/>
          <w:i/>
          <w:sz w:val="20"/>
        </w:rPr>
        <w:t>Management’s Annual Report on Internal Control Over Financial Reporting</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Our management conducted an evaluation of the effectiveness of our internal control over financial reporting as of December 31, 2022 based on the framework set forth in </w:t>
      </w:r>
      <w:r>
        <w:rPr>
          <w:rFonts w:ascii="Times New Roman" w:hAnsi="Times New Roman"/>
          <w:i/>
          <w:sz w:val="20"/>
        </w:rPr>
        <w:t>Internal Control - Integrated Framework</w:t>
      </w:r>
      <w:r>
        <w:rPr>
          <w:rFonts w:ascii="times new roman;times" w:hAnsi="times new roman;times"/>
          <w:sz w:val="20"/>
        </w:rPr>
        <w:t xml:space="preserve"> </w:t>
      </w:r>
      <w:r>
        <w:rPr>
          <w:rFonts w:ascii="Times New Roman" w:hAnsi="Times New Roman"/>
          <w:sz w:val="20"/>
        </w:rPr>
        <w:t xml:space="preserve">(2013 framework) issued by the Committee of Sponsoring Organizations of the Treadway Commission. Based on our assessment using that criteria, management concluded that the design and operation of our internal control over financial reporting were effective as of December 31, 2022. </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b/>
          <w:i/>
          <w:sz w:val="20"/>
        </w:rPr>
      </w:pPr>
      <w:r>
        <w:rPr>
          <w:rFonts w:ascii="Times New Roman" w:hAnsi="Times New Roman"/>
          <w:b/>
          <w:i/>
          <w:sz w:val="20"/>
        </w:rPr>
        <w:t>Changes in Internal Control Over Financial Reporting</w:t>
      </w:r>
    </w:p>
    <w:p>
      <w:pPr>
        <w:pStyle w:val="TextBody"/>
        <w:spacing w:lineRule="auto" w:line="240" w:before="0" w:after="0"/>
        <w:ind w:left="0" w:right="0" w:hanging="0"/>
        <w:rPr/>
      </w:pPr>
      <w:r>
        <w:rPr/>
        <w:t> </w:t>
      </w:r>
    </w:p>
    <w:p>
      <w:pPr>
        <w:pStyle w:val="TextBody"/>
        <w:widowControl/>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There were no changes in our internal control over financial reporting that occurred during the fourth fiscal quarter that have materially affected, or are reasonably likely to materially affect, our internal control over financial reporting.</w:t>
      </w:r>
    </w:p>
    <w:p>
      <w:pPr>
        <w:pStyle w:val="TextBody"/>
        <w:spacing w:lineRule="auto" w:line="240" w:before="0" w:after="0"/>
        <w:ind w:left="0" w:right="0" w:hanging="0"/>
        <w:rPr/>
      </w:pPr>
      <w:r>
        <w:rPr/>
        <w:t> </w:t>
      </w:r>
    </w:p>
    <w:p>
      <w:pPr>
        <w:pStyle w:val="TextBody"/>
        <w:spacing w:lineRule="auto" w:line="240"/>
        <w:ind w:left="0" w:right="0" w:hanging="0"/>
        <w:jc w:val="both"/>
        <w:rPr/>
      </w:pPr>
      <w:hyperlink w:anchor="TOC">
        <w:bookmarkStart w:id="74" w:name="BP_VPZ8QCDNYO00000000000000000000"/>
        <w:bookmarkEnd w:id="74"/>
        <w:r>
          <w:rPr>
            <w:rStyle w:val="InternetLink"/>
            <w:rFonts w:ascii="Times New Roman" w:hAnsi="Times New Roman"/>
            <w:b/>
            <w:strike w:val="false"/>
            <w:dstrike w:val="false"/>
            <w:color w:val="000000"/>
            <w:sz w:val="20"/>
            <w:u w:val="none"/>
            <w:effect w:val="none"/>
          </w:rPr>
          <w:t>ITEM 9B. OTHER INFORMATION</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None.</w:t>
      </w:r>
    </w:p>
    <w:p>
      <w:pPr>
        <w:pStyle w:val="TextBody"/>
        <w:spacing w:lineRule="auto" w:line="240" w:before="0" w:after="0"/>
        <w:ind w:left="0" w:right="0" w:hanging="0"/>
        <w:jc w:val="both"/>
        <w:rPr/>
      </w:pPr>
      <w:r>
        <w:rPr/>
      </w:r>
    </w:p>
    <w:p>
      <w:pPr>
        <w:pStyle w:val="TextBody"/>
        <w:widowControl/>
        <w:ind w:left="0" w:right="0" w:hanging="0"/>
        <w:rPr/>
      </w:pPr>
      <w:hyperlink w:anchor="TOC">
        <w:bookmarkStart w:id="75" w:name="BB9C_E0IXHJULOW00000000000000000000"/>
        <w:bookmarkEnd w:id="75"/>
        <w:r>
          <w:rPr>
            <w:rStyle w:val="InternetLink"/>
            <w:rFonts w:ascii="times new roman;times" w:hAnsi="times new roman;times"/>
            <w:b/>
            <w:i w:val="false"/>
            <w:caps w:val="false"/>
            <w:smallCaps w:val="false"/>
            <w:strike w:val="false"/>
            <w:dstrike w:val="false"/>
            <w:color w:val="000000"/>
            <w:spacing w:val="0"/>
            <w:sz w:val="20"/>
            <w:u w:val="none"/>
            <w:effect w:val="none"/>
          </w:rPr>
          <w:t>ITEM 9C. DISCLOSURE REGARDING FOREIGN JURISDICTIONS THAT PREVENT INSPECTIONS.</w:t>
        </w:r>
      </w:hyperlink>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Not Applicable.</w:t>
      </w:r>
    </w:p>
    <w:p>
      <w:pPr>
        <w:pStyle w:val="TextBody"/>
        <w:widowControl/>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39</w:t>
            </w:r>
          </w:p>
        </w:tc>
      </w:tr>
    </w:tbl>
    <w:p>
      <w:pPr>
        <w:pStyle w:val="TextBody"/>
        <w:spacing w:lineRule="auto" w:line="288"/>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88"/>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rPr/>
      </w:pPr>
      <w:r>
        <w:rPr/>
      </w:r>
    </w:p>
    <w:p>
      <w:pPr>
        <w:pStyle w:val="TextBody"/>
        <w:spacing w:lineRule="auto" w:line="240" w:before="0" w:after="0"/>
        <w:ind w:left="0" w:right="0" w:hanging="0"/>
        <w:jc w:val="center"/>
        <w:rPr/>
      </w:pPr>
      <w:hyperlink r:id="rId11">
        <w:bookmarkStart w:id="76" w:name="BQ_IUEDPQACSW00000000000000000000"/>
        <w:bookmarkEnd w:id="76"/>
        <w:r>
          <w:rPr>
            <w:rStyle w:val="VisitedInternetLink"/>
            <w:rFonts w:ascii="times new roman;times" w:hAnsi="times new roman;times"/>
            <w:b/>
            <w:strike w:val="false"/>
            <w:dstrike w:val="false"/>
            <w:color w:val="000000"/>
            <w:sz w:val="20"/>
            <w:u w:val="none"/>
            <w:effect w:val="none"/>
          </w:rPr>
          <w:t>PART III</w:t>
        </w:r>
      </w:hyperlink>
    </w:p>
    <w:p>
      <w:pPr>
        <w:pStyle w:val="TextBody"/>
        <w:spacing w:lineRule="auto" w:line="240" w:before="80" w:after="0"/>
        <w:ind w:left="0" w:right="0" w:hanging="0"/>
        <w:jc w:val="both"/>
        <w:rPr/>
      </w:pPr>
      <w:hyperlink r:id="rId12">
        <w:bookmarkStart w:id="77" w:name="BR_3C14CBQWS000000000000000000000"/>
        <w:bookmarkEnd w:id="77"/>
        <w:r>
          <w:rPr>
            <w:rStyle w:val="VisitedInternetLink"/>
            <w:rFonts w:ascii="times new roman;times" w:hAnsi="times new roman;times"/>
            <w:b/>
            <w:strike w:val="false"/>
            <w:dstrike w:val="false"/>
            <w:color w:val="000000"/>
            <w:sz w:val="20"/>
            <w:u w:val="none"/>
            <w:effect w:val="none"/>
          </w:rPr>
          <w:t>ITEM 10. DIRECTORS, EXECUTIVE OFFICERS AND CORPORATE GOVERNANCE</w:t>
        </w:r>
      </w:hyperlink>
    </w:p>
    <w:p>
      <w:pPr>
        <w:pStyle w:val="TextBody"/>
        <w:spacing w:lineRule="auto" w:line="240" w:before="120" w:after="0"/>
        <w:ind w:left="0" w:right="0" w:hanging="0"/>
        <w:jc w:val="both"/>
        <w:rPr>
          <w:rFonts w:ascii="times new roman;times" w:hAnsi="times new roman;times"/>
          <w:sz w:val="20"/>
        </w:rPr>
      </w:pPr>
      <w:r>
        <w:rPr>
          <w:rFonts w:ascii="times new roman;times" w:hAnsi="times new roman;times"/>
          <w:sz w:val="20"/>
        </w:rPr>
        <w:t>The following table sets forth certain information regarding our directors and executive officers as of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28" w:type="dxa"/>
          <w:right w:w="0" w:type="dxa"/>
        </w:tblCellMar>
      </w:tblPr>
      <w:tblGrid>
        <w:gridCol w:w="2141"/>
        <w:gridCol w:w="178"/>
        <w:gridCol w:w="469"/>
        <w:gridCol w:w="178"/>
        <w:gridCol w:w="4687"/>
        <w:gridCol w:w="178"/>
        <w:gridCol w:w="2374"/>
      </w:tblGrid>
      <w:tr>
        <w:trPr/>
        <w:tc>
          <w:tcPr>
            <w:tcW w:w="2141" w:type="dxa"/>
            <w:tcBorders>
              <w:bottom w:val="single" w:sz="6" w:space="0" w:color="000000"/>
            </w:tcBorders>
            <w:shd w:fill="auto" w:val="clea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Name </w:t>
            </w:r>
          </w:p>
        </w:tc>
        <w:tc>
          <w:tcPr>
            <w:tcW w:w="178" w:type="dxa"/>
            <w:tcBorders>
              <w:bottom w:val="single" w:sz="6" w:space="0" w:color="000000"/>
            </w:tcBorders>
            <w:shd w:fill="auto" w:val="clear"/>
          </w:tcPr>
          <w:p>
            <w:pPr>
              <w:pStyle w:val="TableContents"/>
              <w:spacing w:before="0" w:after="0"/>
              <w:ind w:left="0" w:right="0" w:hanging="0"/>
              <w:rPr/>
            </w:pPr>
            <w:r>
              <w:rPr/>
              <w:t xml:space="preserve">  </w:t>
            </w:r>
          </w:p>
        </w:tc>
        <w:tc>
          <w:tcPr>
            <w:tcW w:w="469" w:type="dxa"/>
            <w:tcBorders>
              <w:bottom w:val="single" w:sz="6" w:space="0" w:color="000000"/>
            </w:tcBorders>
            <w:shd w:fill="auto" w:val="clea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Age </w:t>
            </w:r>
          </w:p>
        </w:tc>
        <w:tc>
          <w:tcPr>
            <w:tcW w:w="178" w:type="dxa"/>
            <w:tcBorders/>
            <w:shd w:fill="auto" w:val="clear"/>
            <w:tcMar>
              <w:bottom w:w="0" w:type="dxa"/>
            </w:tcMar>
          </w:tcPr>
          <w:p>
            <w:pPr>
              <w:pStyle w:val="TableContents"/>
              <w:spacing w:before="0" w:after="0"/>
              <w:ind w:left="0" w:right="0" w:hanging="0"/>
              <w:rPr/>
            </w:pPr>
            <w:r>
              <w:rPr/>
              <w:t xml:space="preserve">  </w:t>
            </w:r>
          </w:p>
        </w:tc>
        <w:tc>
          <w:tcPr>
            <w:tcW w:w="4687" w:type="dxa"/>
            <w:tcBorders>
              <w:bottom w:val="single" w:sz="6" w:space="0" w:color="000000"/>
            </w:tcBorders>
            <w:shd w:fill="auto" w:val="clea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Position </w:t>
            </w:r>
          </w:p>
        </w:tc>
        <w:tc>
          <w:tcPr>
            <w:tcW w:w="178" w:type="dxa"/>
            <w:tcBorders/>
            <w:shd w:fill="auto" w:val="clear"/>
            <w:tcMar>
              <w:bottom w:w="0" w:type="dxa"/>
            </w:tcMar>
          </w:tcPr>
          <w:p>
            <w:pPr>
              <w:pStyle w:val="TableContents"/>
              <w:spacing w:before="0" w:after="0"/>
              <w:ind w:left="0" w:right="0" w:hanging="0"/>
              <w:rPr/>
            </w:pPr>
            <w:r>
              <w:rPr/>
              <w:t xml:space="preserve">  </w:t>
            </w:r>
          </w:p>
        </w:tc>
        <w:tc>
          <w:tcPr>
            <w:tcW w:w="2374" w:type="dxa"/>
            <w:tcBorders>
              <w:bottom w:val="single" w:sz="6" w:space="0" w:color="000000"/>
            </w:tcBorders>
            <w:shd w:fill="auto" w:val="clea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Director or Officer Since </w:t>
            </w:r>
          </w:p>
        </w:tc>
      </w:tr>
      <w:tr>
        <w:trPr/>
        <w:tc>
          <w:tcPr>
            <w:tcW w:w="2141" w:type="dxa"/>
            <w:tcBorders/>
            <w:shd w:fill="CCEEFF" w:val="clear"/>
            <w:tcMar>
              <w:bottom w:w="0" w:type="dxa"/>
            </w:tcMar>
            <w:vAlign w:val="center"/>
          </w:tcPr>
          <w:p>
            <w:pPr>
              <w:pStyle w:val="TableContents"/>
              <w:spacing w:before="0" w:after="0"/>
              <w:ind w:left="0" w:right="0" w:hanging="0"/>
              <w:rPr>
                <w:rFonts w:ascii="times new roman;times" w:hAnsi="times new roman;times"/>
              </w:rPr>
            </w:pPr>
            <w:r>
              <w:rPr>
                <w:rFonts w:ascii="times new roman;times" w:hAnsi="times new roman;times"/>
              </w:rPr>
              <w:t xml:space="preserve">Derek L. Graham </w:t>
            </w:r>
          </w:p>
        </w:tc>
        <w:tc>
          <w:tcPr>
            <w:tcW w:w="178" w:type="dxa"/>
            <w:tcBorders/>
            <w:shd w:fill="CCEEFF" w:val="clear"/>
            <w:tcMar>
              <w:bottom w:w="0" w:type="dxa"/>
            </w:tcMar>
            <w:vAlign w:val="center"/>
          </w:tcPr>
          <w:p>
            <w:pPr>
              <w:pStyle w:val="TableContents"/>
              <w:spacing w:before="0" w:after="0"/>
              <w:ind w:left="0" w:right="0" w:hanging="0"/>
              <w:rPr/>
            </w:pPr>
            <w:r>
              <w:rPr/>
              <w:t xml:space="preserve">  </w:t>
            </w:r>
          </w:p>
        </w:tc>
        <w:tc>
          <w:tcPr>
            <w:tcW w:w="469" w:type="dxa"/>
            <w:tcBorders/>
            <w:shd w:fill="CCEEFF" w:val="clear"/>
            <w:tcMar>
              <w:bottom w:w="0" w:type="dxa"/>
            </w:tcMar>
            <w:vAlign w:val="center"/>
          </w:tcPr>
          <w:p>
            <w:pPr>
              <w:pStyle w:val="TableContents"/>
              <w:pBdr/>
              <w:spacing w:before="0" w:after="0"/>
              <w:ind w:left="0" w:right="0" w:hanging="0"/>
              <w:jc w:val="center"/>
              <w:rPr>
                <w:rFonts w:ascii="times new roman;times" w:hAnsi="times new roman;times"/>
                <w:sz w:val="20"/>
              </w:rPr>
            </w:pPr>
            <w:r>
              <w:rPr>
                <w:rFonts w:ascii="times new roman;times" w:hAnsi="times new roman;times"/>
                <w:sz w:val="20"/>
              </w:rPr>
              <w:t>55</w:t>
            </w:r>
          </w:p>
        </w:tc>
        <w:tc>
          <w:tcPr>
            <w:tcW w:w="178" w:type="dxa"/>
            <w:tcBorders/>
            <w:shd w:fill="CCEEFF" w:val="clear"/>
            <w:tcMar>
              <w:bottom w:w="0" w:type="dxa"/>
            </w:tcMar>
            <w:vAlign w:val="center"/>
          </w:tcPr>
          <w:p>
            <w:pPr>
              <w:pStyle w:val="TableContents"/>
              <w:spacing w:before="0" w:after="0"/>
              <w:ind w:left="0" w:right="0" w:hanging="0"/>
              <w:rPr/>
            </w:pPr>
            <w:r>
              <w:rPr/>
              <w:t xml:space="preserve">  </w:t>
            </w:r>
          </w:p>
        </w:tc>
        <w:tc>
          <w:tcPr>
            <w:tcW w:w="4687"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Chief Executive Officer </w:t>
            </w:r>
          </w:p>
        </w:tc>
        <w:tc>
          <w:tcPr>
            <w:tcW w:w="178" w:type="dxa"/>
            <w:tcBorders/>
            <w:shd w:fill="CCEEFF" w:val="clear"/>
            <w:tcMar>
              <w:bottom w:w="0" w:type="dxa"/>
            </w:tcMar>
            <w:vAlign w:val="center"/>
          </w:tcPr>
          <w:p>
            <w:pPr>
              <w:pStyle w:val="TableContents"/>
              <w:spacing w:before="0" w:after="0"/>
              <w:ind w:left="0" w:right="0" w:hanging="0"/>
              <w:rPr/>
            </w:pPr>
            <w:r>
              <w:rPr/>
              <w:t xml:space="preserve">  </w:t>
            </w:r>
          </w:p>
        </w:tc>
        <w:tc>
          <w:tcPr>
            <w:tcW w:w="2374" w:type="dxa"/>
            <w:tcBorders/>
            <w:shd w:fill="CCEEFF" w:val="clear"/>
            <w:tcMar>
              <w:bottom w:w="0" w:type="dxa"/>
            </w:tcMar>
            <w:vAlign w:val="center"/>
          </w:tcPr>
          <w:p>
            <w:pPr>
              <w:pStyle w:val="TableContents"/>
              <w:spacing w:before="0" w:after="0"/>
              <w:ind w:left="0" w:right="0" w:hanging="0"/>
              <w:jc w:val="center"/>
              <w:rPr>
                <w:rFonts w:ascii="times new roman;times" w:hAnsi="times new roman;times"/>
                <w:sz w:val="20"/>
              </w:rPr>
            </w:pPr>
            <w:r>
              <w:rPr>
                <w:rFonts w:ascii="times new roman;times" w:hAnsi="times new roman;times"/>
                <w:sz w:val="20"/>
              </w:rPr>
              <w:t xml:space="preserve">2022  </w:t>
            </w:r>
          </w:p>
        </w:tc>
      </w:tr>
      <w:tr>
        <w:trPr/>
        <w:tc>
          <w:tcPr>
            <w:tcW w:w="2141"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Larry R. Hendricks </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469" w:type="dxa"/>
            <w:tcBorders/>
            <w:shd w:fill="auto" w:val="clear"/>
            <w:tcMar>
              <w:bottom w:w="0" w:type="dxa"/>
            </w:tcMar>
            <w:vAlign w:val="center"/>
          </w:tcPr>
          <w:p>
            <w:pPr>
              <w:pStyle w:val="TableContents"/>
              <w:pBdr/>
              <w:spacing w:before="0" w:after="0"/>
              <w:ind w:left="0" w:right="0" w:hanging="0"/>
              <w:jc w:val="center"/>
              <w:rPr>
                <w:rFonts w:ascii="times new roman;times" w:hAnsi="times new roman;times"/>
                <w:sz w:val="20"/>
              </w:rPr>
            </w:pPr>
            <w:r>
              <w:rPr>
                <w:rFonts w:ascii="times new roman;times" w:hAnsi="times new roman;times"/>
                <w:sz w:val="20"/>
              </w:rPr>
              <w:t>79</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4687" w:type="dxa"/>
            <w:tcBorders/>
            <w:shd w:fill="auto" w:val="clear"/>
            <w:tcMar>
              <w:bottom w:w="0" w:type="dxa"/>
            </w:tcMar>
            <w:vAlign w:val="bottom"/>
          </w:tcPr>
          <w:p>
            <w:pPr>
              <w:pStyle w:val="TableContents"/>
              <w:pBdr/>
              <w:spacing w:before="0" w:after="0"/>
              <w:ind w:left="0" w:right="0" w:hanging="0"/>
              <w:rPr>
                <w:rFonts w:ascii="times new roman;times" w:hAnsi="times new roman;times"/>
              </w:rPr>
            </w:pPr>
            <w:r>
              <w:rPr>
                <w:rFonts w:ascii="times new roman;times" w:hAnsi="times new roman;times"/>
              </w:rPr>
              <w:t xml:space="preserve">Director * </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2374" w:type="dxa"/>
            <w:tcBorders/>
            <w:shd w:fill="auto" w:val="clear"/>
            <w:tcMar>
              <w:bottom w:w="0" w:type="dxa"/>
            </w:tcMar>
            <w:vAlign w:val="center"/>
          </w:tcPr>
          <w:p>
            <w:pPr>
              <w:pStyle w:val="TableContents"/>
              <w:spacing w:before="0" w:after="0"/>
              <w:ind w:left="0" w:right="0" w:hanging="0"/>
              <w:jc w:val="center"/>
              <w:rPr>
                <w:rFonts w:ascii="times new roman;times" w:hAnsi="times new roman;times"/>
                <w:sz w:val="20"/>
              </w:rPr>
            </w:pPr>
            <w:r>
              <w:rPr>
                <w:rFonts w:ascii="times new roman;times" w:hAnsi="times new roman;times"/>
                <w:sz w:val="20"/>
              </w:rPr>
              <w:t>2003</w:t>
            </w:r>
          </w:p>
        </w:tc>
      </w:tr>
      <w:tr>
        <w:trPr/>
        <w:tc>
          <w:tcPr>
            <w:tcW w:w="2141" w:type="dxa"/>
            <w:tcBorders/>
            <w:shd w:fill="CCEEFF" w:val="clear"/>
            <w:tcMar>
              <w:bottom w:w="0" w:type="dxa"/>
            </w:tcMar>
            <w:vAlign w:val="center"/>
          </w:tcPr>
          <w:p>
            <w:pPr>
              <w:pStyle w:val="TableContents"/>
              <w:widowControl/>
              <w:spacing w:before="0" w:after="0"/>
              <w:ind w:left="0" w:right="0" w:hanging="0"/>
              <w:rPr>
                <w:rFonts w:ascii="times new roman;times" w:hAnsi="times new roman;times"/>
              </w:rPr>
            </w:pPr>
            <w:r>
              <w:rPr>
                <w:rFonts w:ascii="times new roman;times" w:hAnsi="times new roman;times"/>
                <w:b w:val="false"/>
                <w:i w:val="false"/>
                <w:caps w:val="false"/>
                <w:smallCaps w:val="false"/>
                <w:color w:val="000000"/>
                <w:spacing w:val="0"/>
                <w:sz w:val="20"/>
              </w:rPr>
              <w:t>Lisa B. </w:t>
            </w:r>
            <w:r>
              <w:rPr>
                <w:rFonts w:ascii="times new roman;times" w:hAnsi="times new roman;times"/>
              </w:rPr>
              <w:t>Higley</w:t>
            </w:r>
          </w:p>
        </w:tc>
        <w:tc>
          <w:tcPr>
            <w:tcW w:w="178" w:type="dxa"/>
            <w:tcBorders/>
            <w:shd w:fill="CCEEFF" w:val="clear"/>
            <w:tcMar>
              <w:bottom w:w="0" w:type="dxa"/>
            </w:tcMar>
            <w:vAlign w:val="center"/>
          </w:tcPr>
          <w:p>
            <w:pPr>
              <w:pStyle w:val="TableContents"/>
              <w:spacing w:before="0" w:after="283"/>
              <w:ind w:left="0" w:right="0" w:hanging="0"/>
              <w:rPr/>
            </w:pPr>
            <w:r>
              <w:rPr/>
            </w:r>
          </w:p>
        </w:tc>
        <w:tc>
          <w:tcPr>
            <w:tcW w:w="469" w:type="dxa"/>
            <w:tcBorders/>
            <w:shd w:fill="CCEEFF" w:val="clear"/>
            <w:tcMar>
              <w:bottom w:w="0" w:type="dxa"/>
            </w:tcMar>
            <w:vAlign w:val="center"/>
          </w:tcPr>
          <w:p>
            <w:pPr>
              <w:pStyle w:val="TableContents"/>
              <w:widowControl/>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55</w:t>
            </w:r>
          </w:p>
        </w:tc>
        <w:tc>
          <w:tcPr>
            <w:tcW w:w="178" w:type="dxa"/>
            <w:tcBorders/>
            <w:shd w:fill="CCEEFF" w:val="clear"/>
            <w:tcMar>
              <w:bottom w:w="0" w:type="dxa"/>
            </w:tcMar>
            <w:vAlign w:val="center"/>
          </w:tcPr>
          <w:p>
            <w:pPr>
              <w:pStyle w:val="TableContents"/>
              <w:spacing w:before="0" w:after="283"/>
              <w:ind w:left="0" w:right="0" w:hanging="0"/>
              <w:rPr/>
            </w:pPr>
            <w:r>
              <w:rPr/>
            </w:r>
          </w:p>
        </w:tc>
        <w:tc>
          <w:tcPr>
            <w:tcW w:w="4687" w:type="dxa"/>
            <w:tcBorders/>
            <w:shd w:fill="CCEEFF" w:val="clear"/>
            <w:tcMar>
              <w:bottom w:w="0" w:type="dxa"/>
            </w:tcMar>
            <w:vAlign w:val="bottom"/>
          </w:tcPr>
          <w:p>
            <w:pPr>
              <w:pStyle w:val="TableContents"/>
              <w:spacing w:before="0" w:after="0"/>
              <w:ind w:left="0" w:right="0" w:hanging="0"/>
              <w:rPr>
                <w:rFonts w:ascii="times new roman;times" w:hAnsi="times new roman;times"/>
              </w:rPr>
            </w:pPr>
            <w:r>
              <w:rPr>
                <w:rFonts w:ascii="times new roman;times" w:hAnsi="times new roman;times"/>
              </w:rPr>
              <w:t>Director</w:t>
            </w:r>
          </w:p>
        </w:tc>
        <w:tc>
          <w:tcPr>
            <w:tcW w:w="178" w:type="dxa"/>
            <w:tcBorders/>
            <w:shd w:fill="CCEEFF" w:val="clear"/>
            <w:tcMar>
              <w:bottom w:w="0" w:type="dxa"/>
            </w:tcMar>
            <w:vAlign w:val="center"/>
          </w:tcPr>
          <w:p>
            <w:pPr>
              <w:pStyle w:val="TableContents"/>
              <w:spacing w:before="0" w:after="283"/>
              <w:ind w:left="0" w:right="0" w:hanging="0"/>
              <w:rPr/>
            </w:pPr>
            <w:r>
              <w:rPr/>
            </w:r>
          </w:p>
        </w:tc>
        <w:tc>
          <w:tcPr>
            <w:tcW w:w="2374" w:type="dxa"/>
            <w:tcBorders/>
            <w:shd w:fill="CCEEFF" w:val="clear"/>
            <w:tcMar>
              <w:bottom w:w="0" w:type="dxa"/>
            </w:tcMar>
            <w:vAlign w:val="center"/>
          </w:tcPr>
          <w:p>
            <w:pPr>
              <w:pStyle w:val="TableContents"/>
              <w:spacing w:before="0" w:after="0"/>
              <w:ind w:left="0" w:right="0" w:hanging="0"/>
              <w:jc w:val="center"/>
              <w:rPr/>
            </w:pPr>
            <w:r>
              <w:rPr/>
              <w:t>2020</w:t>
            </w:r>
          </w:p>
        </w:tc>
      </w:tr>
      <w:tr>
        <w:trPr/>
        <w:tc>
          <w:tcPr>
            <w:tcW w:w="2141"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Eric L. Robinson </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469" w:type="dxa"/>
            <w:tcBorders/>
            <w:shd w:fill="auto" w:val="clear"/>
            <w:tcMar>
              <w:bottom w:w="0" w:type="dxa"/>
            </w:tcMar>
            <w:vAlign w:val="center"/>
          </w:tcPr>
          <w:p>
            <w:pPr>
              <w:pStyle w:val="TableContents"/>
              <w:pBdr/>
              <w:spacing w:before="0" w:after="0"/>
              <w:ind w:left="0" w:right="0" w:hanging="0"/>
              <w:jc w:val="center"/>
              <w:rPr>
                <w:rFonts w:ascii="times new roman;times" w:hAnsi="times new roman;times"/>
                <w:sz w:val="20"/>
              </w:rPr>
            </w:pPr>
            <w:r>
              <w:rPr>
                <w:rFonts w:ascii="times new roman;times" w:hAnsi="times new roman;times"/>
                <w:sz w:val="20"/>
              </w:rPr>
              <w:t>56</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4687" w:type="dxa"/>
            <w:tcBorders/>
            <w:shd w:fill="auto" w:val="clear"/>
            <w:tcMar>
              <w:bottom w:w="0" w:type="dxa"/>
            </w:tcMar>
            <w:vAlign w:val="bottom"/>
          </w:tcPr>
          <w:p>
            <w:pPr>
              <w:pStyle w:val="TableContents"/>
              <w:pBdr/>
              <w:spacing w:before="0" w:after="0"/>
              <w:ind w:left="0" w:right="0" w:hanging="0"/>
              <w:rPr>
                <w:rFonts w:ascii="times new roman;times" w:hAnsi="times new roman;times"/>
              </w:rPr>
            </w:pPr>
            <w:r>
              <w:rPr>
                <w:rFonts w:ascii="times new roman;times" w:hAnsi="times new roman;times"/>
              </w:rPr>
              <w:t xml:space="preserve">Chairman, and Director * </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2374" w:type="dxa"/>
            <w:tcBorders/>
            <w:shd w:fill="auto" w:val="clear"/>
            <w:tcMar>
              <w:bottom w:w="0" w:type="dxa"/>
            </w:tcMar>
            <w:vAlign w:val="center"/>
          </w:tcPr>
          <w:p>
            <w:pPr>
              <w:pStyle w:val="TableContents"/>
              <w:spacing w:before="0" w:after="0"/>
              <w:ind w:left="0" w:right="0" w:hanging="0"/>
              <w:jc w:val="center"/>
              <w:rPr/>
            </w:pPr>
            <w:r>
              <w:rPr/>
              <w:t>2015</w:t>
            </w:r>
          </w:p>
        </w:tc>
      </w:tr>
      <w:tr>
        <w:trPr/>
        <w:tc>
          <w:tcPr>
            <w:tcW w:w="2141"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Bruce Whaley </w:t>
            </w:r>
          </w:p>
        </w:tc>
        <w:tc>
          <w:tcPr>
            <w:tcW w:w="178" w:type="dxa"/>
            <w:tcBorders/>
            <w:shd w:fill="CCEEFF" w:val="clear"/>
            <w:tcMar>
              <w:bottom w:w="0" w:type="dxa"/>
            </w:tcMar>
            <w:vAlign w:val="center"/>
          </w:tcPr>
          <w:p>
            <w:pPr>
              <w:pStyle w:val="TableContents"/>
              <w:spacing w:before="0" w:after="0"/>
              <w:ind w:left="0" w:right="0" w:hanging="0"/>
              <w:rPr/>
            </w:pPr>
            <w:r>
              <w:rPr/>
              <w:t xml:space="preserve">  </w:t>
            </w:r>
          </w:p>
        </w:tc>
        <w:tc>
          <w:tcPr>
            <w:tcW w:w="469" w:type="dxa"/>
            <w:tcBorders/>
            <w:shd w:fill="CCEEFF" w:val="clear"/>
            <w:tcMar>
              <w:bottom w:w="0" w:type="dxa"/>
            </w:tcMar>
            <w:vAlign w:val="center"/>
          </w:tcPr>
          <w:p>
            <w:pPr>
              <w:pStyle w:val="TableContents"/>
              <w:pBdr/>
              <w:spacing w:before="0" w:after="0"/>
              <w:ind w:left="0" w:right="0" w:hanging="0"/>
              <w:jc w:val="center"/>
              <w:rPr>
                <w:rFonts w:ascii="times new roman;times" w:hAnsi="times new roman;times"/>
                <w:sz w:val="20"/>
              </w:rPr>
            </w:pPr>
            <w:r>
              <w:rPr>
                <w:rFonts w:ascii="times new roman;times" w:hAnsi="times new roman;times"/>
                <w:sz w:val="20"/>
              </w:rPr>
              <w:t>72</w:t>
            </w:r>
          </w:p>
        </w:tc>
        <w:tc>
          <w:tcPr>
            <w:tcW w:w="178" w:type="dxa"/>
            <w:tcBorders/>
            <w:shd w:fill="CCEEFF" w:val="clear"/>
            <w:tcMar>
              <w:bottom w:w="0" w:type="dxa"/>
            </w:tcMar>
            <w:vAlign w:val="center"/>
          </w:tcPr>
          <w:p>
            <w:pPr>
              <w:pStyle w:val="TableContents"/>
              <w:spacing w:before="0" w:after="0"/>
              <w:ind w:left="0" w:right="0" w:hanging="0"/>
              <w:rPr/>
            </w:pPr>
            <w:r>
              <w:rPr/>
              <w:t xml:space="preserve">  </w:t>
            </w:r>
          </w:p>
        </w:tc>
        <w:tc>
          <w:tcPr>
            <w:tcW w:w="4687" w:type="dxa"/>
            <w:tcBorders/>
            <w:shd w:fill="CCEEFF" w:val="clear"/>
            <w:tcMar>
              <w:bottom w:w="0" w:type="dxa"/>
            </w:tcMar>
            <w:vAlign w:val="bottom"/>
          </w:tcPr>
          <w:p>
            <w:pPr>
              <w:pStyle w:val="TableContents"/>
              <w:widowControl/>
              <w:pBdr/>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Director * </w:t>
            </w:r>
          </w:p>
        </w:tc>
        <w:tc>
          <w:tcPr>
            <w:tcW w:w="178" w:type="dxa"/>
            <w:tcBorders/>
            <w:shd w:fill="CCEEFF" w:val="clear"/>
            <w:tcMar>
              <w:bottom w:w="0" w:type="dxa"/>
            </w:tcMar>
            <w:vAlign w:val="center"/>
          </w:tcPr>
          <w:p>
            <w:pPr>
              <w:pStyle w:val="TableContents"/>
              <w:spacing w:before="0" w:after="0"/>
              <w:ind w:left="0" w:right="0" w:hanging="0"/>
              <w:rPr/>
            </w:pPr>
            <w:r>
              <w:rPr/>
              <w:t xml:space="preserve">  </w:t>
            </w:r>
          </w:p>
        </w:tc>
        <w:tc>
          <w:tcPr>
            <w:tcW w:w="2374" w:type="dxa"/>
            <w:tcBorders/>
            <w:shd w:fill="CCEEFF" w:val="clear"/>
            <w:tcMar>
              <w:bottom w:w="0" w:type="dxa"/>
            </w:tcMar>
            <w:vAlign w:val="center"/>
          </w:tcPr>
          <w:p>
            <w:pPr>
              <w:pStyle w:val="TableContents"/>
              <w:spacing w:before="0" w:after="0"/>
              <w:ind w:left="0" w:right="0" w:hanging="0"/>
              <w:jc w:val="center"/>
              <w:rPr>
                <w:rFonts w:ascii="times new roman;times" w:hAnsi="times new roman;times"/>
                <w:sz w:val="20"/>
              </w:rPr>
            </w:pPr>
            <w:r>
              <w:rPr>
                <w:rFonts w:ascii="times new roman;times" w:hAnsi="times new roman;times"/>
                <w:sz w:val="20"/>
              </w:rPr>
              <w:t>2019</w:t>
            </w:r>
          </w:p>
        </w:tc>
      </w:tr>
      <w:tr>
        <w:trPr/>
        <w:tc>
          <w:tcPr>
            <w:tcW w:w="2141"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Narsi Narayanan </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469" w:type="dxa"/>
            <w:tcBorders/>
            <w:shd w:fill="auto" w:val="clear"/>
            <w:tcMar>
              <w:bottom w:w="0" w:type="dxa"/>
            </w:tcMar>
            <w:vAlign w:val="center"/>
          </w:tcPr>
          <w:p>
            <w:pPr>
              <w:pStyle w:val="TableContents"/>
              <w:pBdr/>
              <w:spacing w:before="0" w:after="0"/>
              <w:ind w:left="0" w:right="0" w:hanging="0"/>
              <w:jc w:val="center"/>
              <w:rPr>
                <w:rFonts w:ascii="times new roman;times" w:hAnsi="times new roman;times"/>
                <w:sz w:val="20"/>
              </w:rPr>
            </w:pPr>
            <w:r>
              <w:rPr>
                <w:rFonts w:ascii="times new roman;times" w:hAnsi="times new roman;times"/>
                <w:sz w:val="20"/>
              </w:rPr>
              <w:t>52</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4687"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Chief Financial Officer and Corporate Secretary </w:t>
            </w:r>
          </w:p>
        </w:tc>
        <w:tc>
          <w:tcPr>
            <w:tcW w:w="178" w:type="dxa"/>
            <w:tcBorders/>
            <w:shd w:fill="auto" w:val="clear"/>
            <w:tcMar>
              <w:bottom w:w="0" w:type="dxa"/>
            </w:tcMar>
            <w:vAlign w:val="center"/>
          </w:tcPr>
          <w:p>
            <w:pPr>
              <w:pStyle w:val="TableContents"/>
              <w:spacing w:before="0" w:after="0"/>
              <w:ind w:left="0" w:right="0" w:hanging="0"/>
              <w:rPr/>
            </w:pPr>
            <w:r>
              <w:rPr/>
              <w:t xml:space="preserve">  </w:t>
            </w:r>
          </w:p>
        </w:tc>
        <w:tc>
          <w:tcPr>
            <w:tcW w:w="2374" w:type="dxa"/>
            <w:tcBorders/>
            <w:shd w:fill="auto" w:val="clear"/>
            <w:tcMar>
              <w:bottom w:w="0" w:type="dxa"/>
            </w:tcMar>
            <w:vAlign w:val="center"/>
          </w:tcPr>
          <w:p>
            <w:pPr>
              <w:pStyle w:val="TableContents"/>
              <w:spacing w:before="0" w:after="0"/>
              <w:ind w:left="0" w:right="0" w:hanging="0"/>
              <w:jc w:val="center"/>
              <w:rPr>
                <w:rFonts w:ascii="times new roman;times" w:hAnsi="times new roman;times"/>
                <w:sz w:val="20"/>
              </w:rPr>
            </w:pPr>
            <w:r>
              <w:rPr>
                <w:rFonts w:ascii="times new roman;times" w:hAnsi="times new roman;times"/>
                <w:sz w:val="20"/>
              </w:rPr>
              <w:t>2009</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0"/>
              <w:ind w:left="0" w:right="0" w:hanging="0"/>
              <w:rPr>
                <w:rFonts w:ascii="times new roman;times" w:hAnsi="times new roman;times"/>
              </w:rPr>
            </w:pPr>
            <w:r>
              <w:rPr>
                <w:rFonts w:ascii="times new roman;times" w:hAnsi="times new roman;times"/>
              </w:rPr>
              <w:t xml:space="preserve">* </w:t>
            </w:r>
          </w:p>
        </w:tc>
        <w:tc>
          <w:tcPr>
            <w:tcW w:w="9926"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Member of the Audit and Compliance Committee, Compensation Committee and Nominating Committee </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r>
    </w:p>
    <w:p>
      <w:pPr>
        <w:pStyle w:val="TextBody"/>
        <w:spacing w:lineRule="auto" w:line="240" w:before="0" w:after="0"/>
        <w:ind w:left="0" w:right="0" w:firstLine="600"/>
        <w:jc w:val="both"/>
        <w:rPr>
          <w:rFonts w:ascii="times new roman;times" w:hAnsi="times new roman;times"/>
          <w:sz w:val="20"/>
        </w:rPr>
      </w:pPr>
      <w:r>
        <w:rPr>
          <w:rFonts w:ascii="times new roman;times" w:hAnsi="times new roman;times"/>
          <w:b/>
          <w:sz w:val="20"/>
        </w:rPr>
        <w:t>Derek Graham</w:t>
      </w:r>
      <w:r>
        <w:rPr>
          <w:rFonts w:ascii="times new roman;times" w:hAnsi="times new roman;times"/>
          <w:sz w:val="20"/>
        </w:rPr>
        <w:t xml:space="preserve"> is our Chief Executive Officer. He was appointed as Interim CEO in May 2022 and was confirmed as the permanent CEO in January 2023. He joined our company in July 2003 as 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Derek was responsible for funding, staffing, and execution of parallel engineering programs that resulted in successful development of professionally installed audio and video conferencing, video streaming, wireless microphone, digital signage, and camera products. Derek is a named inventor on 13 patents. Prior to joining ClearOne, Derek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pStyle w:val="TextBody"/>
        <w:spacing w:lineRule="auto" w:line="240" w:before="0" w:after="0"/>
        <w:ind w:left="0" w:right="0" w:firstLine="600"/>
        <w:jc w:val="both"/>
        <w:rPr/>
      </w:pPr>
      <w:r>
        <w:rPr/>
      </w:r>
    </w:p>
    <w:p>
      <w:pPr>
        <w:pStyle w:val="TextBody"/>
        <w:widowControl/>
        <w:spacing w:lineRule="auto" w:line="240" w:before="0" w:after="0"/>
        <w:ind w:left="0" w:right="0" w:firstLine="720"/>
        <w:jc w:val="both"/>
        <w:rPr>
          <w:rFonts w:ascii="times new roman;times" w:hAnsi="times new roman;times"/>
          <w:sz w:val="20"/>
        </w:rPr>
      </w:pPr>
      <w:r>
        <w:rPr>
          <w:rFonts w:ascii="times new roman;times" w:hAnsi="times new roman;times"/>
          <w:b/>
          <w:sz w:val="20"/>
        </w:rPr>
        <w:t>Larry R. Hendricks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has served as a director of our Company since June 2003.</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Mr. Hendricks is a Certified Public Accountant who retired in December 2002 after serving as Vice President of Finance and General Manager of Daily Foods, Inc., a national meat processing company.</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During his 30-year career in accounting, he served as a self-employed CPA and worked for the international accounting firm Peat Marwick &amp; Mitchell.</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Mr. Hendricks has served on the boards of eight other organizations, including</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Tunex</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International, Habitat for Humanity, Daily Foods, Skin Care International, and the National Advisory Board of the Huntsman College of Business at Utah State University.</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He earned a</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Bachelor's Degree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in Accounting from Utah State University and a Master of Business Administration Degree from the University of Utah.</w:t>
      </w:r>
    </w:p>
    <w:p>
      <w:pPr>
        <w:pStyle w:val="TextBody"/>
        <w:widowControl/>
        <w:rPr/>
      </w:pPr>
      <w:r>
        <w:rPr/>
      </w:r>
    </w:p>
    <w:p>
      <w:pPr>
        <w:pStyle w:val="TextBody"/>
        <w:widowControl/>
        <w:spacing w:lineRule="auto" w:line="240" w:before="0" w:after="0"/>
        <w:ind w:left="0" w:right="0" w:firstLine="720"/>
        <w:jc w:val="both"/>
        <w:rPr>
          <w:rFonts w:ascii="times new roman;times" w:hAnsi="times new roman;times"/>
          <w:sz w:val="20"/>
        </w:rPr>
      </w:pPr>
      <w:r>
        <w:rPr>
          <w:rFonts w:ascii="times new roman;times" w:hAnsi="times new roman;times"/>
          <w:b/>
          <w:sz w:val="20"/>
        </w:rPr>
        <w:t>Lisa B.</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Higley</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was appointed a director of our Company effective July 20, 2020. Ms.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Higley</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has been self-employed as a CPA since June 2009. Previously, she was the CFO for Daisy D’s Paper Company from March 2007 until January 2009, where she managed all aspects of the company’s financial and accounting responsibilities. Additionally, Ms.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Higley</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was the CFO for</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Tunex</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International from April 2006 to March 2007 where she was accountable for all financial aspects of the corporation. Prior to that, Ms.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Higley</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was a staff tax accountant at</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Wisen, Smith,</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Racker</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&amp; Prescott LLP from February 2004 to April 2006. Ms.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Higley</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earned her Bachelor of Science in Accounting from the University of Oregon and her MBA from Utah State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University, and</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has been a Utah CPA since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2004.</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Higley</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is the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daughter</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of Edward D. Bagley, our former Chairman of the Board. Mr. Edward D. Bagley beneficially owns</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45% of our issued and outstanding common stock.</w:t>
      </w:r>
    </w:p>
    <w:p>
      <w:pPr>
        <w:pStyle w:val="TextBody"/>
        <w:widowControl/>
        <w:spacing w:before="0" w:after="0"/>
        <w:ind w:left="0" w:right="0" w:hanging="0"/>
        <w:rPr/>
      </w:pPr>
      <w:r>
        <w:rPr/>
      </w:r>
    </w:p>
    <w:p>
      <w:pPr>
        <w:pStyle w:val="TextBody"/>
        <w:widowControl/>
        <w:spacing w:lineRule="auto" w:line="240" w:before="0" w:after="0"/>
        <w:ind w:left="0" w:right="0" w:firstLine="720"/>
        <w:jc w:val="both"/>
        <w:rPr>
          <w:rFonts w:ascii="times new roman;times" w:hAnsi="times new roman;times"/>
          <w:sz w:val="20"/>
        </w:rPr>
      </w:pPr>
      <w:r>
        <w:rPr>
          <w:rFonts w:ascii="times new roman;times" w:hAnsi="times new roman;times"/>
          <w:b/>
          <w:sz w:val="20"/>
        </w:rPr>
        <w:t>Eric. L Robinson</w:t>
      </w:r>
      <w:r>
        <w:rPr>
          <w:rFonts w:ascii="times new roman;times" w:hAnsi="times new roman;times"/>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has served as a director of our company since July 2015 and was named Chairman of the Board in February 2022. Mr. Robinson spent fourteen years in private 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and as a private attorney. At MicroPower, Mr. Robinson has acted as General Counsel, Chief Financial Officer and director. Mr. Robinson also maintains a law practice and serves as counsel to a number of companies in the fields of regenerative medicine, transportation, commercial construction and nonprofit.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w:t>
      </w:r>
    </w:p>
    <w:p>
      <w:pPr>
        <w:pStyle w:val="TextBody"/>
        <w:widowControl/>
        <w:spacing w:before="0" w:after="0"/>
        <w:ind w:left="0" w:right="0" w:firstLine="72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40</w:t>
            </w:r>
          </w:p>
        </w:tc>
      </w:tr>
    </w:tbl>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pPr>
      <w:r>
        <w:rPr/>
      </w:r>
    </w:p>
    <w:p>
      <w:pPr>
        <w:pStyle w:val="TextBody"/>
        <w:spacing w:lineRule="auto" w:line="240" w:before="0" w:after="0"/>
        <w:ind w:left="0" w:right="0" w:firstLine="600"/>
        <w:jc w:val="both"/>
        <w:rPr>
          <w:rFonts w:ascii="times new roman;times" w:hAnsi="times new roman;times"/>
          <w:sz w:val="20"/>
        </w:rPr>
      </w:pPr>
      <w:r>
        <w:rPr>
          <w:rFonts w:ascii="times new roman;times" w:hAnsi="times new roman;times"/>
          <w:sz w:val="20"/>
        </w:rPr>
        <w:t>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pStyle w:val="TextBody"/>
        <w:spacing w:lineRule="auto" w:line="240" w:before="0" w:after="0"/>
        <w:ind w:left="0" w:right="0" w:firstLine="600"/>
        <w:rPr/>
      </w:pPr>
      <w:r>
        <w:rPr/>
      </w:r>
    </w:p>
    <w:p>
      <w:pPr>
        <w:pStyle w:val="TextBody"/>
        <w:spacing w:lineRule="auto" w:line="240" w:before="0" w:after="0"/>
        <w:ind w:left="0" w:right="0" w:firstLine="600"/>
        <w:jc w:val="both"/>
        <w:rPr>
          <w:rFonts w:ascii="times new roman;times" w:hAnsi="times new roman;times"/>
          <w:sz w:val="20"/>
        </w:rPr>
      </w:pPr>
      <w:r>
        <w:rPr>
          <w:rFonts w:ascii="times new roman;times" w:hAnsi="times new roman;times"/>
          <w:b/>
          <w:sz w:val="20"/>
        </w:rPr>
        <w:t>Bruce Whaley</w:t>
      </w:r>
      <w:r>
        <w:rPr>
          <w:rFonts w:ascii="times new roman;times" w:hAnsi="times new roman;times"/>
          <w:sz w:val="20"/>
        </w:rPr>
        <w:t xml:space="preserve"> was appointed a director of our Company effective April 16, 2019. Mr. Whaley has extensive experience as a stockbroker for nearly five decades. Mr. Whaley is currently a broker trading at Wilson &amp; Davis, a regional brokerage firm based in Salt Lake City, Utah. He has been with Wilson &amp; Davis since 1988. Mr. Whaley also holds a real estate license and works as a real estate agent for Coldwell Banker. Mr. Whaley attended the University of Utah between 1968 and 1971 and studied many subjects including business administration, accounting and finance. He did not graduate with a degree.</w:t>
      </w:r>
    </w:p>
    <w:p>
      <w:pPr>
        <w:pStyle w:val="TextBody"/>
        <w:spacing w:lineRule="auto" w:line="240" w:before="0" w:after="0"/>
        <w:ind w:left="0" w:right="0" w:firstLine="600"/>
        <w:rPr/>
      </w:pPr>
      <w:r>
        <w:rPr/>
      </w:r>
    </w:p>
    <w:p>
      <w:pPr>
        <w:pStyle w:val="TextBody"/>
        <w:spacing w:lineRule="auto" w:line="240" w:before="0" w:after="0"/>
        <w:ind w:left="0" w:right="0" w:firstLine="600"/>
        <w:jc w:val="both"/>
        <w:rPr>
          <w:rFonts w:ascii="Times New Roman" w:hAnsi="Times New Roman"/>
          <w:sz w:val="20"/>
        </w:rPr>
      </w:pPr>
      <w:r>
        <w:rPr>
          <w:rFonts w:ascii="times new roman;times" w:hAnsi="times new roman;times"/>
          <w:b/>
          <w:sz w:val="20"/>
        </w:rPr>
        <w:t>Narsi Narayanan</w:t>
      </w:r>
      <w:r>
        <w:rPr>
          <w:rFonts w:ascii="Times New Roman" w:hAnsi="Times New Roman"/>
          <w:sz w:val="20"/>
        </w:rPr>
        <w:t xml:space="preserve"> has served in the roles of Vice President of Finance and Senior Vice President of Finance since July 2009. He has over three 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pStyle w:val="TextBody"/>
        <w:spacing w:lineRule="auto" w:line="240" w:before="0" w:after="0"/>
        <w:ind w:left="0" w:right="0" w:firstLine="780"/>
        <w:jc w:val="both"/>
        <w:rPr/>
      </w:pPr>
      <w:r>
        <w:rPr/>
      </w:r>
    </w:p>
    <w:p>
      <w:pPr>
        <w:pStyle w:val="TextBody"/>
        <w:widowControl/>
        <w:spacing w:before="0" w:after="0"/>
        <w:ind w:left="0" w:right="294"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Section 16(a) Beneficial Ownership Reporting Compliance</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spacing w:lineRule="auto" w:line="240" w:before="0" w:after="200"/>
        <w:ind w:left="0" w:right="0" w:firstLine="600"/>
        <w:jc w:val="both"/>
        <w:rPr>
          <w:rFonts w:ascii="times new roman;times" w:hAnsi="times new roman;times"/>
          <w:sz w:val="20"/>
        </w:rPr>
      </w:pPr>
      <w:r>
        <w:rPr>
          <w:rFonts w:ascii="times new roman;times" w:hAnsi="times new roman;times"/>
          <w:sz w:val="20"/>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2022, we believe that each person who, at any time during such fiscal year was a director, officer, or beneficial owner of more than 10% of our common stock complied with all Section 16(a) filing requirements during such period.</w:t>
      </w:r>
    </w:p>
    <w:p>
      <w:pPr>
        <w:pStyle w:val="TextBody"/>
        <w:spacing w:lineRule="auto" w:line="240" w:before="0" w:after="200"/>
        <w:ind w:left="0" w:right="0" w:hanging="0"/>
        <w:rPr>
          <w:rFonts w:ascii="times new roman;times" w:hAnsi="times new roman;times"/>
          <w:b/>
          <w:sz w:val="20"/>
        </w:rPr>
      </w:pPr>
      <w:r>
        <w:rPr>
          <w:rFonts w:ascii="times new roman;times" w:hAnsi="times new roman;times"/>
          <w:b/>
          <w:sz w:val="20"/>
        </w:rPr>
        <w:t>Code of Ethics</w:t>
      </w:r>
    </w:p>
    <w:p>
      <w:pPr>
        <w:pStyle w:val="TextBody"/>
        <w:spacing w:lineRule="auto" w:line="240" w:before="0" w:after="0"/>
        <w:ind w:left="0" w:right="0" w:firstLine="600"/>
        <w:jc w:val="both"/>
        <w:rPr>
          <w:rFonts w:ascii="times new roman;times" w:hAnsi="times new roman;times"/>
          <w:sz w:val="20"/>
        </w:rPr>
      </w:pPr>
      <w:r>
        <w:rPr>
          <w:rFonts w:ascii="times new roman;times" w:hAnsi="times new roman;times"/>
          <w:sz w:val="20"/>
        </w:rPr>
        <w:t>The Board of Directors adopted a code of ethics that applies to our Board of Directors, executive officers, and employees. The Company's Code of Ethics is posted on our website at www.clearone.com.</w:t>
      </w:r>
    </w:p>
    <w:p>
      <w:pPr>
        <w:pStyle w:val="TextBody"/>
        <w:spacing w:lineRule="auto" w:line="240" w:before="0" w:after="0"/>
        <w:ind w:left="0" w:right="0" w:hanging="0"/>
        <w:rPr/>
      </w:pPr>
      <w:r>
        <w:rPr/>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Nomination Procedures</w:t>
      </w:r>
    </w:p>
    <w:p>
      <w:pPr>
        <w:pStyle w:val="TextBody"/>
        <w:spacing w:lineRule="auto" w:line="240" w:before="0" w:after="0"/>
        <w:ind w:left="0" w:right="0" w:hanging="0"/>
        <w:rPr/>
      </w:pPr>
      <w:r>
        <w:rPr/>
      </w:r>
    </w:p>
    <w:p>
      <w:pPr>
        <w:pStyle w:val="TextBody"/>
        <w:spacing w:lineRule="auto" w:line="240" w:before="0" w:after="200"/>
        <w:ind w:left="0" w:right="0" w:firstLine="600"/>
        <w:jc w:val="both"/>
        <w:rPr>
          <w:rFonts w:ascii="times new roman;times" w:hAnsi="times new roman;times"/>
          <w:sz w:val="20"/>
        </w:rPr>
      </w:pPr>
      <w:r>
        <w:rPr>
          <w:rFonts w:ascii="times new roman;times" w:hAnsi="times new roman;times"/>
          <w:sz w:val="20"/>
        </w:rPr>
        <w:t>No changes have been made to the procedures by which our shareholders may recommend nominees to our Board of Directors.</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Audit and Compliance Committee</w:t>
      </w:r>
    </w:p>
    <w:p>
      <w:pPr>
        <w:pStyle w:val="TextBody"/>
        <w:spacing w:lineRule="auto" w:line="240" w:before="0" w:after="0"/>
        <w:ind w:left="0" w:right="0" w:hanging="0"/>
        <w:rPr/>
      </w:pPr>
      <w:r>
        <w:rPr/>
      </w:r>
    </w:p>
    <w:p>
      <w:pPr>
        <w:pStyle w:val="TextBody"/>
        <w:spacing w:lineRule="auto" w:line="240" w:before="0" w:after="0"/>
        <w:ind w:left="0" w:right="0" w:firstLine="600"/>
        <w:jc w:val="both"/>
        <w:rPr>
          <w:rFonts w:ascii="times new roman;times" w:hAnsi="times new roman;times"/>
          <w:sz w:val="20"/>
        </w:rPr>
      </w:pPr>
      <w:r>
        <w:rPr>
          <w:rFonts w:ascii="times new roman;times" w:hAnsi="times new roman;times"/>
          <w:sz w:val="20"/>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pStyle w:val="TextBody"/>
        <w:spacing w:lineRule="auto" w:line="240" w:before="0" w:after="0"/>
        <w:ind w:left="0" w:right="0" w:firstLine="7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41</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rPr/>
      </w:pPr>
      <w:r>
        <w:rPr/>
        <w:t> </w:t>
      </w:r>
    </w:p>
    <w:p>
      <w:pPr>
        <w:pStyle w:val="TextBody"/>
        <w:spacing w:lineRule="auto" w:line="240"/>
        <w:ind w:left="0" w:right="0" w:hanging="0"/>
        <w:jc w:val="both"/>
        <w:rPr/>
      </w:pPr>
      <w:hyperlink r:id="rId13">
        <w:bookmarkStart w:id="78" w:name="BS_9H0211KAKW00000000000000000000"/>
        <w:bookmarkEnd w:id="78"/>
        <w:r>
          <w:rPr>
            <w:rStyle w:val="VisitedInternetLink"/>
            <w:rFonts w:ascii="times new roman;times" w:hAnsi="times new roman;times"/>
            <w:b/>
            <w:strike w:val="false"/>
            <w:dstrike w:val="false"/>
            <w:color w:val="000000"/>
            <w:sz w:val="20"/>
            <w:u w:val="none"/>
            <w:effect w:val="none"/>
          </w:rPr>
          <w:t>ITEM 11. EXECUTIVE COMPENSATION</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b/>
          <w:sz w:val="20"/>
        </w:rPr>
      </w:pPr>
      <w:r>
        <w:rPr>
          <w:rFonts w:ascii="times new roman;times" w:hAnsi="times new roman;times"/>
          <w:b/>
          <w:sz w:val="20"/>
        </w:rPr>
        <w:t>EXECUTIVE COMPENSATION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following table sets forth the compensation paid or earned by each named executive officer for the years ended December 31, 2022 and 2021.</w:t>
      </w:r>
    </w:p>
    <w:p>
      <w:pPr>
        <w:pStyle w:val="TextBody"/>
        <w:spacing w:lineRule="auto" w:line="240" w:before="0" w:after="0"/>
        <w:ind w:left="0" w:right="0" w:hanging="0"/>
        <w:rPr/>
      </w:pPr>
      <w:r>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SUMMARY COMPENSATION TABLE</w:t>
      </w:r>
    </w:p>
    <w:p>
      <w:pPr>
        <w:pStyle w:val="TextBody"/>
        <w:spacing w:lineRule="auto" w:line="240" w:before="0" w:after="0"/>
        <w:ind w:left="294" w:right="294"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28" w:type="dxa"/>
          <w:right w:w="0" w:type="dxa"/>
        </w:tblCellMar>
      </w:tblPr>
      <w:tblGrid>
        <w:gridCol w:w="2809"/>
        <w:gridCol w:w="110"/>
        <w:gridCol w:w="180"/>
        <w:gridCol w:w="830"/>
        <w:gridCol w:w="110"/>
        <w:gridCol w:w="110"/>
        <w:gridCol w:w="323"/>
        <w:gridCol w:w="555"/>
        <w:gridCol w:w="110"/>
        <w:gridCol w:w="110"/>
        <w:gridCol w:w="703"/>
        <w:gridCol w:w="1201"/>
        <w:gridCol w:w="110"/>
        <w:gridCol w:w="110"/>
        <w:gridCol w:w="275"/>
        <w:gridCol w:w="1174"/>
        <w:gridCol w:w="110"/>
        <w:gridCol w:w="110"/>
        <w:gridCol w:w="170"/>
        <w:gridCol w:w="830"/>
        <w:gridCol w:w="165"/>
      </w:tblGrid>
      <w:tr>
        <w:trPr/>
        <w:tc>
          <w:tcPr>
            <w:tcW w:w="2809" w:type="dxa"/>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Name and Principal Position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010"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Salary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878"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Option Awards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904"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Non-Equity Incentive Plan Compensation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449"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All Other Compensation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000"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Total </w:t>
            </w:r>
          </w:p>
        </w:tc>
        <w:tc>
          <w:tcPr>
            <w:tcW w:w="165"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09" w:type="dxa"/>
            <w:tcBorders/>
            <w:shd w:fill="CCEEFF" w:val="clear"/>
            <w:tcMar>
              <w:bottom w:w="0" w:type="dxa"/>
            </w:tcMar>
            <w:vAlign w:val="center"/>
          </w:tcPr>
          <w:p>
            <w:pPr>
              <w:pStyle w:val="TableContents"/>
              <w:spacing w:before="0" w:after="283"/>
              <w:rPr>
                <w:rFonts w:ascii="times new roman;times" w:hAnsi="times new roman;times"/>
                <w:b/>
              </w:rPr>
            </w:pPr>
            <w:r>
              <w:rPr>
                <w:rFonts w:ascii="times new roman;times" w:hAnsi="times new roman;times"/>
                <w:b/>
              </w:rPr>
              <w:t>Derek Graham, Chief Executive Officer</w:t>
            </w:r>
            <w:r>
              <w:rPr>
                <w:rFonts w:ascii="times new roman;times" w:hAnsi="times new roman;times"/>
                <w:b/>
                <w:position w:val="5"/>
                <w:sz w:val="13"/>
                <w:sz w:val="16"/>
              </w:rPr>
              <w:t>(</w:t>
            </w:r>
            <w:r>
              <w:rPr>
                <w:rFonts w:ascii="times new roman;times" w:hAnsi="times new roman;times"/>
                <w:b/>
                <w:position w:val="5"/>
                <w:sz w:val="13"/>
                <w:sz w:val="16"/>
              </w:rPr>
              <w:t>1</w:t>
            </w:r>
            <w:r>
              <w:rPr>
                <w:rFonts w:ascii="times new roman;times" w:hAnsi="times new roman;times"/>
                <w:b/>
                <w:position w:val="5"/>
                <w:sz w:val="13"/>
                <w:sz w:val="16"/>
              </w:rPr>
              <w:t>)</w:t>
            </w:r>
          </w:p>
        </w:tc>
        <w:tc>
          <w:tcPr>
            <w:tcW w:w="110" w:type="dxa"/>
            <w:tcBorders/>
            <w:shd w:fill="CCEEFF" w:val="clear"/>
            <w:tcMar>
              <w:bottom w:w="0" w:type="dxa"/>
            </w:tcMar>
            <w:vAlign w:val="center"/>
          </w:tcPr>
          <w:p>
            <w:pPr>
              <w:pStyle w:val="TableContents"/>
              <w:spacing w:before="0" w:after="283"/>
              <w:rPr/>
            </w:pPr>
            <w:r>
              <w:rPr/>
            </w:r>
          </w:p>
        </w:tc>
        <w:tc>
          <w:tcPr>
            <w:tcW w:w="180" w:type="dxa"/>
            <w:tcBorders/>
            <w:shd w:fill="CCEEFF" w:val="clear"/>
            <w:tcMar>
              <w:bottom w:w="0" w:type="dxa"/>
            </w:tcMar>
            <w:vAlign w:val="center"/>
          </w:tcPr>
          <w:p>
            <w:pPr>
              <w:pStyle w:val="TableContents"/>
              <w:spacing w:before="0" w:after="283"/>
              <w:rPr/>
            </w:pPr>
            <w:r>
              <w:rPr/>
            </w:r>
          </w:p>
        </w:tc>
        <w:tc>
          <w:tcPr>
            <w:tcW w:w="830" w:type="dxa"/>
            <w:tcBorders/>
            <w:shd w:fill="CCEEFF" w:val="clear"/>
            <w:tcMar>
              <w:bottom w:w="0" w:type="dxa"/>
            </w:tcMar>
            <w:vAlign w:val="center"/>
          </w:tcPr>
          <w:p>
            <w:pPr>
              <w:pStyle w:val="TableContents"/>
              <w:spacing w:before="0" w:after="283"/>
              <w:rPr/>
            </w:pPr>
            <w:r>
              <w:rPr/>
            </w:r>
          </w:p>
        </w:tc>
        <w:tc>
          <w:tcPr>
            <w:tcW w:w="110" w:type="dxa"/>
            <w:tcBorders/>
            <w:shd w:fill="CCEEFF" w:val="clear"/>
            <w:tcMar>
              <w:bottom w:w="0" w:type="dxa"/>
            </w:tcMar>
            <w:vAlign w:val="center"/>
          </w:tcPr>
          <w:p>
            <w:pPr>
              <w:pStyle w:val="TableContents"/>
              <w:spacing w:before="0" w:after="283"/>
              <w:rPr/>
            </w:pPr>
            <w:r>
              <w:rPr/>
            </w:r>
          </w:p>
        </w:tc>
        <w:tc>
          <w:tcPr>
            <w:tcW w:w="110" w:type="dxa"/>
            <w:tcBorders/>
            <w:shd w:fill="CCEEFF" w:val="clear"/>
            <w:tcMar>
              <w:bottom w:w="0" w:type="dxa"/>
            </w:tcMar>
            <w:vAlign w:val="center"/>
          </w:tcPr>
          <w:p>
            <w:pPr>
              <w:pStyle w:val="TableContents"/>
              <w:spacing w:before="0" w:after="283"/>
              <w:rPr/>
            </w:pPr>
            <w:r>
              <w:rPr/>
            </w:r>
          </w:p>
        </w:tc>
        <w:tc>
          <w:tcPr>
            <w:tcW w:w="323" w:type="dxa"/>
            <w:tcBorders/>
            <w:shd w:fill="CCEEFF" w:val="clear"/>
            <w:tcMar>
              <w:bottom w:w="0" w:type="dxa"/>
            </w:tcMar>
            <w:vAlign w:val="center"/>
          </w:tcPr>
          <w:p>
            <w:pPr>
              <w:pStyle w:val="TableContents"/>
              <w:spacing w:before="0" w:after="283"/>
              <w:rPr/>
            </w:pPr>
            <w:r>
              <w:rPr/>
            </w:r>
          </w:p>
        </w:tc>
        <w:tc>
          <w:tcPr>
            <w:tcW w:w="555" w:type="dxa"/>
            <w:tcBorders/>
            <w:shd w:fill="CCEEFF" w:val="clear"/>
            <w:tcMar>
              <w:bottom w:w="0" w:type="dxa"/>
            </w:tcMar>
            <w:vAlign w:val="center"/>
          </w:tcPr>
          <w:p>
            <w:pPr>
              <w:pStyle w:val="TableContents"/>
              <w:spacing w:before="0" w:after="283"/>
              <w:rPr/>
            </w:pPr>
            <w:r>
              <w:rPr/>
            </w:r>
          </w:p>
        </w:tc>
        <w:tc>
          <w:tcPr>
            <w:tcW w:w="110" w:type="dxa"/>
            <w:tcBorders/>
            <w:shd w:fill="CCEEFF" w:val="clear"/>
            <w:tcMar>
              <w:bottom w:w="0" w:type="dxa"/>
            </w:tcMar>
            <w:vAlign w:val="center"/>
          </w:tcPr>
          <w:p>
            <w:pPr>
              <w:pStyle w:val="TableContents"/>
              <w:spacing w:before="0" w:after="283"/>
              <w:rPr/>
            </w:pPr>
            <w:r>
              <w:rPr/>
            </w:r>
          </w:p>
        </w:tc>
        <w:tc>
          <w:tcPr>
            <w:tcW w:w="110" w:type="dxa"/>
            <w:tcBorders/>
            <w:shd w:fill="CCEEFF" w:val="clear"/>
            <w:tcMar>
              <w:bottom w:w="0" w:type="dxa"/>
            </w:tcMar>
            <w:vAlign w:val="center"/>
          </w:tcPr>
          <w:p>
            <w:pPr>
              <w:pStyle w:val="TableContents"/>
              <w:spacing w:before="0" w:after="283"/>
              <w:rPr/>
            </w:pPr>
            <w:r>
              <w:rPr/>
            </w:r>
          </w:p>
        </w:tc>
        <w:tc>
          <w:tcPr>
            <w:tcW w:w="703" w:type="dxa"/>
            <w:tcBorders/>
            <w:shd w:fill="CCEEFF" w:val="clear"/>
            <w:tcMar>
              <w:bottom w:w="0" w:type="dxa"/>
            </w:tcMar>
            <w:vAlign w:val="center"/>
          </w:tcPr>
          <w:p>
            <w:pPr>
              <w:pStyle w:val="TableContents"/>
              <w:spacing w:before="0" w:after="283"/>
              <w:rPr/>
            </w:pPr>
            <w:r>
              <w:rPr/>
            </w:r>
          </w:p>
        </w:tc>
        <w:tc>
          <w:tcPr>
            <w:tcW w:w="1201" w:type="dxa"/>
            <w:tcBorders/>
            <w:shd w:fill="CCEEFF" w:val="clear"/>
            <w:tcMar>
              <w:bottom w:w="0" w:type="dxa"/>
            </w:tcMar>
            <w:vAlign w:val="center"/>
          </w:tcPr>
          <w:p>
            <w:pPr>
              <w:pStyle w:val="TableContents"/>
              <w:spacing w:before="0" w:after="283"/>
              <w:rPr/>
            </w:pPr>
            <w:r>
              <w:rPr/>
            </w:r>
          </w:p>
        </w:tc>
        <w:tc>
          <w:tcPr>
            <w:tcW w:w="110" w:type="dxa"/>
            <w:tcBorders/>
            <w:shd w:fill="CCEEFF" w:val="clear"/>
            <w:tcMar>
              <w:bottom w:w="0" w:type="dxa"/>
            </w:tcMar>
            <w:vAlign w:val="center"/>
          </w:tcPr>
          <w:p>
            <w:pPr>
              <w:pStyle w:val="TableContents"/>
              <w:spacing w:before="0" w:after="283"/>
              <w:rPr/>
            </w:pPr>
            <w:r>
              <w:rPr/>
            </w:r>
          </w:p>
        </w:tc>
        <w:tc>
          <w:tcPr>
            <w:tcW w:w="110" w:type="dxa"/>
            <w:tcBorders/>
            <w:shd w:fill="CCEEFF" w:val="clear"/>
            <w:tcMar>
              <w:bottom w:w="0" w:type="dxa"/>
            </w:tcMar>
            <w:vAlign w:val="center"/>
          </w:tcPr>
          <w:p>
            <w:pPr>
              <w:pStyle w:val="TableContents"/>
              <w:spacing w:before="0" w:after="283"/>
              <w:rPr/>
            </w:pPr>
            <w:r>
              <w:rPr/>
            </w:r>
          </w:p>
        </w:tc>
        <w:tc>
          <w:tcPr>
            <w:tcW w:w="275" w:type="dxa"/>
            <w:tcBorders/>
            <w:shd w:fill="CCEEFF" w:val="clear"/>
            <w:tcMar>
              <w:bottom w:w="0" w:type="dxa"/>
            </w:tcMar>
            <w:vAlign w:val="center"/>
          </w:tcPr>
          <w:p>
            <w:pPr>
              <w:pStyle w:val="TableContents"/>
              <w:spacing w:before="0" w:after="283"/>
              <w:rPr/>
            </w:pPr>
            <w:r>
              <w:rPr/>
            </w:r>
          </w:p>
        </w:tc>
        <w:tc>
          <w:tcPr>
            <w:tcW w:w="1174" w:type="dxa"/>
            <w:tcBorders/>
            <w:shd w:fill="CCEEFF" w:val="clear"/>
            <w:tcMar>
              <w:bottom w:w="0" w:type="dxa"/>
            </w:tcMar>
            <w:vAlign w:val="center"/>
          </w:tcPr>
          <w:p>
            <w:pPr>
              <w:pStyle w:val="TableContents"/>
              <w:spacing w:before="0" w:after="283"/>
              <w:rPr/>
            </w:pPr>
            <w:r>
              <w:rPr/>
            </w:r>
          </w:p>
        </w:tc>
        <w:tc>
          <w:tcPr>
            <w:tcW w:w="110" w:type="dxa"/>
            <w:tcBorders/>
            <w:shd w:fill="CCEEFF" w:val="clear"/>
            <w:tcMar>
              <w:bottom w:w="0" w:type="dxa"/>
            </w:tcMar>
            <w:vAlign w:val="center"/>
          </w:tcPr>
          <w:p>
            <w:pPr>
              <w:pStyle w:val="TableContents"/>
              <w:spacing w:before="0" w:after="283"/>
              <w:rPr/>
            </w:pPr>
            <w:r>
              <w:rPr/>
            </w:r>
          </w:p>
        </w:tc>
        <w:tc>
          <w:tcPr>
            <w:tcW w:w="110" w:type="dxa"/>
            <w:tcBorders/>
            <w:shd w:fill="CCEEFF" w:val="clear"/>
            <w:tcMar>
              <w:bottom w:w="0" w:type="dxa"/>
            </w:tcMar>
            <w:vAlign w:val="center"/>
          </w:tcPr>
          <w:p>
            <w:pPr>
              <w:pStyle w:val="TableContents"/>
              <w:spacing w:before="0" w:after="283"/>
              <w:rPr/>
            </w:pPr>
            <w:r>
              <w:rPr/>
            </w:r>
          </w:p>
        </w:tc>
        <w:tc>
          <w:tcPr>
            <w:tcW w:w="170" w:type="dxa"/>
            <w:tcBorders/>
            <w:shd w:fill="CCEEFF" w:val="clear"/>
            <w:tcMar>
              <w:bottom w:w="0" w:type="dxa"/>
            </w:tcMar>
            <w:vAlign w:val="center"/>
          </w:tcPr>
          <w:p>
            <w:pPr>
              <w:pStyle w:val="TableContents"/>
              <w:spacing w:before="0" w:after="283"/>
              <w:rPr/>
            </w:pPr>
            <w:r>
              <w:rPr/>
            </w:r>
          </w:p>
        </w:tc>
        <w:tc>
          <w:tcPr>
            <w:tcW w:w="830" w:type="dxa"/>
            <w:tcBorders/>
            <w:shd w:fill="CCEEFF" w:val="clear"/>
            <w:tcMar>
              <w:bottom w:w="0" w:type="dxa"/>
            </w:tcMar>
            <w:vAlign w:val="center"/>
          </w:tcPr>
          <w:p>
            <w:pPr>
              <w:pStyle w:val="TableContents"/>
              <w:spacing w:before="0" w:after="283"/>
              <w:rPr/>
            </w:pPr>
            <w:r>
              <w:rPr/>
            </w:r>
          </w:p>
        </w:tc>
        <w:tc>
          <w:tcPr>
            <w:tcW w:w="165" w:type="dxa"/>
            <w:tcBorders/>
            <w:shd w:fill="CCEEFF" w:val="clear"/>
            <w:tcMar>
              <w:bottom w:w="0" w:type="dxa"/>
            </w:tcMar>
            <w:vAlign w:val="center"/>
          </w:tcPr>
          <w:p>
            <w:pPr>
              <w:pStyle w:val="TableContents"/>
              <w:spacing w:before="0" w:after="283"/>
              <w:rPr/>
            </w:pPr>
            <w:r>
              <w:rPr/>
            </w:r>
          </w:p>
        </w:tc>
      </w:tr>
      <w:tr>
        <w:trPr/>
        <w:tc>
          <w:tcPr>
            <w:tcW w:w="2809" w:type="dxa"/>
            <w:tcBorders/>
            <w:shd w:fill="auto" w:val="clear"/>
            <w:tcMar>
              <w:bottom w:w="0" w:type="dxa"/>
            </w:tcMar>
            <w:vAlign w:val="center"/>
          </w:tcPr>
          <w:p>
            <w:pPr>
              <w:pStyle w:val="TableContents"/>
              <w:widowControl/>
              <w:spacing w:before="0" w:after="283"/>
              <w:ind w:left="0" w:right="0" w:hanging="0"/>
              <w:rPr>
                <w:rFonts w:ascii="times new roman;times" w:hAnsi="times new roman;times"/>
              </w:rPr>
            </w:pPr>
            <w:r>
              <w:rPr>
                <w:rFonts w:ascii="times new roman;times" w:hAnsi="times new roman;times"/>
                <w:b w:val="false"/>
                <w:i w:val="false"/>
                <w:caps w:val="false"/>
                <w:smallCaps w:val="false"/>
                <w:color w:val="000000"/>
                <w:spacing w:val="0"/>
                <w:sz w:val="20"/>
              </w:rPr>
              <w:t>Year ended </w:t>
            </w:r>
            <w:r>
              <w:rPr>
                <w:rFonts w:ascii="times new roman;times" w:hAnsi="times new roman;times"/>
              </w:rPr>
              <w:t>December 31, 2022</w:t>
            </w:r>
          </w:p>
        </w:tc>
        <w:tc>
          <w:tcPr>
            <w:tcW w:w="110" w:type="dxa"/>
            <w:tcBorders/>
            <w:shd w:fill="auto" w:val="clear"/>
            <w:tcMar>
              <w:bottom w:w="0" w:type="dxa"/>
            </w:tcMar>
            <w:vAlign w:val="center"/>
          </w:tcPr>
          <w:p>
            <w:pPr>
              <w:pStyle w:val="TableContents"/>
              <w:spacing w:before="0" w:after="283"/>
              <w:rPr/>
            </w:pPr>
            <w:r>
              <w:rPr/>
            </w:r>
          </w:p>
        </w:tc>
        <w:tc>
          <w:tcPr>
            <w:tcW w:w="180" w:type="dxa"/>
            <w:tcBorders/>
            <w:shd w:fill="auto" w:val="clear"/>
            <w:tcMar>
              <w:bottom w:w="0" w:type="dxa"/>
            </w:tcMar>
            <w:vAlign w:val="center"/>
          </w:tcPr>
          <w:p>
            <w:pPr>
              <w:pStyle w:val="TableContents"/>
              <w:spacing w:before="0" w:after="283"/>
              <w:jc w:val="left"/>
              <w:rPr>
                <w:rFonts w:ascii="times new roman;times" w:hAnsi="times new roman;times"/>
              </w:rPr>
            </w:pPr>
            <w:r>
              <w:rPr>
                <w:rFonts w:ascii="times new roman;times" w:hAnsi="times new roman;times"/>
              </w:rPr>
              <w:t>$</w:t>
            </w:r>
          </w:p>
        </w:tc>
        <w:tc>
          <w:tcPr>
            <w:tcW w:w="830" w:type="dxa"/>
            <w:tcBorders/>
            <w:shd w:fill="auto" w:val="clear"/>
            <w:tcMar>
              <w:bottom w:w="0" w:type="dxa"/>
            </w:tcMar>
            <w:vAlign w:val="center"/>
          </w:tcPr>
          <w:p>
            <w:pPr>
              <w:pStyle w:val="TableContents"/>
              <w:spacing w:before="0" w:after="283"/>
              <w:jc w:val="right"/>
              <w:rPr/>
            </w:pPr>
            <w:r>
              <w:rPr/>
              <w:t>221,625</w:t>
            </w:r>
          </w:p>
        </w:tc>
        <w:tc>
          <w:tcPr>
            <w:tcW w:w="110" w:type="dxa"/>
            <w:tcBorders/>
            <w:shd w:fill="auto" w:val="clear"/>
            <w:tcMar>
              <w:bottom w:w="0" w:type="dxa"/>
            </w:tcMar>
            <w:vAlign w:val="center"/>
          </w:tcPr>
          <w:p>
            <w:pPr>
              <w:pStyle w:val="TableContents"/>
              <w:spacing w:before="0" w:after="283"/>
              <w:rPr/>
            </w:pPr>
            <w:r>
              <w:rPr/>
            </w:r>
          </w:p>
        </w:tc>
        <w:tc>
          <w:tcPr>
            <w:tcW w:w="110" w:type="dxa"/>
            <w:tcBorders/>
            <w:shd w:fill="auto" w:val="clear"/>
            <w:tcMar>
              <w:bottom w:w="0" w:type="dxa"/>
            </w:tcMar>
            <w:vAlign w:val="center"/>
          </w:tcPr>
          <w:p>
            <w:pPr>
              <w:pStyle w:val="TableContents"/>
              <w:spacing w:before="0" w:after="283"/>
              <w:rPr/>
            </w:pPr>
            <w:r>
              <w:rPr/>
            </w:r>
          </w:p>
        </w:tc>
        <w:tc>
          <w:tcPr>
            <w:tcW w:w="323" w:type="dxa"/>
            <w:tcBorders/>
            <w:shd w:fill="auto" w:val="clear"/>
            <w:tcMar>
              <w:bottom w:w="0" w:type="dxa"/>
            </w:tcMar>
            <w:vAlign w:val="center"/>
          </w:tcPr>
          <w:p>
            <w:pPr>
              <w:pStyle w:val="TableContents"/>
              <w:spacing w:before="0" w:after="283"/>
              <w:jc w:val="left"/>
              <w:rPr>
                <w:rFonts w:ascii="times new roman;times" w:hAnsi="times new roman;times"/>
              </w:rPr>
            </w:pPr>
            <w:r>
              <w:rPr>
                <w:rFonts w:ascii="times new roman;times" w:hAnsi="times new roman;times"/>
              </w:rPr>
              <w:t>$</w:t>
            </w:r>
          </w:p>
        </w:tc>
        <w:tc>
          <w:tcPr>
            <w:tcW w:w="555"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r>
          </w:p>
        </w:tc>
        <w:tc>
          <w:tcPr>
            <w:tcW w:w="110" w:type="dxa"/>
            <w:tcBorders/>
            <w:shd w:fill="auto" w:val="clear"/>
            <w:tcMar>
              <w:bottom w:w="0" w:type="dxa"/>
            </w:tcMar>
            <w:vAlign w:val="center"/>
          </w:tcPr>
          <w:p>
            <w:pPr>
              <w:pStyle w:val="TableContents"/>
              <w:spacing w:before="0" w:after="283"/>
              <w:rPr/>
            </w:pPr>
            <w:r>
              <w:rPr/>
            </w:r>
          </w:p>
        </w:tc>
        <w:tc>
          <w:tcPr>
            <w:tcW w:w="703" w:type="dxa"/>
            <w:tcBorders/>
            <w:shd w:fill="auto" w:val="clear"/>
            <w:tcMar>
              <w:bottom w:w="0" w:type="dxa"/>
            </w:tcMar>
            <w:vAlign w:val="center"/>
          </w:tcPr>
          <w:p>
            <w:pPr>
              <w:pStyle w:val="TableContents"/>
              <w:spacing w:before="0" w:after="283"/>
              <w:jc w:val="left"/>
              <w:rPr>
                <w:rFonts w:ascii="times new roman;times" w:hAnsi="times new roman;times"/>
              </w:rPr>
            </w:pPr>
            <w:r>
              <w:rPr>
                <w:rFonts w:ascii="times new roman;times" w:hAnsi="times new roman;times"/>
              </w:rPr>
              <w:t>$</w:t>
            </w:r>
          </w:p>
        </w:tc>
        <w:tc>
          <w:tcPr>
            <w:tcW w:w="1201"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r>
          </w:p>
        </w:tc>
        <w:tc>
          <w:tcPr>
            <w:tcW w:w="110" w:type="dxa"/>
            <w:tcBorders/>
            <w:shd w:fill="auto" w:val="clear"/>
            <w:tcMar>
              <w:bottom w:w="0" w:type="dxa"/>
            </w:tcMar>
            <w:vAlign w:val="center"/>
          </w:tcPr>
          <w:p>
            <w:pPr>
              <w:pStyle w:val="TableContents"/>
              <w:spacing w:before="0" w:after="283"/>
              <w:rPr/>
            </w:pPr>
            <w:r>
              <w:rPr/>
            </w:r>
          </w:p>
        </w:tc>
        <w:tc>
          <w:tcPr>
            <w:tcW w:w="275" w:type="dxa"/>
            <w:tcBorders/>
            <w:shd w:fill="auto" w:val="clear"/>
            <w:tcMar>
              <w:bottom w:w="0" w:type="dxa"/>
            </w:tcMar>
            <w:vAlign w:val="center"/>
          </w:tcPr>
          <w:p>
            <w:pPr>
              <w:pStyle w:val="TableContents"/>
              <w:spacing w:before="0" w:after="283"/>
              <w:jc w:val="left"/>
              <w:rPr>
                <w:rFonts w:ascii="times new roman;times" w:hAnsi="times new roman;times"/>
              </w:rPr>
            </w:pPr>
            <w:r>
              <w:rPr>
                <w:rFonts w:ascii="times new roman;times" w:hAnsi="times new roman;times"/>
              </w:rPr>
              <w:t>$</w:t>
            </w:r>
          </w:p>
        </w:tc>
        <w:tc>
          <w:tcPr>
            <w:tcW w:w="1174"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r>
          </w:p>
        </w:tc>
        <w:tc>
          <w:tcPr>
            <w:tcW w:w="110" w:type="dxa"/>
            <w:tcBorders/>
            <w:shd w:fill="auto" w:val="clear"/>
            <w:tcMar>
              <w:bottom w:w="0" w:type="dxa"/>
            </w:tcMar>
            <w:vAlign w:val="center"/>
          </w:tcPr>
          <w:p>
            <w:pPr>
              <w:pStyle w:val="TableContents"/>
              <w:spacing w:before="0" w:after="283"/>
              <w:rPr/>
            </w:pPr>
            <w:r>
              <w:rPr/>
            </w:r>
          </w:p>
        </w:tc>
        <w:tc>
          <w:tcPr>
            <w:tcW w:w="170" w:type="dxa"/>
            <w:tcBorders/>
            <w:shd w:fill="auto" w:val="clear"/>
            <w:tcMar>
              <w:bottom w:w="0" w:type="dxa"/>
            </w:tcMar>
            <w:vAlign w:val="center"/>
          </w:tcPr>
          <w:p>
            <w:pPr>
              <w:pStyle w:val="TableContents"/>
              <w:spacing w:before="0" w:after="283"/>
              <w:rPr/>
            </w:pPr>
            <w:r>
              <w:rPr/>
            </w:r>
          </w:p>
        </w:tc>
        <w:tc>
          <w:tcPr>
            <w:tcW w:w="830" w:type="dxa"/>
            <w:tcBorders/>
            <w:shd w:fill="auto" w:val="clear"/>
            <w:tcMar>
              <w:bottom w:w="0" w:type="dxa"/>
            </w:tcMar>
            <w:vAlign w:val="center"/>
          </w:tcPr>
          <w:p>
            <w:pPr>
              <w:pStyle w:val="TableContents"/>
              <w:spacing w:before="0" w:after="283"/>
              <w:jc w:val="right"/>
              <w:rPr/>
            </w:pPr>
            <w:r>
              <w:rPr/>
              <w:t>221,625</w:t>
            </w:r>
          </w:p>
        </w:tc>
        <w:tc>
          <w:tcPr>
            <w:tcW w:w="165" w:type="dxa"/>
            <w:tcBorders/>
            <w:shd w:fill="auto" w:val="clear"/>
            <w:tcMar>
              <w:bottom w:w="0" w:type="dxa"/>
            </w:tcMar>
            <w:vAlign w:val="center"/>
          </w:tcPr>
          <w:p>
            <w:pPr>
              <w:pStyle w:val="TableContents"/>
              <w:spacing w:before="0" w:after="283"/>
              <w:rPr/>
            </w:pPr>
            <w:r>
              <w:rPr/>
            </w:r>
          </w:p>
        </w:tc>
      </w:tr>
      <w:tr>
        <w:trPr/>
        <w:tc>
          <w:tcPr>
            <w:tcW w:w="2809" w:type="dxa"/>
            <w:tcBorders/>
            <w:shd w:fill="CCEEFF" w:val="clear"/>
            <w:tcMar>
              <w:bottom w:w="0" w:type="dxa"/>
            </w:tcMar>
            <w:vAlign w:val="center"/>
          </w:tcPr>
          <w:p>
            <w:pPr>
              <w:pStyle w:val="TableContents"/>
              <w:spacing w:before="0" w:after="0"/>
              <w:ind w:left="0" w:right="0" w:hanging="0"/>
              <w:rPr>
                <w:rFonts w:ascii="times new roman;times" w:hAnsi="times new roman;times"/>
                <w:b/>
                <w:sz w:val="20"/>
              </w:rPr>
            </w:pPr>
            <w:r>
              <w:rPr>
                <w:rFonts w:ascii="times new roman;times" w:hAnsi="times new roman;times"/>
                <w:b/>
                <w:sz w:val="20"/>
              </w:rPr>
              <w:t xml:space="preserve">Narsi Narayanan - Chief Financial Officer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80" w:type="dxa"/>
            <w:tcBorders/>
            <w:shd w:fill="CCEEFF" w:val="clear"/>
            <w:tcMar>
              <w:bottom w:w="0" w:type="dxa"/>
            </w:tcMar>
            <w:vAlign w:val="center"/>
          </w:tcPr>
          <w:p>
            <w:pPr>
              <w:pStyle w:val="TableContents"/>
              <w:spacing w:before="0" w:after="0"/>
              <w:ind w:left="0" w:right="0" w:hanging="0"/>
              <w:rPr/>
            </w:pPr>
            <w:r>
              <w:rPr/>
              <w:t xml:space="preserve">  </w:t>
            </w:r>
          </w:p>
        </w:tc>
        <w:tc>
          <w:tcPr>
            <w:tcW w:w="83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323" w:type="dxa"/>
            <w:tcBorders/>
            <w:shd w:fill="CCEEFF" w:val="clear"/>
            <w:tcMar>
              <w:bottom w:w="0" w:type="dxa"/>
            </w:tcMar>
            <w:vAlign w:val="center"/>
          </w:tcPr>
          <w:p>
            <w:pPr>
              <w:pStyle w:val="TableContents"/>
              <w:spacing w:before="0" w:after="0"/>
              <w:ind w:left="0" w:right="0" w:hanging="0"/>
              <w:rPr/>
            </w:pPr>
            <w:r>
              <w:rPr/>
              <w:t xml:space="preserve">  </w:t>
            </w:r>
          </w:p>
        </w:tc>
        <w:tc>
          <w:tcPr>
            <w:tcW w:w="555"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703" w:type="dxa"/>
            <w:tcBorders/>
            <w:shd w:fill="CCEEFF" w:val="clear"/>
            <w:tcMar>
              <w:bottom w:w="0" w:type="dxa"/>
            </w:tcMar>
            <w:vAlign w:val="center"/>
          </w:tcPr>
          <w:p>
            <w:pPr>
              <w:pStyle w:val="TableContents"/>
              <w:spacing w:before="0" w:after="0"/>
              <w:ind w:left="0" w:right="0" w:hanging="0"/>
              <w:rPr/>
            </w:pPr>
            <w:r>
              <w:rPr/>
              <w:t xml:space="preserve">  </w:t>
            </w:r>
          </w:p>
        </w:tc>
        <w:tc>
          <w:tcPr>
            <w:tcW w:w="1201"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275" w:type="dxa"/>
            <w:tcBorders/>
            <w:shd w:fill="CCEEFF" w:val="clear"/>
            <w:tcMar>
              <w:bottom w:w="0" w:type="dxa"/>
            </w:tcMar>
            <w:vAlign w:val="center"/>
          </w:tcPr>
          <w:p>
            <w:pPr>
              <w:pStyle w:val="TableContents"/>
              <w:spacing w:before="0" w:after="0"/>
              <w:ind w:left="0" w:right="0" w:hanging="0"/>
              <w:rPr/>
            </w:pPr>
            <w:r>
              <w:rPr/>
              <w:t xml:space="preserve">  </w:t>
            </w:r>
          </w:p>
        </w:tc>
        <w:tc>
          <w:tcPr>
            <w:tcW w:w="1174"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70" w:type="dxa"/>
            <w:tcBorders/>
            <w:shd w:fill="CCEEFF" w:val="clear"/>
            <w:tcMar>
              <w:bottom w:w="0" w:type="dxa"/>
            </w:tcMar>
            <w:vAlign w:val="center"/>
          </w:tcPr>
          <w:p>
            <w:pPr>
              <w:pStyle w:val="TableContents"/>
              <w:spacing w:before="0" w:after="0"/>
              <w:ind w:left="0" w:right="0" w:hanging="0"/>
              <w:rPr/>
            </w:pPr>
            <w:r>
              <w:rPr/>
              <w:t xml:space="preserve">  </w:t>
            </w:r>
          </w:p>
        </w:tc>
        <w:tc>
          <w:tcPr>
            <w:tcW w:w="830" w:type="dxa"/>
            <w:tcBorders/>
            <w:shd w:fill="CCEEFF" w:val="clear"/>
            <w:tcMar>
              <w:bottom w:w="0" w:type="dxa"/>
            </w:tcMar>
            <w:vAlign w:val="center"/>
          </w:tcPr>
          <w:p>
            <w:pPr>
              <w:pStyle w:val="TableContents"/>
              <w:spacing w:before="0" w:after="0"/>
              <w:ind w:left="0" w:right="0" w:hanging="0"/>
              <w:rPr/>
            </w:pPr>
            <w:r>
              <w:rPr/>
              <w:t xml:space="preserve">  </w:t>
            </w:r>
          </w:p>
        </w:tc>
        <w:tc>
          <w:tcPr>
            <w:tcW w:w="165" w:type="dxa"/>
            <w:tcBorders/>
            <w:shd w:fill="CCEEFF" w:val="clear"/>
            <w:tcMar>
              <w:bottom w:w="0" w:type="dxa"/>
            </w:tcMar>
            <w:vAlign w:val="center"/>
          </w:tcPr>
          <w:p>
            <w:pPr>
              <w:pStyle w:val="TableContents"/>
              <w:spacing w:before="0" w:after="0"/>
              <w:ind w:left="0" w:right="0" w:hanging="0"/>
              <w:rPr/>
            </w:pPr>
            <w:r>
              <w:rPr/>
              <w:t xml:space="preserve">  </w:t>
            </w:r>
          </w:p>
        </w:tc>
      </w:tr>
      <w:tr>
        <w:trPr/>
        <w:tc>
          <w:tcPr>
            <w:tcW w:w="2809"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Year ended December 31, 2022</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830"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230,000</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323"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555" w:type="dxa"/>
            <w:tcBorders/>
            <w:shd w:fill="auto" w:val="clear"/>
            <w:tcMar>
              <w:bottom w:w="0" w:type="dxa"/>
            </w:tcMar>
            <w:vAlign w:val="center"/>
          </w:tcPr>
          <w:p>
            <w:pPr>
              <w:pStyle w:val="TableContents"/>
              <w:spacing w:before="0" w:after="0"/>
              <w:ind w:left="0" w:right="0" w:hanging="0"/>
              <w:jc w:val="right"/>
              <w:rPr/>
            </w:pPr>
            <w:r>
              <w:rPr/>
              <w:t>—</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703"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201" w:type="dxa"/>
            <w:tcBorders/>
            <w:shd w:fill="auto" w:val="clear"/>
            <w:tcMar>
              <w:bottom w:w="0" w:type="dxa"/>
            </w:tcMar>
            <w:vAlign w:val="center"/>
          </w:tcPr>
          <w:p>
            <w:pPr>
              <w:pStyle w:val="TableContents"/>
              <w:spacing w:before="0" w:after="0"/>
              <w:ind w:left="0" w:right="0" w:hanging="0"/>
              <w:jc w:val="right"/>
              <w:rPr/>
            </w:pPr>
            <w:r>
              <w:rPr/>
              <w:t>—</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275"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174" w:type="dxa"/>
            <w:tcBorders/>
            <w:shd w:fill="auto" w:val="clear"/>
            <w:tcMar>
              <w:bottom w:w="0" w:type="dxa"/>
            </w:tcMar>
            <w:vAlign w:val="center"/>
          </w:tcPr>
          <w:p>
            <w:pPr>
              <w:pStyle w:val="TableContents"/>
              <w:spacing w:before="0" w:after="0"/>
              <w:ind w:left="0" w:right="0" w:hanging="0"/>
              <w:jc w:val="right"/>
              <w:rPr/>
            </w:pPr>
            <w:r>
              <w:rPr/>
              <w:t>—</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70"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830"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230,000</w:t>
            </w:r>
          </w:p>
        </w:tc>
        <w:tc>
          <w:tcPr>
            <w:tcW w:w="165"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09"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Year ended December 31, 2021</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80"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830"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221,625</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323"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555" w:type="dxa"/>
            <w:tcBorders/>
            <w:shd w:fill="CCEEFF" w:val="clear"/>
            <w:tcMar>
              <w:bottom w:w="0" w:type="dxa"/>
            </w:tcMar>
            <w:vAlign w:val="center"/>
          </w:tcPr>
          <w:p>
            <w:pPr>
              <w:pStyle w:val="TableContents"/>
              <w:spacing w:before="0" w:after="0"/>
              <w:ind w:left="0" w:right="0" w:hanging="0"/>
              <w:jc w:val="right"/>
              <w:rPr/>
            </w:pPr>
            <w:r>
              <w:rPr/>
              <w:t>—</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703"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201" w:type="dxa"/>
            <w:tcBorders/>
            <w:shd w:fill="CCEEFF" w:val="clear"/>
            <w:tcMar>
              <w:bottom w:w="0" w:type="dxa"/>
            </w:tcMar>
            <w:vAlign w:val="center"/>
          </w:tcPr>
          <w:p>
            <w:pPr>
              <w:pStyle w:val="TableContents"/>
              <w:spacing w:before="0" w:after="0"/>
              <w:ind w:left="0" w:right="0" w:hanging="0"/>
              <w:jc w:val="right"/>
              <w:rPr/>
            </w:pPr>
            <w:r>
              <w:rPr/>
              <w:t>—</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275"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174"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30,000</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70"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830"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251,625</w:t>
            </w:r>
          </w:p>
        </w:tc>
        <w:tc>
          <w:tcPr>
            <w:tcW w:w="165" w:type="dxa"/>
            <w:tcBorders/>
            <w:shd w:fill="CCEEFF" w:val="clear"/>
            <w:tcMar>
              <w:bottom w:w="0" w:type="dxa"/>
            </w:tcMar>
            <w:vAlign w:val="center"/>
          </w:tcPr>
          <w:p>
            <w:pPr>
              <w:pStyle w:val="TableContents"/>
              <w:spacing w:before="0" w:after="0"/>
              <w:ind w:left="0" w:right="0" w:hanging="0"/>
              <w:rPr/>
            </w:pPr>
            <w:r>
              <w:rPr/>
              <w:t xml:space="preserve">  </w:t>
            </w:r>
          </w:p>
        </w:tc>
      </w:tr>
      <w:tr>
        <w:trPr/>
        <w:tc>
          <w:tcPr>
            <w:tcW w:w="2809" w:type="dxa"/>
            <w:tcBorders/>
            <w:shd w:fill="auto" w:val="clear"/>
            <w:tcMar>
              <w:bottom w:w="0" w:type="dxa"/>
            </w:tcMar>
            <w:vAlign w:val="center"/>
          </w:tcPr>
          <w:p>
            <w:pPr>
              <w:pStyle w:val="TableContents"/>
              <w:spacing w:before="0" w:after="0"/>
              <w:ind w:left="0" w:right="0" w:hanging="0"/>
              <w:rPr>
                <w:rFonts w:ascii="times new roman;times" w:hAnsi="times new roman;times"/>
                <w:b/>
                <w:sz w:val="20"/>
              </w:rPr>
            </w:pPr>
            <w:r>
              <w:rPr>
                <w:rFonts w:ascii="times new roman;times" w:hAnsi="times new roman;times"/>
                <w:b/>
                <w:sz w:val="20"/>
              </w:rPr>
              <w:t>Zeynep Hakimoglu - Chief Executive Officer and President</w:t>
            </w:r>
            <w:r>
              <w:rPr>
                <w:rFonts w:ascii="times new roman;times" w:hAnsi="times new roman;times"/>
                <w:b/>
                <w:position w:val="5"/>
                <w:sz w:val="13"/>
                <w:sz w:val="16"/>
              </w:rPr>
              <w:t>(2)</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pPr>
            <w:r>
              <w:rPr/>
              <w:t xml:space="preserve">  </w:t>
            </w:r>
          </w:p>
        </w:tc>
        <w:tc>
          <w:tcPr>
            <w:tcW w:w="83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323" w:type="dxa"/>
            <w:tcBorders/>
            <w:shd w:fill="auto" w:val="clear"/>
            <w:tcMar>
              <w:bottom w:w="0" w:type="dxa"/>
            </w:tcMar>
            <w:vAlign w:val="center"/>
          </w:tcPr>
          <w:p>
            <w:pPr>
              <w:pStyle w:val="TableContents"/>
              <w:spacing w:before="0" w:after="0"/>
              <w:ind w:left="0" w:right="0" w:hanging="0"/>
              <w:rPr/>
            </w:pPr>
            <w:r>
              <w:rPr/>
              <w:t xml:space="preserve">  </w:t>
            </w:r>
          </w:p>
        </w:tc>
        <w:tc>
          <w:tcPr>
            <w:tcW w:w="555"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703" w:type="dxa"/>
            <w:tcBorders/>
            <w:shd w:fill="auto" w:val="clear"/>
            <w:tcMar>
              <w:bottom w:w="0" w:type="dxa"/>
            </w:tcMar>
            <w:vAlign w:val="center"/>
          </w:tcPr>
          <w:p>
            <w:pPr>
              <w:pStyle w:val="TableContents"/>
              <w:spacing w:before="0" w:after="0"/>
              <w:ind w:left="0" w:right="0" w:hanging="0"/>
              <w:rPr/>
            </w:pPr>
            <w:r>
              <w:rPr/>
              <w:t xml:space="preserve">  </w:t>
            </w:r>
          </w:p>
        </w:tc>
        <w:tc>
          <w:tcPr>
            <w:tcW w:w="1201"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275" w:type="dxa"/>
            <w:tcBorders/>
            <w:shd w:fill="auto" w:val="clear"/>
            <w:tcMar>
              <w:bottom w:w="0" w:type="dxa"/>
            </w:tcMar>
            <w:vAlign w:val="center"/>
          </w:tcPr>
          <w:p>
            <w:pPr>
              <w:pStyle w:val="TableContents"/>
              <w:spacing w:before="0" w:after="0"/>
              <w:ind w:left="0" w:right="0" w:hanging="0"/>
              <w:rPr/>
            </w:pPr>
            <w:r>
              <w:rPr/>
              <w:t xml:space="preserve">  </w:t>
            </w:r>
          </w:p>
        </w:tc>
        <w:tc>
          <w:tcPr>
            <w:tcW w:w="1174"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70" w:type="dxa"/>
            <w:tcBorders/>
            <w:shd w:fill="auto" w:val="clear"/>
            <w:tcMar>
              <w:bottom w:w="0" w:type="dxa"/>
            </w:tcMar>
            <w:vAlign w:val="center"/>
          </w:tcPr>
          <w:p>
            <w:pPr>
              <w:pStyle w:val="TableContents"/>
              <w:spacing w:before="0" w:after="0"/>
              <w:ind w:left="0" w:right="0" w:hanging="0"/>
              <w:rPr/>
            </w:pPr>
            <w:r>
              <w:rPr/>
              <w:t xml:space="preserve">  </w:t>
            </w:r>
          </w:p>
        </w:tc>
        <w:tc>
          <w:tcPr>
            <w:tcW w:w="830" w:type="dxa"/>
            <w:tcBorders/>
            <w:shd w:fill="auto" w:val="clear"/>
            <w:tcMar>
              <w:bottom w:w="0" w:type="dxa"/>
            </w:tcMar>
            <w:vAlign w:val="center"/>
          </w:tcPr>
          <w:p>
            <w:pPr>
              <w:pStyle w:val="TableContents"/>
              <w:spacing w:before="0" w:after="0"/>
              <w:ind w:left="0" w:right="0" w:hanging="0"/>
              <w:rPr/>
            </w:pPr>
            <w:r>
              <w:rPr/>
              <w:t xml:space="preserve">  </w:t>
            </w:r>
          </w:p>
        </w:tc>
        <w:tc>
          <w:tcPr>
            <w:tcW w:w="165" w:type="dxa"/>
            <w:tcBorders/>
            <w:shd w:fill="auto" w:val="clear"/>
            <w:tcMar>
              <w:bottom w:w="0" w:type="dxa"/>
            </w:tcMar>
            <w:vAlign w:val="center"/>
          </w:tcPr>
          <w:p>
            <w:pPr>
              <w:pStyle w:val="TableContents"/>
              <w:spacing w:before="0" w:after="0"/>
              <w:ind w:left="0" w:right="0" w:hanging="0"/>
              <w:rPr/>
            </w:pPr>
            <w:r>
              <w:rPr/>
              <w:t xml:space="preserve">  </w:t>
            </w:r>
          </w:p>
        </w:tc>
      </w:tr>
      <w:tr>
        <w:trPr/>
        <w:tc>
          <w:tcPr>
            <w:tcW w:w="2809"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Year ended December 31, 2022</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80"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830"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164,615</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323"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555" w:type="dxa"/>
            <w:tcBorders/>
            <w:shd w:fill="CCEEFF" w:val="clear"/>
            <w:tcMar>
              <w:bottom w:w="0" w:type="dxa"/>
            </w:tcMar>
            <w:vAlign w:val="center"/>
          </w:tcPr>
          <w:p>
            <w:pPr>
              <w:pStyle w:val="TableContents"/>
              <w:spacing w:before="0" w:after="0"/>
              <w:ind w:left="0" w:right="0" w:hanging="0"/>
              <w:jc w:val="right"/>
              <w:rPr/>
            </w:pPr>
            <w:r>
              <w:rPr/>
              <w:t>—</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703"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201" w:type="dxa"/>
            <w:tcBorders/>
            <w:shd w:fill="CCEEFF" w:val="clear"/>
            <w:tcMar>
              <w:bottom w:w="0" w:type="dxa"/>
            </w:tcMar>
            <w:vAlign w:val="center"/>
          </w:tcPr>
          <w:p>
            <w:pPr>
              <w:pStyle w:val="TableContents"/>
              <w:spacing w:before="0" w:after="0"/>
              <w:ind w:left="0" w:right="0" w:hanging="0"/>
              <w:jc w:val="right"/>
              <w:rPr/>
            </w:pPr>
            <w:r>
              <w:rPr/>
              <w:t>—</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275"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174"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171,037</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10" w:type="dxa"/>
            <w:tcBorders/>
            <w:shd w:fill="CCEEFF" w:val="clear"/>
            <w:tcMar>
              <w:bottom w:w="0" w:type="dxa"/>
            </w:tcMar>
            <w:vAlign w:val="center"/>
          </w:tcPr>
          <w:p>
            <w:pPr>
              <w:pStyle w:val="TableContents"/>
              <w:spacing w:before="0" w:after="0"/>
              <w:ind w:left="0" w:right="0" w:hanging="0"/>
              <w:rPr/>
            </w:pPr>
            <w:r>
              <w:rPr/>
              <w:t xml:space="preserve">  </w:t>
            </w:r>
          </w:p>
        </w:tc>
        <w:tc>
          <w:tcPr>
            <w:tcW w:w="170"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830"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335,652</w:t>
            </w:r>
          </w:p>
        </w:tc>
        <w:tc>
          <w:tcPr>
            <w:tcW w:w="165" w:type="dxa"/>
            <w:tcBorders/>
            <w:shd w:fill="CCEEFF" w:val="clear"/>
            <w:tcMar>
              <w:bottom w:w="0" w:type="dxa"/>
            </w:tcMar>
            <w:vAlign w:val="center"/>
          </w:tcPr>
          <w:p>
            <w:pPr>
              <w:pStyle w:val="TableContents"/>
              <w:spacing w:before="0" w:after="0"/>
              <w:ind w:left="0" w:right="0" w:hanging="0"/>
              <w:rPr/>
            </w:pPr>
            <w:r>
              <w:rPr/>
              <w:t xml:space="preserve">  </w:t>
            </w:r>
          </w:p>
        </w:tc>
      </w:tr>
      <w:tr>
        <w:trPr/>
        <w:tc>
          <w:tcPr>
            <w:tcW w:w="2809"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Year ended December 31, 2021</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80"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830"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388,750</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323"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555" w:type="dxa"/>
            <w:tcBorders/>
            <w:shd w:fill="auto" w:val="clear"/>
            <w:tcMar>
              <w:bottom w:w="0" w:type="dxa"/>
            </w:tcMar>
            <w:vAlign w:val="center"/>
          </w:tcPr>
          <w:p>
            <w:pPr>
              <w:pStyle w:val="TableContents"/>
              <w:spacing w:before="0" w:after="0"/>
              <w:ind w:left="0" w:right="0" w:hanging="0"/>
              <w:jc w:val="right"/>
              <w:rPr/>
            </w:pPr>
            <w:r>
              <w:rPr/>
              <w:t>—</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703"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201" w:type="dxa"/>
            <w:tcBorders/>
            <w:shd w:fill="auto" w:val="clear"/>
            <w:tcMar>
              <w:bottom w:w="0" w:type="dxa"/>
            </w:tcMar>
            <w:vAlign w:val="center"/>
          </w:tcPr>
          <w:p>
            <w:pPr>
              <w:pStyle w:val="TableContents"/>
              <w:spacing w:before="0" w:after="0"/>
              <w:ind w:left="0" w:right="0" w:hanging="0"/>
              <w:jc w:val="right"/>
              <w:rPr/>
            </w:pPr>
            <w:r>
              <w:rPr/>
              <w:t>—</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275"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174"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30,000</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10" w:type="dxa"/>
            <w:tcBorders/>
            <w:shd w:fill="auto" w:val="clear"/>
            <w:tcMar>
              <w:bottom w:w="0" w:type="dxa"/>
            </w:tcMar>
            <w:vAlign w:val="center"/>
          </w:tcPr>
          <w:p>
            <w:pPr>
              <w:pStyle w:val="TableContents"/>
              <w:spacing w:before="0" w:after="0"/>
              <w:ind w:left="0" w:right="0" w:hanging="0"/>
              <w:rPr/>
            </w:pPr>
            <w:r>
              <w:rPr/>
              <w:t xml:space="preserve">  </w:t>
            </w:r>
          </w:p>
        </w:tc>
        <w:tc>
          <w:tcPr>
            <w:tcW w:w="170"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830"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418,750</w:t>
            </w:r>
          </w:p>
        </w:tc>
        <w:tc>
          <w:tcPr>
            <w:tcW w:w="165" w:type="dxa"/>
            <w:tcBorders/>
            <w:shd w:fill="auto" w:val="clear"/>
            <w:tcMar>
              <w:bottom w:w="0" w:type="dxa"/>
            </w:tcMar>
            <w:vAlign w:val="center"/>
          </w:tcPr>
          <w:p>
            <w:pPr>
              <w:pStyle w:val="TableContents"/>
              <w:spacing w:before="0" w:after="0"/>
              <w:ind w:left="0" w:right="0" w:hanging="0"/>
              <w:rPr/>
            </w:pPr>
            <w:r>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152"/>
        <w:gridCol w:w="300"/>
        <w:gridCol w:w="9753"/>
      </w:tblGrid>
      <w:tr>
        <w:trPr/>
        <w:tc>
          <w:tcPr>
            <w:tcW w:w="152" w:type="dxa"/>
            <w:tcBorders/>
            <w:shd w:fill="auto" w:val="clear"/>
            <w:vAlign w:val="center"/>
          </w:tcPr>
          <w:p>
            <w:pPr>
              <w:pStyle w:val="TableContents"/>
              <w:spacing w:before="0" w:after="0"/>
              <w:ind w:left="0" w:right="0" w:hanging="0"/>
              <w:rPr/>
            </w:pPr>
            <w:r>
              <w:rPr/>
              <w:t xml:space="preserve">  </w:t>
            </w:r>
          </w:p>
        </w:tc>
        <w:tc>
          <w:tcPr>
            <w:tcW w:w="300"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(1) </w:t>
            </w:r>
          </w:p>
        </w:tc>
        <w:tc>
          <w:tcPr>
            <w:tcW w:w="9753" w:type="dxa"/>
            <w:tcBorders/>
            <w:shd w:fill="auto" w:val="clear"/>
            <w:vAlign w:val="center"/>
          </w:tcPr>
          <w:p>
            <w:pPr>
              <w:pStyle w:val="TableContents"/>
              <w:spacing w:before="0" w:after="0"/>
              <w:ind w:left="0" w:right="0" w:hanging="0"/>
              <w:jc w:val="both"/>
              <w:rPr>
                <w:rFonts w:ascii="times new roman;times" w:hAnsi="times new roman;times"/>
              </w:rPr>
            </w:pPr>
            <w:r>
              <w:rPr>
                <w:rFonts w:ascii="times new roman;times" w:hAnsi="times new roman;times"/>
              </w:rPr>
              <w:t xml:space="preserve">Derek L. Graham was appointed as Interim CEO on May 24, 2022 and became permanent CEO on Jan 26, 2023. </w:t>
            </w:r>
          </w:p>
        </w:tc>
      </w:tr>
      <w:tr>
        <w:trPr/>
        <w:tc>
          <w:tcPr>
            <w:tcW w:w="152" w:type="dxa"/>
            <w:tcBorders/>
            <w:shd w:fill="auto" w:val="clear"/>
            <w:vAlign w:val="center"/>
          </w:tcPr>
          <w:p>
            <w:pPr>
              <w:pStyle w:val="TableContents"/>
              <w:spacing w:before="0" w:after="283"/>
              <w:ind w:left="0" w:right="0" w:hanging="0"/>
              <w:rPr/>
            </w:pPr>
            <w:r>
              <w:rPr/>
            </w:r>
          </w:p>
        </w:tc>
        <w:tc>
          <w:tcPr>
            <w:tcW w:w="300" w:type="dxa"/>
            <w:tcBorders/>
            <w:shd w:fill="auto" w:val="clear"/>
            <w:vAlign w:val="center"/>
          </w:tcPr>
          <w:p>
            <w:pPr>
              <w:pStyle w:val="TableContents"/>
              <w:spacing w:before="0" w:after="0"/>
              <w:ind w:left="0" w:right="0" w:hanging="0"/>
              <w:rPr/>
            </w:pPr>
            <w:r>
              <w:rPr>
                <w:rFonts w:ascii="times new roman;times" w:hAnsi="times new roman;times"/>
              </w:rPr>
              <w:t>(</w:t>
            </w:r>
            <w:r>
              <w:rPr/>
              <w:t>2</w:t>
            </w:r>
            <w:r>
              <w:rPr>
                <w:rFonts w:ascii="times new roman;times" w:hAnsi="times new roman;times"/>
              </w:rPr>
              <w:t>)</w:t>
            </w:r>
          </w:p>
        </w:tc>
        <w:tc>
          <w:tcPr>
            <w:tcW w:w="9753" w:type="dxa"/>
            <w:tcBorders/>
            <w:shd w:fill="auto" w:val="clear"/>
            <w:vAlign w:val="center"/>
          </w:tcPr>
          <w:p>
            <w:pPr>
              <w:pStyle w:val="TableContents"/>
              <w:spacing w:before="0" w:after="0"/>
              <w:rPr>
                <w:rFonts w:ascii="times new roman;times" w:hAnsi="times new roman;times"/>
              </w:rPr>
            </w:pPr>
            <w:r>
              <w:rPr>
                <w:rFonts w:ascii="times new roman;times" w:hAnsi="times new roman;times"/>
              </w:rPr>
              <w:t>Zeynep Hakimoglu served as CEO and President till May 24, 2022, when her employment with ClearOne was terminated.</w:t>
            </w:r>
          </w:p>
        </w:tc>
      </w:tr>
    </w:tbl>
    <w:p>
      <w:pPr>
        <w:pStyle w:val="TextBody"/>
        <w:widowControl/>
        <w:rPr>
          <w:rFonts w:ascii="Times New Roman" w:hAnsi="Times New Roman" w:eastAsia="Times New Roman" w:cs="Times New Roman"/>
          <w:b w:val="false"/>
          <w:b w:val="false"/>
          <w:bCs w:val="false"/>
          <w:i w:val="false"/>
          <w:i w:val="false"/>
          <w:iCs w:val="false"/>
          <w:caps w:val="false"/>
          <w:smallCaps w:val="false"/>
          <w:color w:val="000000"/>
          <w:spacing w:val="0"/>
          <w:sz w:val="28"/>
          <w:szCs w:val="28"/>
        </w:rPr>
      </w:pPr>
      <w:r>
        <w:rPr>
          <w:rFonts w:eastAsia="Times New Roman" w:cs="Times New Roman" w:ascii="Times New Roman" w:hAnsi="Times New Roman"/>
          <w:b w:val="false"/>
          <w:bCs w:val="false"/>
          <w:i w:val="false"/>
          <w:iCs w:val="false"/>
          <w:caps w:val="false"/>
          <w:smallCaps w:val="false"/>
          <w:color w:val="000000"/>
          <w:spacing w:val="0"/>
          <w:sz w:val="28"/>
          <w:szCs w:val="28"/>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rFonts w:ascii="Times New Roman" w:hAnsi="Times New Roman" w:eastAsia="Times New Roman" w:cs="Times New Roman"/>
          <w:b w:val="false"/>
          <w:b w:val="false"/>
          <w:bCs w:val="false"/>
          <w:i w:val="false"/>
          <w:i w:val="false"/>
          <w:iCs w:val="false"/>
          <w:caps w:val="false"/>
          <w:smallCaps w:val="false"/>
          <w:color w:val="000000"/>
          <w:spacing w:val="0"/>
          <w:sz w:val="28"/>
          <w:szCs w:val="28"/>
        </w:rPr>
      </w:pPr>
      <w:r>
        <w:rPr>
          <w:rFonts w:eastAsia="Times New Roman" w:cs="Times New Roman" w:ascii="Times New Roman" w:hAnsi="Times New Roman"/>
          <w:b w:val="false"/>
          <w:bCs w:val="false"/>
          <w:i w:val="false"/>
          <w:iCs w:val="false"/>
          <w:caps w:val="false"/>
          <w:smallCaps w:val="false"/>
          <w:color w:val="000000"/>
          <w:spacing w:val="0"/>
          <w:sz w:val="28"/>
          <w:szCs w:val="28"/>
        </w:rPr>
      </w:r>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OUTSTANDING EQUITY AWARDS AT FISCAL YEAR-END</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provides information on the holdings of stock options by the named executive officers as of </w:t>
      </w:r>
      <w:r>
        <w:rPr>
          <w:rFonts w:ascii="times new roman;times" w:hAnsi="times new roman;times"/>
          <w:b w:val="false"/>
          <w:i w:val="false"/>
          <w:caps w:val="false"/>
          <w:smallCaps w:val="false"/>
          <w:color w:val="000000"/>
          <w:spacing w:val="0"/>
          <w:sz w:val="20"/>
        </w:rPr>
        <w:t>December 31, 2022</w:t>
      </w:r>
      <w:r>
        <w:rPr>
          <w:rFonts w:ascii="times new roman;times" w:hAnsi="times new roman;times"/>
          <w:b w:val="false"/>
          <w:i w:val="false"/>
          <w:caps w:val="false"/>
          <w:smallCaps w:val="false"/>
          <w:color w:val="000000"/>
          <w:spacing w:val="0"/>
          <w:sz w:val="20"/>
        </w:rPr>
        <w:t>.</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28" w:type="dxa"/>
          <w:right w:w="0" w:type="dxa"/>
        </w:tblCellMar>
      </w:tblPr>
      <w:tblGrid>
        <w:gridCol w:w="1500"/>
        <w:gridCol w:w="127"/>
        <w:gridCol w:w="276"/>
        <w:gridCol w:w="1206"/>
        <w:gridCol w:w="232"/>
        <w:gridCol w:w="232"/>
        <w:gridCol w:w="316"/>
        <w:gridCol w:w="1217"/>
        <w:gridCol w:w="127"/>
        <w:gridCol w:w="127"/>
        <w:gridCol w:w="269"/>
        <w:gridCol w:w="1212"/>
        <w:gridCol w:w="127"/>
        <w:gridCol w:w="127"/>
        <w:gridCol w:w="141"/>
        <w:gridCol w:w="1034"/>
        <w:gridCol w:w="127"/>
        <w:gridCol w:w="127"/>
        <w:gridCol w:w="189"/>
        <w:gridCol w:w="1307"/>
        <w:gridCol w:w="185"/>
      </w:tblGrid>
      <w:tr>
        <w:trPr/>
        <w:tc>
          <w:tcPr>
            <w:tcW w:w="1500" w:type="dxa"/>
            <w:vMerge w:val="restart"/>
            <w:tcBorders>
              <w:bottom w:val="single" w:sz="8" w:space="0" w:color="000000"/>
            </w:tcBorders>
            <w:shd w:fill="auto" w:val="clear"/>
          </w:tcPr>
          <w:p>
            <w:pPr>
              <w:pStyle w:val="TableContents"/>
              <w:widowControl/>
              <w:spacing w:before="0" w:after="283"/>
              <w:ind w:left="0" w:right="0" w:hanging="0"/>
              <w:jc w:val="center"/>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Name</w:t>
            </w:r>
          </w:p>
        </w:tc>
        <w:tc>
          <w:tcPr>
            <w:tcW w:w="127" w:type="dxa"/>
            <w:vMerge w:val="restart"/>
            <w:tcBorders/>
            <w:shd w:fill="auto" w:val="clear"/>
            <w:tcMar>
              <w:bottom w:w="0" w:type="dxa"/>
            </w:tcMar>
          </w:tcPr>
          <w:p>
            <w:pPr>
              <w:pStyle w:val="TableContents"/>
              <w:spacing w:before="0" w:after="0"/>
              <w:ind w:left="0" w:right="0" w:hanging="0"/>
              <w:rPr/>
            </w:pPr>
            <w:r>
              <w:rPr/>
              <w:t> </w:t>
            </w:r>
          </w:p>
          <w:p>
            <w:pPr>
              <w:pStyle w:val="TableContents"/>
              <w:spacing w:before="0" w:after="283"/>
              <w:rPr/>
            </w:pPr>
            <w:r>
              <w:rPr/>
            </w:r>
          </w:p>
        </w:tc>
        <w:tc>
          <w:tcPr>
            <w:tcW w:w="3479" w:type="dxa"/>
            <w:gridSpan w:val="6"/>
            <w:tcBorders>
              <w:bottom w:val="single" w:sz="2" w:space="0" w:color="000000"/>
            </w:tcBorders>
            <w:shd w:fill="auto" w:val="clear"/>
          </w:tcPr>
          <w:p>
            <w:pPr>
              <w:pStyle w:val="TableContents"/>
              <w:widowControl/>
              <w:spacing w:before="0" w:after="0"/>
              <w:ind w:left="0" w:right="0" w:hanging="0"/>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 xml:space="preserve">Number of Securities Underlying Unexercised Options </w:t>
            </w:r>
          </w:p>
        </w:tc>
        <w:tc>
          <w:tcPr>
            <w:tcW w:w="127" w:type="dxa"/>
            <w:vMerge w:val="restart"/>
            <w:tcBorders/>
            <w:shd w:fill="auto" w:val="clear"/>
            <w:tcMar>
              <w:bottom w:w="0" w:type="dxa"/>
            </w:tcMar>
          </w:tcPr>
          <w:p>
            <w:pPr>
              <w:pStyle w:val="TableContents"/>
              <w:spacing w:before="0" w:after="0"/>
              <w:ind w:left="0" w:right="0" w:hanging="0"/>
              <w:rPr/>
            </w:pPr>
            <w:r>
              <w:rPr/>
              <w:t xml:space="preserve">  </w:t>
            </w:r>
          </w:p>
        </w:tc>
        <w:tc>
          <w:tcPr>
            <w:tcW w:w="127" w:type="dxa"/>
            <w:vMerge w:val="restart"/>
            <w:tcBorders/>
            <w:shd w:fill="auto" w:val="clear"/>
            <w:tcMar>
              <w:bottom w:w="0" w:type="dxa"/>
            </w:tcMar>
          </w:tcPr>
          <w:p>
            <w:pPr>
              <w:pStyle w:val="TableContents"/>
              <w:spacing w:before="0" w:after="0"/>
              <w:ind w:left="0" w:right="0" w:hanging="0"/>
              <w:rPr/>
            </w:pPr>
            <w:r>
              <w:rPr/>
              <w:t> </w:t>
            </w:r>
          </w:p>
          <w:p>
            <w:pPr>
              <w:pStyle w:val="TableContents"/>
              <w:spacing w:before="0" w:after="283"/>
              <w:rPr/>
            </w:pPr>
            <w:r>
              <w:rPr/>
            </w:r>
          </w:p>
        </w:tc>
        <w:tc>
          <w:tcPr>
            <w:tcW w:w="1481" w:type="dxa"/>
            <w:gridSpan w:val="2"/>
            <w:vMerge w:val="restart"/>
            <w:tcBorders>
              <w:bottom w:val="single" w:sz="8" w:space="0" w:color="000000"/>
            </w:tcBorders>
            <w:shd w:fill="auto" w:val="clear"/>
          </w:tcPr>
          <w:p>
            <w:pPr>
              <w:pStyle w:val="TableContents"/>
              <w:widowControl/>
              <w:spacing w:before="0" w:after="283"/>
              <w:ind w:left="0" w:right="0" w:hanging="0"/>
              <w:jc w:val="center"/>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Option Exercise Price ($)</w:t>
            </w:r>
          </w:p>
        </w:tc>
        <w:tc>
          <w:tcPr>
            <w:tcW w:w="127" w:type="dxa"/>
            <w:vMerge w:val="restart"/>
            <w:tcBorders/>
            <w:shd w:fill="auto" w:val="clear"/>
            <w:tcMar>
              <w:bottom w:w="0" w:type="dxa"/>
            </w:tcMar>
          </w:tcPr>
          <w:p>
            <w:pPr>
              <w:pStyle w:val="TableContents"/>
              <w:spacing w:before="0" w:after="0"/>
              <w:ind w:left="0" w:right="0" w:hanging="0"/>
              <w:rPr/>
            </w:pPr>
            <w:r>
              <w:rPr/>
              <w:t xml:space="preserve">  </w:t>
            </w:r>
          </w:p>
        </w:tc>
        <w:tc>
          <w:tcPr>
            <w:tcW w:w="127" w:type="dxa"/>
            <w:vMerge w:val="restart"/>
            <w:tcBorders/>
            <w:shd w:fill="auto" w:val="clear"/>
            <w:tcMar>
              <w:bottom w:w="0" w:type="dxa"/>
            </w:tcMar>
          </w:tcPr>
          <w:p>
            <w:pPr>
              <w:pStyle w:val="TableContents"/>
              <w:spacing w:before="0" w:after="283"/>
              <w:rPr/>
            </w:pPr>
            <w:r>
              <w:rPr/>
            </w:r>
          </w:p>
        </w:tc>
        <w:tc>
          <w:tcPr>
            <w:tcW w:w="1175" w:type="dxa"/>
            <w:gridSpan w:val="2"/>
            <w:vMerge w:val="restart"/>
            <w:tcBorders>
              <w:bottom w:val="single" w:sz="8" w:space="0" w:color="000000"/>
            </w:tcBorders>
            <w:shd w:fill="auto" w:val="clear"/>
          </w:tcPr>
          <w:p>
            <w:pPr>
              <w:pStyle w:val="TableContents"/>
              <w:widowControl/>
              <w:spacing w:before="0" w:after="283"/>
              <w:ind w:left="0" w:right="0" w:hanging="0"/>
              <w:jc w:val="center"/>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Option Grant Date</w:t>
            </w:r>
          </w:p>
        </w:tc>
        <w:tc>
          <w:tcPr>
            <w:tcW w:w="127" w:type="dxa"/>
            <w:vMerge w:val="restart"/>
            <w:tcBorders/>
            <w:shd w:fill="auto" w:val="clear"/>
            <w:tcMar>
              <w:bottom w:w="0" w:type="dxa"/>
            </w:tcMar>
          </w:tcPr>
          <w:p>
            <w:pPr>
              <w:pStyle w:val="TableContents"/>
              <w:spacing w:before="0" w:after="283"/>
              <w:rPr/>
            </w:pPr>
            <w:r>
              <w:rPr/>
            </w:r>
          </w:p>
        </w:tc>
        <w:tc>
          <w:tcPr>
            <w:tcW w:w="127" w:type="dxa"/>
            <w:vMerge w:val="restart"/>
            <w:tcBorders/>
            <w:shd w:fill="auto" w:val="clear"/>
            <w:tcMar>
              <w:bottom w:w="0" w:type="dxa"/>
            </w:tcMar>
          </w:tcPr>
          <w:p>
            <w:pPr>
              <w:pStyle w:val="TableContents"/>
              <w:spacing w:before="0" w:after="0"/>
              <w:ind w:left="0" w:right="0" w:hanging="0"/>
              <w:rPr/>
            </w:pPr>
            <w:r>
              <w:rPr/>
            </w:r>
          </w:p>
          <w:p>
            <w:pPr>
              <w:pStyle w:val="TableContents"/>
              <w:spacing w:before="0" w:after="283"/>
              <w:rPr/>
            </w:pPr>
            <w:r>
              <w:rPr/>
            </w:r>
          </w:p>
        </w:tc>
        <w:tc>
          <w:tcPr>
            <w:tcW w:w="1496" w:type="dxa"/>
            <w:gridSpan w:val="2"/>
            <w:vMerge w:val="restart"/>
            <w:tcBorders>
              <w:bottom w:val="single" w:sz="8" w:space="0" w:color="000000"/>
            </w:tcBorders>
            <w:shd w:fill="auto" w:val="clear"/>
          </w:tcPr>
          <w:p>
            <w:pPr>
              <w:pStyle w:val="TableContents"/>
              <w:widowControl/>
              <w:spacing w:before="0" w:after="283"/>
              <w:ind w:left="0" w:right="0" w:hanging="0"/>
              <w:jc w:val="center"/>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Option Expiration Date</w:t>
            </w:r>
          </w:p>
        </w:tc>
        <w:tc>
          <w:tcPr>
            <w:tcW w:w="185" w:type="dxa"/>
            <w:vMerge w:val="restart"/>
            <w:tcBorders/>
            <w:shd w:fill="auto" w:val="clear"/>
            <w:tcMar>
              <w:bottom w:w="0" w:type="dxa"/>
            </w:tcMar>
          </w:tcPr>
          <w:p>
            <w:pPr>
              <w:pStyle w:val="TableContents"/>
              <w:spacing w:before="0" w:after="283"/>
              <w:rPr/>
            </w:pPr>
            <w:r>
              <w:rPr/>
            </w:r>
          </w:p>
        </w:tc>
      </w:tr>
      <w:tr>
        <w:trPr/>
        <w:tc>
          <w:tcPr>
            <w:tcW w:w="1500" w:type="dxa"/>
            <w:vMerge w:val="continue"/>
            <w:tcBorders>
              <w:bottom w:val="single" w:sz="8" w:space="0" w:color="000000"/>
            </w:tcBorders>
            <w:shd w:fill="auto" w:val="clear"/>
          </w:tcPr>
          <w:p>
            <w:pPr>
              <w:pStyle w:val="Normal"/>
              <w:rPr/>
            </w:pPr>
            <w:r>
              <w:rPr/>
            </w:r>
          </w:p>
        </w:tc>
        <w:tc>
          <w:tcPr>
            <w:tcW w:w="127" w:type="dxa"/>
            <w:vMerge w:val="continue"/>
            <w:tcBorders/>
            <w:shd w:fill="auto" w:val="clear"/>
            <w:tcMar>
              <w:bottom w:w="0" w:type="dxa"/>
            </w:tcMar>
          </w:tcPr>
          <w:p>
            <w:pPr>
              <w:pStyle w:val="Normal"/>
              <w:rPr/>
            </w:pPr>
            <w:r>
              <w:rPr/>
            </w:r>
          </w:p>
        </w:tc>
        <w:tc>
          <w:tcPr>
            <w:tcW w:w="1482" w:type="dxa"/>
            <w:gridSpan w:val="2"/>
            <w:tcBorders>
              <w:bottom w:val="single" w:sz="8" w:space="0" w:color="000000"/>
            </w:tcBorders>
            <w:shd w:fill="auto" w:val="clea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Exercisable </w:t>
            </w:r>
          </w:p>
        </w:tc>
        <w:tc>
          <w:tcPr>
            <w:tcW w:w="232" w:type="dxa"/>
            <w:tcBorders/>
            <w:shd w:fill="auto" w:val="clear"/>
            <w:tcMar>
              <w:bottom w:w="0" w:type="dxa"/>
            </w:tcMar>
          </w:tcPr>
          <w:p>
            <w:pPr>
              <w:pStyle w:val="TableContents"/>
              <w:spacing w:before="0" w:after="0"/>
              <w:ind w:left="0" w:right="0" w:hanging="0"/>
              <w:rPr/>
            </w:pPr>
            <w:r>
              <w:rPr/>
              <w:t xml:space="preserve">  </w:t>
            </w:r>
          </w:p>
        </w:tc>
        <w:tc>
          <w:tcPr>
            <w:tcW w:w="232" w:type="dxa"/>
            <w:tcBorders/>
            <w:shd w:fill="auto" w:val="clear"/>
            <w:tcMar>
              <w:bottom w:w="0" w:type="dxa"/>
            </w:tcMar>
          </w:tcPr>
          <w:p>
            <w:pPr>
              <w:pStyle w:val="TableContents"/>
              <w:spacing w:before="0" w:after="0"/>
              <w:ind w:left="0" w:right="0" w:hanging="0"/>
              <w:rPr/>
            </w:pPr>
            <w:r>
              <w:rPr/>
              <w:t xml:space="preserve">  </w:t>
            </w:r>
          </w:p>
        </w:tc>
        <w:tc>
          <w:tcPr>
            <w:tcW w:w="1533" w:type="dxa"/>
            <w:gridSpan w:val="2"/>
            <w:tcBorders>
              <w:bottom w:val="single" w:sz="8" w:space="0" w:color="000000"/>
            </w:tcBorders>
            <w:shd w:fill="auto" w:val="clear"/>
          </w:tcPr>
          <w:p>
            <w:pPr>
              <w:pStyle w:val="TableContents"/>
              <w:spacing w:before="0" w:after="0"/>
              <w:ind w:left="0" w:right="0" w:hanging="0"/>
              <w:jc w:val="center"/>
              <w:rPr>
                <w:rFonts w:ascii="times new roman;times" w:hAnsi="times new roman;times"/>
                <w:sz w:val="18"/>
              </w:rPr>
            </w:pPr>
            <w:r>
              <w:rPr>
                <w:rFonts w:ascii="times new roman;times" w:hAnsi="times new roman;times"/>
                <w:sz w:val="18"/>
              </w:rPr>
              <w:t xml:space="preserve">Unexercisable </w:t>
            </w:r>
          </w:p>
        </w:tc>
        <w:tc>
          <w:tcPr>
            <w:tcW w:w="127" w:type="dxa"/>
            <w:vMerge w:val="continue"/>
            <w:tcBorders/>
            <w:shd w:fill="auto" w:val="clear"/>
            <w:tcMar>
              <w:bottom w:w="0" w:type="dxa"/>
            </w:tcMar>
          </w:tcPr>
          <w:p>
            <w:pPr>
              <w:pStyle w:val="Normal"/>
              <w:rPr/>
            </w:pPr>
            <w:r>
              <w:rPr/>
            </w:r>
          </w:p>
        </w:tc>
        <w:tc>
          <w:tcPr>
            <w:tcW w:w="127" w:type="dxa"/>
            <w:vMerge w:val="continue"/>
            <w:tcBorders/>
            <w:shd w:fill="auto" w:val="clear"/>
            <w:tcMar>
              <w:bottom w:w="0" w:type="dxa"/>
            </w:tcMar>
          </w:tcPr>
          <w:p>
            <w:pPr>
              <w:pStyle w:val="Normal"/>
              <w:rPr/>
            </w:pPr>
            <w:r>
              <w:rPr/>
            </w:r>
          </w:p>
        </w:tc>
        <w:tc>
          <w:tcPr>
            <w:tcW w:w="1481" w:type="dxa"/>
            <w:gridSpan w:val="2"/>
            <w:vMerge w:val="continue"/>
            <w:tcBorders>
              <w:bottom w:val="single" w:sz="8" w:space="0" w:color="000000"/>
            </w:tcBorders>
            <w:shd w:fill="auto" w:val="clear"/>
          </w:tcPr>
          <w:p>
            <w:pPr>
              <w:pStyle w:val="Normal"/>
              <w:rPr/>
            </w:pPr>
            <w:r>
              <w:rPr/>
            </w:r>
          </w:p>
        </w:tc>
        <w:tc>
          <w:tcPr>
            <w:tcW w:w="127" w:type="dxa"/>
            <w:vMerge w:val="continue"/>
            <w:tcBorders/>
            <w:shd w:fill="auto" w:val="clear"/>
            <w:tcMar>
              <w:bottom w:w="0" w:type="dxa"/>
            </w:tcMar>
          </w:tcPr>
          <w:p>
            <w:pPr>
              <w:pStyle w:val="Normal"/>
              <w:rPr/>
            </w:pPr>
            <w:r>
              <w:rPr/>
            </w:r>
          </w:p>
        </w:tc>
        <w:tc>
          <w:tcPr>
            <w:tcW w:w="127" w:type="dxa"/>
            <w:vMerge w:val="continue"/>
            <w:tcBorders/>
            <w:shd w:fill="auto" w:val="clear"/>
            <w:tcMar>
              <w:bottom w:w="0" w:type="dxa"/>
            </w:tcMar>
          </w:tcPr>
          <w:p>
            <w:pPr>
              <w:pStyle w:val="Normal"/>
              <w:rPr/>
            </w:pPr>
            <w:r>
              <w:rPr/>
            </w:r>
          </w:p>
        </w:tc>
        <w:tc>
          <w:tcPr>
            <w:tcW w:w="1175" w:type="dxa"/>
            <w:gridSpan w:val="2"/>
            <w:vMerge w:val="continue"/>
            <w:tcBorders>
              <w:bottom w:val="single" w:sz="8" w:space="0" w:color="000000"/>
            </w:tcBorders>
            <w:shd w:fill="auto" w:val="clear"/>
          </w:tcPr>
          <w:p>
            <w:pPr>
              <w:pStyle w:val="Normal"/>
              <w:rPr/>
            </w:pPr>
            <w:r>
              <w:rPr/>
            </w:r>
          </w:p>
        </w:tc>
        <w:tc>
          <w:tcPr>
            <w:tcW w:w="127" w:type="dxa"/>
            <w:vMerge w:val="continue"/>
            <w:tcBorders/>
            <w:shd w:fill="auto" w:val="clear"/>
            <w:tcMar>
              <w:bottom w:w="0" w:type="dxa"/>
            </w:tcMar>
          </w:tcPr>
          <w:p>
            <w:pPr>
              <w:pStyle w:val="Normal"/>
              <w:rPr/>
            </w:pPr>
            <w:r>
              <w:rPr/>
            </w:r>
          </w:p>
        </w:tc>
        <w:tc>
          <w:tcPr>
            <w:tcW w:w="127" w:type="dxa"/>
            <w:vMerge w:val="continue"/>
            <w:tcBorders/>
            <w:shd w:fill="auto" w:val="clear"/>
            <w:tcMar>
              <w:bottom w:w="0" w:type="dxa"/>
            </w:tcMar>
          </w:tcPr>
          <w:p>
            <w:pPr>
              <w:pStyle w:val="Normal"/>
              <w:rPr/>
            </w:pPr>
            <w:r>
              <w:rPr/>
            </w:r>
          </w:p>
        </w:tc>
        <w:tc>
          <w:tcPr>
            <w:tcW w:w="1496" w:type="dxa"/>
            <w:gridSpan w:val="2"/>
            <w:vMerge w:val="continue"/>
            <w:tcBorders>
              <w:bottom w:val="single" w:sz="8" w:space="0" w:color="000000"/>
            </w:tcBorders>
            <w:shd w:fill="auto" w:val="clear"/>
          </w:tcPr>
          <w:p>
            <w:pPr>
              <w:pStyle w:val="Normal"/>
              <w:rPr/>
            </w:pPr>
            <w:r>
              <w:rPr/>
            </w:r>
          </w:p>
        </w:tc>
        <w:tc>
          <w:tcPr>
            <w:tcW w:w="185" w:type="dxa"/>
            <w:vMerge w:val="continue"/>
            <w:tcBorders/>
            <w:shd w:fill="auto" w:val="clear"/>
            <w:tcMar>
              <w:bottom w:w="0" w:type="dxa"/>
            </w:tcMar>
          </w:tcPr>
          <w:p>
            <w:pPr>
              <w:pStyle w:val="Normal"/>
              <w:rPr/>
            </w:pPr>
            <w:r>
              <w:rPr/>
            </w:r>
          </w:p>
        </w:tc>
      </w:tr>
      <w:tr>
        <w:trPr/>
        <w:tc>
          <w:tcPr>
            <w:tcW w:w="1500" w:type="dxa"/>
            <w:tcBorders/>
            <w:shd w:fill="CCEEFF" w:val="clear"/>
            <w:tcMar>
              <w:bottom w:w="0" w:type="dxa"/>
            </w:tcMar>
            <w:vAlign w:val="center"/>
          </w:tcPr>
          <w:p>
            <w:pPr>
              <w:pStyle w:val="TableContents"/>
              <w:spacing w:before="0" w:after="0"/>
              <w:ind w:left="0" w:right="0" w:hanging="0"/>
              <w:rPr>
                <w:rFonts w:ascii="times new roman;times" w:hAnsi="times new roman;times"/>
              </w:rPr>
            </w:pPr>
            <w:r>
              <w:rPr>
                <w:rFonts w:ascii="times new roman;times" w:hAnsi="times new roman;times"/>
              </w:rPr>
              <w:t xml:space="preserve">Derek Graham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276" w:type="dxa"/>
            <w:tcBorders/>
            <w:shd w:fill="CCEEFF" w:val="clear"/>
            <w:tcMar>
              <w:bottom w:w="0" w:type="dxa"/>
            </w:tcMar>
            <w:vAlign w:val="center"/>
          </w:tcPr>
          <w:p>
            <w:pPr>
              <w:pStyle w:val="TableContents"/>
              <w:spacing w:before="0" w:after="0"/>
              <w:ind w:left="0" w:right="0" w:hanging="0"/>
              <w:rPr/>
            </w:pPr>
            <w:r>
              <w:rPr/>
              <w:t xml:space="preserve">  </w:t>
            </w:r>
          </w:p>
        </w:tc>
        <w:tc>
          <w:tcPr>
            <w:tcW w:w="1206"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1,250</w:t>
            </w:r>
          </w:p>
        </w:tc>
        <w:tc>
          <w:tcPr>
            <w:tcW w:w="232" w:type="dxa"/>
            <w:tcBorders/>
            <w:shd w:fill="CCEEFF" w:val="clear"/>
            <w:tcMar>
              <w:bottom w:w="0" w:type="dxa"/>
            </w:tcMar>
            <w:vAlign w:val="center"/>
          </w:tcPr>
          <w:p>
            <w:pPr>
              <w:pStyle w:val="TableContents"/>
              <w:spacing w:before="0" w:after="0"/>
              <w:ind w:left="0" w:right="0" w:hanging="0"/>
              <w:rPr/>
            </w:pPr>
            <w:r>
              <w:rPr/>
              <w:t xml:space="preserve">  </w:t>
            </w:r>
          </w:p>
        </w:tc>
        <w:tc>
          <w:tcPr>
            <w:tcW w:w="232" w:type="dxa"/>
            <w:tcBorders/>
            <w:shd w:fill="CCEEFF" w:val="clear"/>
            <w:tcMar>
              <w:bottom w:w="0" w:type="dxa"/>
            </w:tcMar>
            <w:vAlign w:val="center"/>
          </w:tcPr>
          <w:p>
            <w:pPr>
              <w:pStyle w:val="TableContents"/>
              <w:spacing w:before="0" w:after="0"/>
              <w:ind w:left="0" w:right="0" w:hanging="0"/>
              <w:rPr/>
            </w:pPr>
            <w:r>
              <w:rPr/>
              <w:t xml:space="preserve">  </w:t>
            </w:r>
          </w:p>
        </w:tc>
        <w:tc>
          <w:tcPr>
            <w:tcW w:w="316" w:type="dxa"/>
            <w:tcBorders/>
            <w:shd w:fill="CCEEFF" w:val="clear"/>
            <w:tcMar>
              <w:bottom w:w="0" w:type="dxa"/>
            </w:tcMar>
            <w:vAlign w:val="center"/>
          </w:tcPr>
          <w:p>
            <w:pPr>
              <w:pStyle w:val="TableContents"/>
              <w:spacing w:before="0" w:after="0"/>
              <w:ind w:left="0" w:right="0" w:hanging="0"/>
              <w:rPr/>
            </w:pPr>
            <w:r>
              <w:rPr/>
              <w:t xml:space="preserve">  </w:t>
            </w:r>
          </w:p>
        </w:tc>
        <w:tc>
          <w:tcPr>
            <w:tcW w:w="1217" w:type="dxa"/>
            <w:tcBorders/>
            <w:shd w:fill="CCEEFF" w:val="clear"/>
            <w:tcMar>
              <w:bottom w:w="0" w:type="dxa"/>
            </w:tcMar>
            <w:vAlign w:val="center"/>
          </w:tcPr>
          <w:p>
            <w:pPr>
              <w:pStyle w:val="TableContents"/>
              <w:spacing w:before="0" w:after="0"/>
              <w:ind w:left="0" w:right="0" w:hanging="0"/>
              <w:jc w:val="right"/>
              <w:rPr/>
            </w:pPr>
            <w:r>
              <w:rPr/>
              <w:t>—</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269" w:type="dxa"/>
            <w:tcBorders/>
            <w:shd w:fill="CCEEFF" w:val="clear"/>
            <w:tcMar>
              <w:bottom w:w="0" w:type="dxa"/>
            </w:tcMar>
            <w:vAlign w:val="center"/>
          </w:tcPr>
          <w:p>
            <w:pPr>
              <w:pStyle w:val="TableContents"/>
              <w:spacing w:before="0" w:after="0"/>
              <w:ind w:left="0" w:right="0" w:hanging="0"/>
              <w:rPr/>
            </w:pPr>
            <w:r>
              <w:rPr/>
              <w:t xml:space="preserve">  </w:t>
            </w:r>
          </w:p>
        </w:tc>
        <w:tc>
          <w:tcPr>
            <w:tcW w:w="1212"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8.340</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41" w:type="dxa"/>
            <w:tcBorders/>
            <w:shd w:fill="CCEEFF" w:val="clear"/>
            <w:tcMar>
              <w:bottom w:w="0" w:type="dxa"/>
            </w:tcMar>
            <w:vAlign w:val="center"/>
          </w:tcPr>
          <w:p>
            <w:pPr>
              <w:pStyle w:val="TableContents"/>
              <w:spacing w:before="0" w:after="0"/>
              <w:ind w:left="0" w:right="0" w:hanging="0"/>
              <w:rPr/>
            </w:pPr>
            <w:r>
              <w:rPr/>
              <w:t xml:space="preserve">  </w:t>
            </w:r>
          </w:p>
        </w:tc>
        <w:tc>
          <w:tcPr>
            <w:tcW w:w="1034"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9-12-2014</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89" w:type="dxa"/>
            <w:tcBorders/>
            <w:shd w:fill="CCEEFF" w:val="clear"/>
            <w:tcMar>
              <w:bottom w:w="0" w:type="dxa"/>
            </w:tcMar>
            <w:vAlign w:val="center"/>
          </w:tcPr>
          <w:p>
            <w:pPr>
              <w:pStyle w:val="TableContents"/>
              <w:spacing w:before="0" w:after="0"/>
              <w:ind w:left="0" w:right="0" w:hanging="0"/>
              <w:rPr/>
            </w:pPr>
            <w:r>
              <w:rPr/>
              <w:t xml:space="preserve">  </w:t>
            </w:r>
          </w:p>
        </w:tc>
        <w:tc>
          <w:tcPr>
            <w:tcW w:w="1307"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9-12-2024</w:t>
            </w:r>
          </w:p>
        </w:tc>
        <w:tc>
          <w:tcPr>
            <w:tcW w:w="185" w:type="dxa"/>
            <w:tcBorders/>
            <w:shd w:fill="CCEEFF" w:val="clear"/>
            <w:tcMar>
              <w:bottom w:w="0" w:type="dxa"/>
            </w:tcMar>
            <w:vAlign w:val="center"/>
          </w:tcPr>
          <w:p>
            <w:pPr>
              <w:pStyle w:val="TableContents"/>
              <w:spacing w:before="0" w:after="0"/>
              <w:ind w:left="0" w:right="0" w:hanging="0"/>
              <w:rPr/>
            </w:pPr>
            <w:r>
              <w:rPr/>
              <w:t xml:space="preserve">  </w:t>
            </w:r>
          </w:p>
        </w:tc>
      </w:tr>
      <w:tr>
        <w:trPr/>
        <w:tc>
          <w:tcPr>
            <w:tcW w:w="1500"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276" w:type="dxa"/>
            <w:tcBorders/>
            <w:shd w:fill="auto" w:val="clear"/>
            <w:tcMar>
              <w:bottom w:w="0" w:type="dxa"/>
            </w:tcMar>
            <w:vAlign w:val="center"/>
          </w:tcPr>
          <w:p>
            <w:pPr>
              <w:pStyle w:val="TableContents"/>
              <w:spacing w:before="0" w:after="0"/>
              <w:ind w:left="0" w:right="0" w:hanging="0"/>
              <w:rPr/>
            </w:pPr>
            <w:r>
              <w:rPr/>
              <w:t xml:space="preserve">  </w:t>
            </w:r>
          </w:p>
        </w:tc>
        <w:tc>
          <w:tcPr>
            <w:tcW w:w="1206"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5,000</w:t>
            </w:r>
          </w:p>
        </w:tc>
        <w:tc>
          <w:tcPr>
            <w:tcW w:w="232" w:type="dxa"/>
            <w:tcBorders/>
            <w:shd w:fill="auto" w:val="clear"/>
            <w:tcMar>
              <w:bottom w:w="0" w:type="dxa"/>
            </w:tcMar>
            <w:vAlign w:val="center"/>
          </w:tcPr>
          <w:p>
            <w:pPr>
              <w:pStyle w:val="TableContents"/>
              <w:spacing w:before="0" w:after="0"/>
              <w:ind w:left="0" w:right="0" w:hanging="0"/>
              <w:rPr/>
            </w:pPr>
            <w:r>
              <w:rPr/>
              <w:t xml:space="preserve">  </w:t>
            </w:r>
          </w:p>
        </w:tc>
        <w:tc>
          <w:tcPr>
            <w:tcW w:w="232" w:type="dxa"/>
            <w:tcBorders/>
            <w:shd w:fill="auto" w:val="clear"/>
            <w:tcMar>
              <w:bottom w:w="0" w:type="dxa"/>
            </w:tcMar>
            <w:vAlign w:val="center"/>
          </w:tcPr>
          <w:p>
            <w:pPr>
              <w:pStyle w:val="TableContents"/>
              <w:spacing w:before="0" w:after="0"/>
              <w:ind w:left="0" w:right="0" w:hanging="0"/>
              <w:rPr/>
            </w:pPr>
            <w:r>
              <w:rPr/>
              <w:t xml:space="preserve">  </w:t>
            </w:r>
          </w:p>
        </w:tc>
        <w:tc>
          <w:tcPr>
            <w:tcW w:w="316" w:type="dxa"/>
            <w:tcBorders/>
            <w:shd w:fill="auto" w:val="clear"/>
            <w:tcMar>
              <w:bottom w:w="0" w:type="dxa"/>
            </w:tcMar>
            <w:vAlign w:val="center"/>
          </w:tcPr>
          <w:p>
            <w:pPr>
              <w:pStyle w:val="TableContents"/>
              <w:spacing w:before="0" w:after="0"/>
              <w:ind w:left="0" w:right="0" w:hanging="0"/>
              <w:rPr/>
            </w:pPr>
            <w:r>
              <w:rPr/>
              <w:t xml:space="preserve">  </w:t>
            </w:r>
          </w:p>
        </w:tc>
        <w:tc>
          <w:tcPr>
            <w:tcW w:w="1217"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5,000</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269" w:type="dxa"/>
            <w:tcBorders/>
            <w:shd w:fill="auto" w:val="clear"/>
            <w:tcMar>
              <w:bottom w:w="0" w:type="dxa"/>
            </w:tcMar>
            <w:vAlign w:val="center"/>
          </w:tcPr>
          <w:p>
            <w:pPr>
              <w:pStyle w:val="TableContents"/>
              <w:spacing w:before="0" w:after="0"/>
              <w:ind w:left="0" w:right="0" w:hanging="0"/>
              <w:rPr/>
            </w:pPr>
            <w:r>
              <w:rPr/>
              <w:t xml:space="preserve">  </w:t>
            </w:r>
          </w:p>
        </w:tc>
        <w:tc>
          <w:tcPr>
            <w:tcW w:w="1212"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2.500</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41" w:type="dxa"/>
            <w:tcBorders/>
            <w:shd w:fill="auto" w:val="clear"/>
            <w:tcMar>
              <w:bottom w:w="0" w:type="dxa"/>
            </w:tcMar>
            <w:vAlign w:val="center"/>
          </w:tcPr>
          <w:p>
            <w:pPr>
              <w:pStyle w:val="TableContents"/>
              <w:spacing w:before="0" w:after="0"/>
              <w:ind w:left="0" w:right="0" w:hanging="0"/>
              <w:rPr/>
            </w:pPr>
            <w:r>
              <w:rPr/>
              <w:t xml:space="preserve">  </w:t>
            </w:r>
          </w:p>
        </w:tc>
        <w:tc>
          <w:tcPr>
            <w:tcW w:w="1034"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12-14-2020</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89" w:type="dxa"/>
            <w:tcBorders/>
            <w:shd w:fill="auto" w:val="clear"/>
            <w:tcMar>
              <w:bottom w:w="0" w:type="dxa"/>
            </w:tcMar>
            <w:vAlign w:val="center"/>
          </w:tcPr>
          <w:p>
            <w:pPr>
              <w:pStyle w:val="TableContents"/>
              <w:spacing w:before="0" w:after="0"/>
              <w:ind w:left="0" w:right="0" w:hanging="0"/>
              <w:rPr/>
            </w:pPr>
            <w:r>
              <w:rPr/>
              <w:t xml:space="preserve">  </w:t>
            </w:r>
          </w:p>
        </w:tc>
        <w:tc>
          <w:tcPr>
            <w:tcW w:w="1307"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12-14-2026</w:t>
            </w:r>
          </w:p>
        </w:tc>
        <w:tc>
          <w:tcPr>
            <w:tcW w:w="185" w:type="dxa"/>
            <w:tcBorders/>
            <w:shd w:fill="auto" w:val="clear"/>
            <w:tcMar>
              <w:bottom w:w="0" w:type="dxa"/>
            </w:tcMar>
            <w:vAlign w:val="center"/>
          </w:tcPr>
          <w:p>
            <w:pPr>
              <w:pStyle w:val="TableContents"/>
              <w:spacing w:before="0" w:after="0"/>
              <w:ind w:left="0" w:right="0" w:hanging="0"/>
              <w:rPr/>
            </w:pPr>
            <w:r>
              <w:rPr/>
              <w:t xml:space="preserve">  </w:t>
            </w:r>
          </w:p>
        </w:tc>
      </w:tr>
      <w:tr>
        <w:trPr/>
        <w:tc>
          <w:tcPr>
            <w:tcW w:w="1500"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Narsi Narayanan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276" w:type="dxa"/>
            <w:tcBorders/>
            <w:shd w:fill="CCEEFF" w:val="clear"/>
            <w:tcMar>
              <w:bottom w:w="0" w:type="dxa"/>
            </w:tcMar>
            <w:vAlign w:val="center"/>
          </w:tcPr>
          <w:p>
            <w:pPr>
              <w:pStyle w:val="TableContents"/>
              <w:spacing w:before="0" w:after="0"/>
              <w:ind w:left="0" w:right="0" w:hanging="0"/>
              <w:rPr/>
            </w:pPr>
            <w:r>
              <w:rPr/>
              <w:t xml:space="preserve">  </w:t>
            </w:r>
          </w:p>
        </w:tc>
        <w:tc>
          <w:tcPr>
            <w:tcW w:w="1206"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15,000</w:t>
            </w:r>
          </w:p>
        </w:tc>
        <w:tc>
          <w:tcPr>
            <w:tcW w:w="232" w:type="dxa"/>
            <w:tcBorders/>
            <w:shd w:fill="CCEEFF" w:val="clear"/>
            <w:tcMar>
              <w:bottom w:w="0" w:type="dxa"/>
            </w:tcMar>
            <w:vAlign w:val="center"/>
          </w:tcPr>
          <w:p>
            <w:pPr>
              <w:pStyle w:val="TableContents"/>
              <w:spacing w:before="0" w:after="0"/>
              <w:ind w:left="0" w:right="0" w:hanging="0"/>
              <w:rPr/>
            </w:pPr>
            <w:r>
              <w:rPr/>
              <w:t xml:space="preserve">  </w:t>
            </w:r>
          </w:p>
        </w:tc>
        <w:tc>
          <w:tcPr>
            <w:tcW w:w="232" w:type="dxa"/>
            <w:tcBorders/>
            <w:shd w:fill="CCEEFF" w:val="clear"/>
            <w:tcMar>
              <w:bottom w:w="0" w:type="dxa"/>
            </w:tcMar>
            <w:vAlign w:val="center"/>
          </w:tcPr>
          <w:p>
            <w:pPr>
              <w:pStyle w:val="TableContents"/>
              <w:spacing w:before="0" w:after="0"/>
              <w:ind w:left="0" w:right="0" w:hanging="0"/>
              <w:rPr/>
            </w:pPr>
            <w:r>
              <w:rPr/>
              <w:t xml:space="preserve">  </w:t>
            </w:r>
          </w:p>
        </w:tc>
        <w:tc>
          <w:tcPr>
            <w:tcW w:w="316" w:type="dxa"/>
            <w:tcBorders/>
            <w:shd w:fill="CCEEFF" w:val="clear"/>
            <w:tcMar>
              <w:bottom w:w="0" w:type="dxa"/>
            </w:tcMar>
            <w:vAlign w:val="center"/>
          </w:tcPr>
          <w:p>
            <w:pPr>
              <w:pStyle w:val="TableContents"/>
              <w:spacing w:before="0" w:after="0"/>
              <w:ind w:left="0" w:right="0" w:hanging="0"/>
              <w:rPr/>
            </w:pPr>
            <w:r>
              <w:rPr/>
              <w:t xml:space="preserve">  </w:t>
            </w:r>
          </w:p>
        </w:tc>
        <w:tc>
          <w:tcPr>
            <w:tcW w:w="1217" w:type="dxa"/>
            <w:tcBorders/>
            <w:shd w:fill="CCEEFF" w:val="clear"/>
            <w:tcMar>
              <w:bottom w:w="0" w:type="dxa"/>
            </w:tcMar>
            <w:vAlign w:val="center"/>
          </w:tcPr>
          <w:p>
            <w:pPr>
              <w:pStyle w:val="TableContents"/>
              <w:spacing w:before="0" w:after="0"/>
              <w:ind w:left="0" w:right="0" w:hanging="0"/>
              <w:jc w:val="right"/>
              <w:rPr/>
            </w:pPr>
            <w:r>
              <w:rPr/>
              <w:t>—</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269" w:type="dxa"/>
            <w:tcBorders/>
            <w:shd w:fill="CCEEFF" w:val="clear"/>
            <w:tcMar>
              <w:bottom w:w="0" w:type="dxa"/>
            </w:tcMar>
            <w:vAlign w:val="center"/>
          </w:tcPr>
          <w:p>
            <w:pPr>
              <w:pStyle w:val="TableContents"/>
              <w:spacing w:before="0" w:after="0"/>
              <w:ind w:left="0" w:right="0" w:hanging="0"/>
              <w:rPr/>
            </w:pPr>
            <w:r>
              <w:rPr/>
              <w:t xml:space="preserve">  </w:t>
            </w:r>
          </w:p>
        </w:tc>
        <w:tc>
          <w:tcPr>
            <w:tcW w:w="1212"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8.220</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41" w:type="dxa"/>
            <w:tcBorders/>
            <w:shd w:fill="CCEEFF" w:val="clear"/>
            <w:tcMar>
              <w:bottom w:w="0" w:type="dxa"/>
            </w:tcMar>
            <w:vAlign w:val="center"/>
          </w:tcPr>
          <w:p>
            <w:pPr>
              <w:pStyle w:val="TableContents"/>
              <w:spacing w:before="0" w:after="0"/>
              <w:ind w:left="0" w:right="0" w:hanging="0"/>
              <w:rPr/>
            </w:pPr>
            <w:r>
              <w:rPr/>
              <w:t xml:space="preserve">  </w:t>
            </w:r>
          </w:p>
        </w:tc>
        <w:tc>
          <w:tcPr>
            <w:tcW w:w="1034"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8-22-2013</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89" w:type="dxa"/>
            <w:tcBorders/>
            <w:shd w:fill="CCEEFF" w:val="clear"/>
            <w:tcMar>
              <w:bottom w:w="0" w:type="dxa"/>
            </w:tcMar>
            <w:vAlign w:val="center"/>
          </w:tcPr>
          <w:p>
            <w:pPr>
              <w:pStyle w:val="TableContents"/>
              <w:spacing w:before="0" w:after="0"/>
              <w:ind w:left="0" w:right="0" w:hanging="0"/>
              <w:rPr/>
            </w:pPr>
            <w:r>
              <w:rPr/>
              <w:t xml:space="preserve">  </w:t>
            </w:r>
          </w:p>
        </w:tc>
        <w:tc>
          <w:tcPr>
            <w:tcW w:w="1307"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8-22-2023</w:t>
            </w:r>
          </w:p>
        </w:tc>
        <w:tc>
          <w:tcPr>
            <w:tcW w:w="185" w:type="dxa"/>
            <w:tcBorders/>
            <w:shd w:fill="CCEEFF" w:val="clear"/>
            <w:tcMar>
              <w:bottom w:w="0" w:type="dxa"/>
            </w:tcMar>
            <w:vAlign w:val="center"/>
          </w:tcPr>
          <w:p>
            <w:pPr>
              <w:pStyle w:val="TableContents"/>
              <w:spacing w:before="0" w:after="0"/>
              <w:ind w:left="0" w:right="0" w:hanging="0"/>
              <w:rPr/>
            </w:pPr>
            <w:r>
              <w:rPr/>
              <w:t xml:space="preserve">  </w:t>
            </w:r>
          </w:p>
        </w:tc>
      </w:tr>
      <w:tr>
        <w:trPr/>
        <w:tc>
          <w:tcPr>
            <w:tcW w:w="1500"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276" w:type="dxa"/>
            <w:tcBorders/>
            <w:shd w:fill="auto" w:val="clear"/>
            <w:tcMar>
              <w:bottom w:w="0" w:type="dxa"/>
            </w:tcMar>
            <w:vAlign w:val="center"/>
          </w:tcPr>
          <w:p>
            <w:pPr>
              <w:pStyle w:val="TableContents"/>
              <w:spacing w:before="0" w:after="0"/>
              <w:ind w:left="0" w:right="0" w:hanging="0"/>
              <w:rPr/>
            </w:pPr>
            <w:r>
              <w:rPr/>
              <w:t xml:space="preserve">  </w:t>
            </w:r>
          </w:p>
        </w:tc>
        <w:tc>
          <w:tcPr>
            <w:tcW w:w="1206"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20,000</w:t>
            </w:r>
          </w:p>
        </w:tc>
        <w:tc>
          <w:tcPr>
            <w:tcW w:w="232" w:type="dxa"/>
            <w:tcBorders/>
            <w:shd w:fill="auto" w:val="clear"/>
            <w:tcMar>
              <w:bottom w:w="0" w:type="dxa"/>
            </w:tcMar>
            <w:vAlign w:val="center"/>
          </w:tcPr>
          <w:p>
            <w:pPr>
              <w:pStyle w:val="TableContents"/>
              <w:spacing w:before="0" w:after="0"/>
              <w:ind w:left="0" w:right="0" w:hanging="0"/>
              <w:rPr/>
            </w:pPr>
            <w:r>
              <w:rPr/>
              <w:t xml:space="preserve">  </w:t>
            </w:r>
          </w:p>
        </w:tc>
        <w:tc>
          <w:tcPr>
            <w:tcW w:w="232" w:type="dxa"/>
            <w:tcBorders/>
            <w:shd w:fill="auto" w:val="clear"/>
            <w:tcMar>
              <w:bottom w:w="0" w:type="dxa"/>
            </w:tcMar>
            <w:vAlign w:val="center"/>
          </w:tcPr>
          <w:p>
            <w:pPr>
              <w:pStyle w:val="TableContents"/>
              <w:spacing w:before="0" w:after="0"/>
              <w:ind w:left="0" w:right="0" w:hanging="0"/>
              <w:rPr/>
            </w:pPr>
            <w:r>
              <w:rPr/>
              <w:t xml:space="preserve">  </w:t>
            </w:r>
          </w:p>
        </w:tc>
        <w:tc>
          <w:tcPr>
            <w:tcW w:w="316" w:type="dxa"/>
            <w:tcBorders/>
            <w:shd w:fill="auto" w:val="clear"/>
            <w:tcMar>
              <w:bottom w:w="0" w:type="dxa"/>
            </w:tcMar>
            <w:vAlign w:val="center"/>
          </w:tcPr>
          <w:p>
            <w:pPr>
              <w:pStyle w:val="TableContents"/>
              <w:spacing w:before="0" w:after="0"/>
              <w:ind w:left="0" w:right="0" w:hanging="0"/>
              <w:rPr/>
            </w:pPr>
            <w:r>
              <w:rPr/>
              <w:t xml:space="preserve">  </w:t>
            </w:r>
          </w:p>
        </w:tc>
        <w:tc>
          <w:tcPr>
            <w:tcW w:w="1217" w:type="dxa"/>
            <w:tcBorders/>
            <w:shd w:fill="auto" w:val="clear"/>
            <w:tcMar>
              <w:bottom w:w="0" w:type="dxa"/>
            </w:tcMar>
            <w:vAlign w:val="center"/>
          </w:tcPr>
          <w:p>
            <w:pPr>
              <w:pStyle w:val="TableContents"/>
              <w:spacing w:before="0" w:after="0"/>
              <w:ind w:left="0" w:right="0" w:hanging="0"/>
              <w:jc w:val="right"/>
              <w:rPr/>
            </w:pPr>
            <w:r>
              <w:rPr/>
              <w:t>—</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269" w:type="dxa"/>
            <w:tcBorders/>
            <w:shd w:fill="auto" w:val="clear"/>
            <w:tcMar>
              <w:bottom w:w="0" w:type="dxa"/>
            </w:tcMar>
            <w:vAlign w:val="center"/>
          </w:tcPr>
          <w:p>
            <w:pPr>
              <w:pStyle w:val="TableContents"/>
              <w:spacing w:before="0" w:after="0"/>
              <w:ind w:left="0" w:right="0" w:hanging="0"/>
              <w:rPr/>
            </w:pPr>
            <w:r>
              <w:rPr/>
              <w:t xml:space="preserve">  </w:t>
            </w:r>
          </w:p>
        </w:tc>
        <w:tc>
          <w:tcPr>
            <w:tcW w:w="1212"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8.340</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41" w:type="dxa"/>
            <w:tcBorders/>
            <w:shd w:fill="auto" w:val="clear"/>
            <w:tcMar>
              <w:bottom w:w="0" w:type="dxa"/>
            </w:tcMar>
            <w:vAlign w:val="center"/>
          </w:tcPr>
          <w:p>
            <w:pPr>
              <w:pStyle w:val="TableContents"/>
              <w:spacing w:before="0" w:after="0"/>
              <w:ind w:left="0" w:right="0" w:hanging="0"/>
              <w:rPr/>
            </w:pPr>
            <w:r>
              <w:rPr/>
              <w:t xml:space="preserve">  </w:t>
            </w:r>
          </w:p>
        </w:tc>
        <w:tc>
          <w:tcPr>
            <w:tcW w:w="1034"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9-12-2014</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89" w:type="dxa"/>
            <w:tcBorders/>
            <w:shd w:fill="auto" w:val="clear"/>
            <w:tcMar>
              <w:bottom w:w="0" w:type="dxa"/>
            </w:tcMar>
            <w:vAlign w:val="center"/>
          </w:tcPr>
          <w:p>
            <w:pPr>
              <w:pStyle w:val="TableContents"/>
              <w:spacing w:before="0" w:after="0"/>
              <w:ind w:left="0" w:right="0" w:hanging="0"/>
              <w:rPr/>
            </w:pPr>
            <w:r>
              <w:rPr/>
              <w:t xml:space="preserve">  </w:t>
            </w:r>
          </w:p>
        </w:tc>
        <w:tc>
          <w:tcPr>
            <w:tcW w:w="1307"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9-12-2024</w:t>
            </w:r>
          </w:p>
        </w:tc>
        <w:tc>
          <w:tcPr>
            <w:tcW w:w="185" w:type="dxa"/>
            <w:tcBorders/>
            <w:shd w:fill="auto" w:val="clear"/>
            <w:tcMar>
              <w:bottom w:w="0" w:type="dxa"/>
            </w:tcMar>
            <w:vAlign w:val="center"/>
          </w:tcPr>
          <w:p>
            <w:pPr>
              <w:pStyle w:val="TableContents"/>
              <w:spacing w:before="0" w:after="0"/>
              <w:ind w:left="0" w:right="0" w:hanging="0"/>
              <w:rPr/>
            </w:pPr>
            <w:r>
              <w:rPr/>
              <w:t xml:space="preserve">  </w:t>
            </w:r>
          </w:p>
        </w:tc>
      </w:tr>
      <w:tr>
        <w:trPr/>
        <w:tc>
          <w:tcPr>
            <w:tcW w:w="1500"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276" w:type="dxa"/>
            <w:tcBorders/>
            <w:shd w:fill="CCEEFF" w:val="clear"/>
            <w:tcMar>
              <w:bottom w:w="0" w:type="dxa"/>
            </w:tcMar>
            <w:vAlign w:val="center"/>
          </w:tcPr>
          <w:p>
            <w:pPr>
              <w:pStyle w:val="TableContents"/>
              <w:spacing w:before="0" w:after="0"/>
              <w:ind w:left="0" w:right="0" w:hanging="0"/>
              <w:rPr/>
            </w:pPr>
            <w:r>
              <w:rPr/>
              <w:t xml:space="preserve">  </w:t>
            </w:r>
          </w:p>
        </w:tc>
        <w:tc>
          <w:tcPr>
            <w:tcW w:w="1206"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25,000</w:t>
            </w:r>
          </w:p>
        </w:tc>
        <w:tc>
          <w:tcPr>
            <w:tcW w:w="232" w:type="dxa"/>
            <w:tcBorders/>
            <w:shd w:fill="CCEEFF" w:val="clear"/>
            <w:tcMar>
              <w:bottom w:w="0" w:type="dxa"/>
            </w:tcMar>
            <w:vAlign w:val="center"/>
          </w:tcPr>
          <w:p>
            <w:pPr>
              <w:pStyle w:val="TableContents"/>
              <w:spacing w:before="0" w:after="0"/>
              <w:ind w:left="0" w:right="0" w:hanging="0"/>
              <w:rPr/>
            </w:pPr>
            <w:r>
              <w:rPr/>
              <w:t xml:space="preserve">  </w:t>
            </w:r>
          </w:p>
        </w:tc>
        <w:tc>
          <w:tcPr>
            <w:tcW w:w="232" w:type="dxa"/>
            <w:tcBorders/>
            <w:shd w:fill="CCEEFF" w:val="clear"/>
            <w:tcMar>
              <w:bottom w:w="0" w:type="dxa"/>
            </w:tcMar>
            <w:vAlign w:val="center"/>
          </w:tcPr>
          <w:p>
            <w:pPr>
              <w:pStyle w:val="TableContents"/>
              <w:spacing w:before="0" w:after="0"/>
              <w:ind w:left="0" w:right="0" w:hanging="0"/>
              <w:rPr/>
            </w:pPr>
            <w:r>
              <w:rPr/>
              <w:t xml:space="preserve">  </w:t>
            </w:r>
          </w:p>
        </w:tc>
        <w:tc>
          <w:tcPr>
            <w:tcW w:w="316" w:type="dxa"/>
            <w:tcBorders/>
            <w:shd w:fill="CCEEFF" w:val="clear"/>
            <w:tcMar>
              <w:bottom w:w="0" w:type="dxa"/>
            </w:tcMar>
            <w:vAlign w:val="center"/>
          </w:tcPr>
          <w:p>
            <w:pPr>
              <w:pStyle w:val="TableContents"/>
              <w:spacing w:before="0" w:after="0"/>
              <w:ind w:left="0" w:right="0" w:hanging="0"/>
              <w:rPr/>
            </w:pPr>
            <w:r>
              <w:rPr/>
              <w:t xml:space="preserve">  </w:t>
            </w:r>
          </w:p>
        </w:tc>
        <w:tc>
          <w:tcPr>
            <w:tcW w:w="1217" w:type="dxa"/>
            <w:tcBorders/>
            <w:shd w:fill="CCEEFF" w:val="clear"/>
            <w:tcMar>
              <w:bottom w:w="0" w:type="dxa"/>
            </w:tcMar>
            <w:vAlign w:val="center"/>
          </w:tcPr>
          <w:p>
            <w:pPr>
              <w:pStyle w:val="TableContents"/>
              <w:spacing w:before="0" w:after="0"/>
              <w:ind w:left="0" w:right="0" w:hanging="0"/>
              <w:jc w:val="right"/>
              <w:rPr/>
            </w:pPr>
            <w:r>
              <w:rPr/>
              <w:t>—</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269" w:type="dxa"/>
            <w:tcBorders/>
            <w:shd w:fill="CCEEFF" w:val="clear"/>
            <w:tcMar>
              <w:bottom w:w="0" w:type="dxa"/>
            </w:tcMar>
            <w:vAlign w:val="center"/>
          </w:tcPr>
          <w:p>
            <w:pPr>
              <w:pStyle w:val="TableContents"/>
              <w:spacing w:before="0" w:after="0"/>
              <w:ind w:left="0" w:right="0" w:hanging="0"/>
              <w:rPr/>
            </w:pPr>
            <w:r>
              <w:rPr/>
              <w:t xml:space="preserve">  </w:t>
            </w:r>
          </w:p>
        </w:tc>
        <w:tc>
          <w:tcPr>
            <w:tcW w:w="1212"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11.960</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41" w:type="dxa"/>
            <w:tcBorders/>
            <w:shd w:fill="CCEEFF" w:val="clear"/>
            <w:tcMar>
              <w:bottom w:w="0" w:type="dxa"/>
            </w:tcMar>
            <w:vAlign w:val="center"/>
          </w:tcPr>
          <w:p>
            <w:pPr>
              <w:pStyle w:val="TableContents"/>
              <w:spacing w:before="0" w:after="0"/>
              <w:ind w:left="0" w:right="0" w:hanging="0"/>
              <w:rPr/>
            </w:pPr>
            <w:r>
              <w:rPr/>
              <w:t xml:space="preserve">  </w:t>
            </w:r>
          </w:p>
        </w:tc>
        <w:tc>
          <w:tcPr>
            <w:tcW w:w="1034"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3-11-2016</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89" w:type="dxa"/>
            <w:tcBorders/>
            <w:shd w:fill="CCEEFF" w:val="clear"/>
            <w:tcMar>
              <w:bottom w:w="0" w:type="dxa"/>
            </w:tcMar>
            <w:vAlign w:val="center"/>
          </w:tcPr>
          <w:p>
            <w:pPr>
              <w:pStyle w:val="TableContents"/>
              <w:spacing w:before="0" w:after="0"/>
              <w:ind w:left="0" w:right="0" w:hanging="0"/>
              <w:rPr/>
            </w:pPr>
            <w:r>
              <w:rPr/>
              <w:t xml:space="preserve">  </w:t>
            </w:r>
          </w:p>
        </w:tc>
        <w:tc>
          <w:tcPr>
            <w:tcW w:w="1307"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3-11-2026</w:t>
            </w:r>
          </w:p>
        </w:tc>
        <w:tc>
          <w:tcPr>
            <w:tcW w:w="185" w:type="dxa"/>
            <w:tcBorders/>
            <w:shd w:fill="CCEEFF" w:val="clear"/>
            <w:tcMar>
              <w:bottom w:w="0" w:type="dxa"/>
            </w:tcMar>
            <w:vAlign w:val="center"/>
          </w:tcPr>
          <w:p>
            <w:pPr>
              <w:pStyle w:val="TableContents"/>
              <w:spacing w:before="0" w:after="0"/>
              <w:ind w:left="0" w:right="0" w:hanging="0"/>
              <w:rPr/>
            </w:pPr>
            <w:r>
              <w:rPr/>
              <w:t xml:space="preserve">  </w:t>
            </w:r>
          </w:p>
        </w:tc>
      </w:tr>
      <w:tr>
        <w:trPr/>
        <w:tc>
          <w:tcPr>
            <w:tcW w:w="1500"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276" w:type="dxa"/>
            <w:tcBorders/>
            <w:shd w:fill="auto" w:val="clear"/>
            <w:tcMar>
              <w:bottom w:w="0" w:type="dxa"/>
            </w:tcMar>
            <w:vAlign w:val="center"/>
          </w:tcPr>
          <w:p>
            <w:pPr>
              <w:pStyle w:val="TableContents"/>
              <w:spacing w:before="0" w:after="0"/>
              <w:ind w:left="0" w:right="0" w:hanging="0"/>
              <w:rPr/>
            </w:pPr>
            <w:r>
              <w:rPr/>
              <w:t xml:space="preserve">  </w:t>
            </w:r>
          </w:p>
        </w:tc>
        <w:tc>
          <w:tcPr>
            <w:tcW w:w="1206"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2,500</w:t>
            </w:r>
          </w:p>
        </w:tc>
        <w:tc>
          <w:tcPr>
            <w:tcW w:w="232" w:type="dxa"/>
            <w:tcBorders/>
            <w:shd w:fill="auto" w:val="clear"/>
            <w:tcMar>
              <w:bottom w:w="0" w:type="dxa"/>
            </w:tcMar>
            <w:vAlign w:val="center"/>
          </w:tcPr>
          <w:p>
            <w:pPr>
              <w:pStyle w:val="TableContents"/>
              <w:spacing w:before="0" w:after="0"/>
              <w:ind w:left="0" w:right="0" w:hanging="0"/>
              <w:rPr/>
            </w:pPr>
            <w:r>
              <w:rPr/>
              <w:t xml:space="preserve">  </w:t>
            </w:r>
          </w:p>
        </w:tc>
        <w:tc>
          <w:tcPr>
            <w:tcW w:w="232" w:type="dxa"/>
            <w:tcBorders/>
            <w:shd w:fill="auto" w:val="clear"/>
            <w:tcMar>
              <w:bottom w:w="0" w:type="dxa"/>
            </w:tcMar>
            <w:vAlign w:val="center"/>
          </w:tcPr>
          <w:p>
            <w:pPr>
              <w:pStyle w:val="TableContents"/>
              <w:spacing w:before="0" w:after="0"/>
              <w:ind w:left="0" w:right="0" w:hanging="0"/>
              <w:rPr/>
            </w:pPr>
            <w:r>
              <w:rPr/>
              <w:t xml:space="preserve">  </w:t>
            </w:r>
          </w:p>
        </w:tc>
        <w:tc>
          <w:tcPr>
            <w:tcW w:w="316" w:type="dxa"/>
            <w:tcBorders/>
            <w:shd w:fill="auto" w:val="clear"/>
            <w:tcMar>
              <w:bottom w:w="0" w:type="dxa"/>
            </w:tcMar>
            <w:vAlign w:val="center"/>
          </w:tcPr>
          <w:p>
            <w:pPr>
              <w:pStyle w:val="TableContents"/>
              <w:spacing w:before="0" w:after="0"/>
              <w:ind w:left="0" w:right="0" w:hanging="0"/>
              <w:rPr/>
            </w:pPr>
            <w:r>
              <w:rPr/>
              <w:t xml:space="preserve">  </w:t>
            </w:r>
          </w:p>
        </w:tc>
        <w:tc>
          <w:tcPr>
            <w:tcW w:w="1217" w:type="dxa"/>
            <w:tcBorders/>
            <w:shd w:fill="auto" w:val="clear"/>
            <w:tcMar>
              <w:bottom w:w="0" w:type="dxa"/>
            </w:tcMar>
            <w:vAlign w:val="center"/>
          </w:tcPr>
          <w:p>
            <w:pPr>
              <w:pStyle w:val="TableContents"/>
              <w:spacing w:before="0" w:after="0"/>
              <w:ind w:left="0" w:right="0" w:hanging="0"/>
              <w:jc w:val="right"/>
              <w:rPr/>
            </w:pPr>
            <w:r>
              <w:rPr/>
              <w:t>—</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269" w:type="dxa"/>
            <w:tcBorders/>
            <w:shd w:fill="auto" w:val="clear"/>
            <w:tcMar>
              <w:bottom w:w="0" w:type="dxa"/>
            </w:tcMar>
            <w:vAlign w:val="center"/>
          </w:tcPr>
          <w:p>
            <w:pPr>
              <w:pStyle w:val="TableContents"/>
              <w:spacing w:before="0" w:after="0"/>
              <w:ind w:left="0" w:right="0" w:hanging="0"/>
              <w:rPr/>
            </w:pPr>
            <w:r>
              <w:rPr/>
              <w:t xml:space="preserve">  </w:t>
            </w:r>
          </w:p>
        </w:tc>
        <w:tc>
          <w:tcPr>
            <w:tcW w:w="1212"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11.000</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41" w:type="dxa"/>
            <w:tcBorders/>
            <w:shd w:fill="auto" w:val="clear"/>
            <w:tcMar>
              <w:bottom w:w="0" w:type="dxa"/>
            </w:tcMar>
            <w:vAlign w:val="center"/>
          </w:tcPr>
          <w:p>
            <w:pPr>
              <w:pStyle w:val="TableContents"/>
              <w:spacing w:before="0" w:after="0"/>
              <w:ind w:left="0" w:right="0" w:hanging="0"/>
              <w:rPr/>
            </w:pPr>
            <w:r>
              <w:rPr/>
              <w:t xml:space="preserve">  </w:t>
            </w:r>
          </w:p>
        </w:tc>
        <w:tc>
          <w:tcPr>
            <w:tcW w:w="1034"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12-14-2016</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27" w:type="dxa"/>
            <w:tcBorders/>
            <w:shd w:fill="auto" w:val="clear"/>
            <w:tcMar>
              <w:bottom w:w="0" w:type="dxa"/>
            </w:tcMar>
            <w:vAlign w:val="center"/>
          </w:tcPr>
          <w:p>
            <w:pPr>
              <w:pStyle w:val="TableContents"/>
              <w:spacing w:before="0" w:after="0"/>
              <w:ind w:left="0" w:right="0" w:hanging="0"/>
              <w:rPr/>
            </w:pPr>
            <w:r>
              <w:rPr/>
              <w:t xml:space="preserve">  </w:t>
            </w:r>
          </w:p>
        </w:tc>
        <w:tc>
          <w:tcPr>
            <w:tcW w:w="189" w:type="dxa"/>
            <w:tcBorders/>
            <w:shd w:fill="auto" w:val="clear"/>
            <w:tcMar>
              <w:bottom w:w="0" w:type="dxa"/>
            </w:tcMar>
            <w:vAlign w:val="center"/>
          </w:tcPr>
          <w:p>
            <w:pPr>
              <w:pStyle w:val="TableContents"/>
              <w:spacing w:before="0" w:after="0"/>
              <w:ind w:left="0" w:right="0" w:hanging="0"/>
              <w:rPr/>
            </w:pPr>
            <w:r>
              <w:rPr/>
              <w:t xml:space="preserve">  </w:t>
            </w:r>
          </w:p>
        </w:tc>
        <w:tc>
          <w:tcPr>
            <w:tcW w:w="1307"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12-14-2026</w:t>
            </w:r>
          </w:p>
        </w:tc>
        <w:tc>
          <w:tcPr>
            <w:tcW w:w="185" w:type="dxa"/>
            <w:tcBorders/>
            <w:shd w:fill="auto" w:val="clear"/>
            <w:tcMar>
              <w:bottom w:w="0" w:type="dxa"/>
            </w:tcMar>
            <w:vAlign w:val="center"/>
          </w:tcPr>
          <w:p>
            <w:pPr>
              <w:pStyle w:val="TableContents"/>
              <w:spacing w:before="0" w:after="0"/>
              <w:ind w:left="0" w:right="0" w:hanging="0"/>
              <w:rPr/>
            </w:pPr>
            <w:r>
              <w:rPr/>
              <w:t xml:space="preserve">  </w:t>
            </w:r>
          </w:p>
        </w:tc>
      </w:tr>
      <w:tr>
        <w:trPr/>
        <w:tc>
          <w:tcPr>
            <w:tcW w:w="1500"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276" w:type="dxa"/>
            <w:tcBorders/>
            <w:shd w:fill="CCEEFF" w:val="clear"/>
            <w:tcMar>
              <w:bottom w:w="0" w:type="dxa"/>
            </w:tcMar>
            <w:vAlign w:val="center"/>
          </w:tcPr>
          <w:p>
            <w:pPr>
              <w:pStyle w:val="TableContents"/>
              <w:spacing w:before="0" w:after="0"/>
              <w:ind w:left="0" w:right="0" w:hanging="0"/>
              <w:rPr/>
            </w:pPr>
            <w:r>
              <w:rPr/>
              <w:t xml:space="preserve">  </w:t>
            </w:r>
          </w:p>
        </w:tc>
        <w:tc>
          <w:tcPr>
            <w:tcW w:w="1206"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20,000</w:t>
            </w:r>
          </w:p>
        </w:tc>
        <w:tc>
          <w:tcPr>
            <w:tcW w:w="232" w:type="dxa"/>
            <w:tcBorders/>
            <w:shd w:fill="CCEEFF" w:val="clear"/>
            <w:tcMar>
              <w:bottom w:w="0" w:type="dxa"/>
            </w:tcMar>
            <w:vAlign w:val="center"/>
          </w:tcPr>
          <w:p>
            <w:pPr>
              <w:pStyle w:val="TableContents"/>
              <w:spacing w:before="0" w:after="0"/>
              <w:ind w:left="0" w:right="0" w:hanging="0"/>
              <w:rPr/>
            </w:pPr>
            <w:r>
              <w:rPr/>
              <w:t xml:space="preserve">  </w:t>
            </w:r>
          </w:p>
        </w:tc>
        <w:tc>
          <w:tcPr>
            <w:tcW w:w="232" w:type="dxa"/>
            <w:tcBorders/>
            <w:shd w:fill="CCEEFF" w:val="clear"/>
            <w:tcMar>
              <w:bottom w:w="0" w:type="dxa"/>
            </w:tcMar>
            <w:vAlign w:val="center"/>
          </w:tcPr>
          <w:p>
            <w:pPr>
              <w:pStyle w:val="TableContents"/>
              <w:spacing w:before="0" w:after="0"/>
              <w:ind w:left="0" w:right="0" w:hanging="0"/>
              <w:rPr/>
            </w:pPr>
            <w:r>
              <w:rPr/>
              <w:t xml:space="preserve">  </w:t>
            </w:r>
          </w:p>
        </w:tc>
        <w:tc>
          <w:tcPr>
            <w:tcW w:w="316" w:type="dxa"/>
            <w:tcBorders/>
            <w:shd w:fill="CCEEFF" w:val="clear"/>
            <w:tcMar>
              <w:bottom w:w="0" w:type="dxa"/>
            </w:tcMar>
            <w:vAlign w:val="center"/>
          </w:tcPr>
          <w:p>
            <w:pPr>
              <w:pStyle w:val="TableContents"/>
              <w:spacing w:before="0" w:after="0"/>
              <w:ind w:left="0" w:right="0" w:hanging="0"/>
              <w:rPr/>
            </w:pPr>
            <w:r>
              <w:rPr/>
              <w:t xml:space="preserve">  </w:t>
            </w:r>
          </w:p>
        </w:tc>
        <w:tc>
          <w:tcPr>
            <w:tcW w:w="1217" w:type="dxa"/>
            <w:tcBorders/>
            <w:shd w:fill="CCEEFF" w:val="clear"/>
            <w:tcMar>
              <w:bottom w:w="0" w:type="dxa"/>
            </w:tcMar>
            <w:vAlign w:val="center"/>
          </w:tcPr>
          <w:p>
            <w:pPr>
              <w:pStyle w:val="TableContents"/>
              <w:spacing w:before="0" w:after="0"/>
              <w:ind w:left="0" w:right="0" w:hanging="0"/>
              <w:jc w:val="right"/>
              <w:rPr/>
            </w:pPr>
            <w:r>
              <w:rPr/>
              <w:t>—</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269" w:type="dxa"/>
            <w:tcBorders/>
            <w:shd w:fill="CCEEFF" w:val="clear"/>
            <w:tcMar>
              <w:bottom w:w="0" w:type="dxa"/>
            </w:tcMar>
            <w:vAlign w:val="center"/>
          </w:tcPr>
          <w:p>
            <w:pPr>
              <w:pStyle w:val="TableContents"/>
              <w:spacing w:before="0" w:after="0"/>
              <w:ind w:left="0" w:right="0" w:hanging="0"/>
              <w:rPr/>
            </w:pPr>
            <w:r>
              <w:rPr/>
              <w:t xml:space="preserve">  </w:t>
            </w:r>
          </w:p>
        </w:tc>
        <w:tc>
          <w:tcPr>
            <w:tcW w:w="1212"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9.900</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41" w:type="dxa"/>
            <w:tcBorders/>
            <w:shd w:fill="CCEEFF" w:val="clear"/>
            <w:tcMar>
              <w:bottom w:w="0" w:type="dxa"/>
            </w:tcMar>
            <w:vAlign w:val="center"/>
          </w:tcPr>
          <w:p>
            <w:pPr>
              <w:pStyle w:val="TableContents"/>
              <w:spacing w:before="0" w:after="0"/>
              <w:ind w:left="0" w:right="0" w:hanging="0"/>
              <w:rPr/>
            </w:pPr>
            <w:r>
              <w:rPr/>
              <w:t xml:space="preserve">  </w:t>
            </w:r>
          </w:p>
        </w:tc>
        <w:tc>
          <w:tcPr>
            <w:tcW w:w="1034"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6-1-2017</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27" w:type="dxa"/>
            <w:tcBorders/>
            <w:shd w:fill="CCEEFF" w:val="clear"/>
            <w:tcMar>
              <w:bottom w:w="0" w:type="dxa"/>
            </w:tcMar>
            <w:vAlign w:val="center"/>
          </w:tcPr>
          <w:p>
            <w:pPr>
              <w:pStyle w:val="TableContents"/>
              <w:spacing w:before="0" w:after="0"/>
              <w:ind w:left="0" w:right="0" w:hanging="0"/>
              <w:rPr/>
            </w:pPr>
            <w:r>
              <w:rPr/>
              <w:t xml:space="preserve">  </w:t>
            </w:r>
          </w:p>
        </w:tc>
        <w:tc>
          <w:tcPr>
            <w:tcW w:w="189" w:type="dxa"/>
            <w:tcBorders/>
            <w:shd w:fill="CCEEFF" w:val="clear"/>
            <w:tcMar>
              <w:bottom w:w="0" w:type="dxa"/>
            </w:tcMar>
            <w:vAlign w:val="center"/>
          </w:tcPr>
          <w:p>
            <w:pPr>
              <w:pStyle w:val="TableContents"/>
              <w:spacing w:before="0" w:after="0"/>
              <w:ind w:left="0" w:right="0" w:hanging="0"/>
              <w:rPr/>
            </w:pPr>
            <w:r>
              <w:rPr/>
              <w:t xml:space="preserve">  </w:t>
            </w:r>
          </w:p>
        </w:tc>
        <w:tc>
          <w:tcPr>
            <w:tcW w:w="1307"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6-1-2027</w:t>
            </w:r>
          </w:p>
        </w:tc>
        <w:tc>
          <w:tcPr>
            <w:tcW w:w="185" w:type="dxa"/>
            <w:tcBorders/>
            <w:shd w:fill="CCEEFF" w:val="clear"/>
            <w:tcMar>
              <w:bottom w:w="0" w:type="dxa"/>
            </w:tcMar>
            <w:vAlign w:val="center"/>
          </w:tcPr>
          <w:p>
            <w:pPr>
              <w:pStyle w:val="TableContents"/>
              <w:spacing w:before="0" w:after="0"/>
              <w:ind w:left="0" w:right="0" w:hanging="0"/>
              <w:rPr/>
            </w:pPr>
            <w:r>
              <w:rPr/>
              <w:t xml:space="preserve">  </w:t>
            </w:r>
          </w:p>
        </w:tc>
      </w:tr>
      <w:tr>
        <w:trPr/>
        <w:tc>
          <w:tcPr>
            <w:tcW w:w="1500" w:type="dxa"/>
            <w:tcBorders>
              <w:bottom w:val="single" w:sz="8" w:space="0" w:color="000000"/>
            </w:tcBorders>
            <w:shd w:fill="auto" w:val="clear"/>
            <w:vAlign w:val="center"/>
          </w:tcPr>
          <w:p>
            <w:pPr>
              <w:pStyle w:val="TableContents"/>
              <w:spacing w:before="0" w:after="283"/>
              <w:rPr/>
            </w:pPr>
            <w:r>
              <w:rPr/>
            </w:r>
          </w:p>
        </w:tc>
        <w:tc>
          <w:tcPr>
            <w:tcW w:w="127" w:type="dxa"/>
            <w:tcBorders>
              <w:bottom w:val="single" w:sz="8" w:space="0" w:color="000000"/>
            </w:tcBorders>
            <w:shd w:fill="auto" w:val="clear"/>
            <w:vAlign w:val="center"/>
          </w:tcPr>
          <w:p>
            <w:pPr>
              <w:pStyle w:val="TableContents"/>
              <w:spacing w:before="0" w:after="283"/>
              <w:rPr/>
            </w:pPr>
            <w:r>
              <w:rPr/>
            </w:r>
          </w:p>
        </w:tc>
        <w:tc>
          <w:tcPr>
            <w:tcW w:w="276" w:type="dxa"/>
            <w:tcBorders>
              <w:bottom w:val="single" w:sz="8" w:space="0" w:color="000000"/>
            </w:tcBorders>
            <w:shd w:fill="auto" w:val="clear"/>
            <w:vAlign w:val="center"/>
          </w:tcPr>
          <w:p>
            <w:pPr>
              <w:pStyle w:val="TableContents"/>
              <w:spacing w:before="0" w:after="283"/>
              <w:rPr/>
            </w:pPr>
            <w:r>
              <w:rPr/>
            </w:r>
          </w:p>
        </w:tc>
        <w:tc>
          <w:tcPr>
            <w:tcW w:w="1206" w:type="dxa"/>
            <w:tcBorders>
              <w:bottom w:val="single" w:sz="8" w:space="0" w:color="000000"/>
            </w:tcBorders>
            <w:shd w:fill="auto" w:val="clear"/>
            <w:vAlign w:val="center"/>
          </w:tcPr>
          <w:p>
            <w:pPr>
              <w:pStyle w:val="TableContents"/>
              <w:spacing w:before="0" w:after="283"/>
              <w:jc w:val="right"/>
              <w:rPr>
                <w:rFonts w:ascii="times new roman;times" w:hAnsi="times new roman;times"/>
              </w:rPr>
            </w:pPr>
            <w:r>
              <w:rPr>
                <w:rFonts w:ascii="times new roman;times" w:hAnsi="times new roman;times"/>
              </w:rPr>
              <w:t>20,000</w:t>
            </w:r>
          </w:p>
        </w:tc>
        <w:tc>
          <w:tcPr>
            <w:tcW w:w="232" w:type="dxa"/>
            <w:tcBorders>
              <w:bottom w:val="single" w:sz="8" w:space="0" w:color="000000"/>
            </w:tcBorders>
            <w:shd w:fill="auto" w:val="clear"/>
            <w:vAlign w:val="center"/>
          </w:tcPr>
          <w:p>
            <w:pPr>
              <w:pStyle w:val="TableContents"/>
              <w:spacing w:before="0" w:after="283"/>
              <w:rPr/>
            </w:pPr>
            <w:r>
              <w:rPr/>
            </w:r>
          </w:p>
        </w:tc>
        <w:tc>
          <w:tcPr>
            <w:tcW w:w="232" w:type="dxa"/>
            <w:tcBorders>
              <w:bottom w:val="single" w:sz="8" w:space="0" w:color="000000"/>
            </w:tcBorders>
            <w:shd w:fill="auto" w:val="clear"/>
            <w:vAlign w:val="center"/>
          </w:tcPr>
          <w:p>
            <w:pPr>
              <w:pStyle w:val="TableContents"/>
              <w:spacing w:before="0" w:after="283"/>
              <w:rPr/>
            </w:pPr>
            <w:r>
              <w:rPr/>
            </w:r>
          </w:p>
        </w:tc>
        <w:tc>
          <w:tcPr>
            <w:tcW w:w="316" w:type="dxa"/>
            <w:tcBorders>
              <w:bottom w:val="single" w:sz="8" w:space="0" w:color="000000"/>
            </w:tcBorders>
            <w:shd w:fill="auto" w:val="clear"/>
            <w:vAlign w:val="center"/>
          </w:tcPr>
          <w:p>
            <w:pPr>
              <w:pStyle w:val="TableContents"/>
              <w:spacing w:before="0" w:after="283"/>
              <w:rPr/>
            </w:pPr>
            <w:r>
              <w:rPr/>
            </w:r>
          </w:p>
        </w:tc>
        <w:tc>
          <w:tcPr>
            <w:tcW w:w="1217" w:type="dxa"/>
            <w:tcBorders>
              <w:bottom w:val="single" w:sz="8" w:space="0" w:color="000000"/>
            </w:tcBorders>
            <w:shd w:fill="auto" w:val="clear"/>
            <w:vAlign w:val="center"/>
          </w:tcPr>
          <w:p>
            <w:pPr>
              <w:pStyle w:val="TableContents"/>
              <w:spacing w:before="0" w:after="283"/>
              <w:jc w:val="right"/>
              <w:rPr>
                <w:rFonts w:ascii="times new roman;times" w:hAnsi="times new roman;times"/>
              </w:rPr>
            </w:pPr>
            <w:r>
              <w:rPr>
                <w:rFonts w:ascii="times new roman;times" w:hAnsi="times new roman;times"/>
              </w:rPr>
              <w:t>10,000</w:t>
            </w:r>
          </w:p>
        </w:tc>
        <w:tc>
          <w:tcPr>
            <w:tcW w:w="127" w:type="dxa"/>
            <w:tcBorders>
              <w:bottom w:val="single" w:sz="8" w:space="0" w:color="000000"/>
            </w:tcBorders>
            <w:shd w:fill="auto" w:val="clear"/>
            <w:vAlign w:val="center"/>
          </w:tcPr>
          <w:p>
            <w:pPr>
              <w:pStyle w:val="TableContents"/>
              <w:spacing w:before="0" w:after="283"/>
              <w:rPr/>
            </w:pPr>
            <w:r>
              <w:rPr/>
            </w:r>
          </w:p>
        </w:tc>
        <w:tc>
          <w:tcPr>
            <w:tcW w:w="127" w:type="dxa"/>
            <w:tcBorders>
              <w:bottom w:val="single" w:sz="8" w:space="0" w:color="000000"/>
            </w:tcBorders>
            <w:shd w:fill="auto" w:val="clear"/>
            <w:vAlign w:val="center"/>
          </w:tcPr>
          <w:p>
            <w:pPr>
              <w:pStyle w:val="TableContents"/>
              <w:spacing w:before="0" w:after="283"/>
              <w:rPr/>
            </w:pPr>
            <w:r>
              <w:rPr/>
            </w:r>
          </w:p>
        </w:tc>
        <w:tc>
          <w:tcPr>
            <w:tcW w:w="269" w:type="dxa"/>
            <w:tcBorders>
              <w:bottom w:val="single" w:sz="8" w:space="0" w:color="000000"/>
            </w:tcBorders>
            <w:shd w:fill="auto" w:val="clear"/>
            <w:vAlign w:val="center"/>
          </w:tcPr>
          <w:p>
            <w:pPr>
              <w:pStyle w:val="TableContents"/>
              <w:spacing w:before="0" w:after="283"/>
              <w:rPr/>
            </w:pPr>
            <w:r>
              <w:rPr/>
            </w:r>
          </w:p>
        </w:tc>
        <w:tc>
          <w:tcPr>
            <w:tcW w:w="1212" w:type="dxa"/>
            <w:tcBorders>
              <w:bottom w:val="single" w:sz="8" w:space="0" w:color="000000"/>
            </w:tcBorders>
            <w:shd w:fill="auto" w:val="clear"/>
            <w:vAlign w:val="center"/>
          </w:tcPr>
          <w:p>
            <w:pPr>
              <w:pStyle w:val="TableContents"/>
              <w:spacing w:before="0" w:after="283"/>
              <w:jc w:val="right"/>
              <w:rPr>
                <w:rFonts w:ascii="times new roman;times" w:hAnsi="times new roman;times"/>
              </w:rPr>
            </w:pPr>
            <w:r>
              <w:rPr>
                <w:rFonts w:ascii="times new roman;times" w:hAnsi="times new roman;times"/>
              </w:rPr>
              <w:t>2.500</w:t>
            </w:r>
          </w:p>
        </w:tc>
        <w:tc>
          <w:tcPr>
            <w:tcW w:w="127" w:type="dxa"/>
            <w:tcBorders>
              <w:bottom w:val="single" w:sz="8" w:space="0" w:color="000000"/>
            </w:tcBorders>
            <w:shd w:fill="auto" w:val="clear"/>
            <w:vAlign w:val="center"/>
          </w:tcPr>
          <w:p>
            <w:pPr>
              <w:pStyle w:val="TableContents"/>
              <w:spacing w:before="0" w:after="283"/>
              <w:rPr/>
            </w:pPr>
            <w:r>
              <w:rPr/>
            </w:r>
          </w:p>
        </w:tc>
        <w:tc>
          <w:tcPr>
            <w:tcW w:w="127" w:type="dxa"/>
            <w:tcBorders>
              <w:bottom w:val="single" w:sz="8" w:space="0" w:color="000000"/>
            </w:tcBorders>
            <w:shd w:fill="auto" w:val="clear"/>
            <w:vAlign w:val="center"/>
          </w:tcPr>
          <w:p>
            <w:pPr>
              <w:pStyle w:val="TableContents"/>
              <w:spacing w:before="0" w:after="283"/>
              <w:rPr/>
            </w:pPr>
            <w:r>
              <w:rPr/>
            </w:r>
          </w:p>
        </w:tc>
        <w:tc>
          <w:tcPr>
            <w:tcW w:w="141" w:type="dxa"/>
            <w:tcBorders>
              <w:bottom w:val="single" w:sz="8" w:space="0" w:color="000000"/>
            </w:tcBorders>
            <w:shd w:fill="auto" w:val="clear"/>
            <w:vAlign w:val="center"/>
          </w:tcPr>
          <w:p>
            <w:pPr>
              <w:pStyle w:val="TableContents"/>
              <w:spacing w:before="0" w:after="283"/>
              <w:rPr/>
            </w:pPr>
            <w:r>
              <w:rPr/>
            </w:r>
          </w:p>
        </w:tc>
        <w:tc>
          <w:tcPr>
            <w:tcW w:w="1034" w:type="dxa"/>
            <w:tcBorders>
              <w:bottom w:val="single" w:sz="8" w:space="0" w:color="000000"/>
            </w:tcBorders>
            <w:shd w:fill="auto" w:val="clear"/>
            <w:vAlign w:val="center"/>
          </w:tcPr>
          <w:p>
            <w:pPr>
              <w:pStyle w:val="TableContents"/>
              <w:spacing w:before="0" w:after="283"/>
              <w:jc w:val="right"/>
              <w:rPr>
                <w:rFonts w:ascii="times new roman;times" w:hAnsi="times new roman;times"/>
              </w:rPr>
            </w:pPr>
            <w:r>
              <w:rPr>
                <w:rFonts w:ascii="times new roman;times" w:hAnsi="times new roman;times"/>
              </w:rPr>
              <w:t>12-14-2020</w:t>
            </w:r>
          </w:p>
        </w:tc>
        <w:tc>
          <w:tcPr>
            <w:tcW w:w="127" w:type="dxa"/>
            <w:tcBorders>
              <w:bottom w:val="single" w:sz="8" w:space="0" w:color="000000"/>
            </w:tcBorders>
            <w:shd w:fill="auto" w:val="clear"/>
            <w:vAlign w:val="center"/>
          </w:tcPr>
          <w:p>
            <w:pPr>
              <w:pStyle w:val="TableContents"/>
              <w:spacing w:before="0" w:after="283"/>
              <w:rPr/>
            </w:pPr>
            <w:r>
              <w:rPr/>
            </w:r>
          </w:p>
        </w:tc>
        <w:tc>
          <w:tcPr>
            <w:tcW w:w="127" w:type="dxa"/>
            <w:tcBorders>
              <w:bottom w:val="single" w:sz="8" w:space="0" w:color="000000"/>
            </w:tcBorders>
            <w:shd w:fill="auto" w:val="clear"/>
            <w:vAlign w:val="center"/>
          </w:tcPr>
          <w:p>
            <w:pPr>
              <w:pStyle w:val="TableContents"/>
              <w:spacing w:before="0" w:after="283"/>
              <w:rPr/>
            </w:pPr>
            <w:r>
              <w:rPr/>
            </w:r>
          </w:p>
        </w:tc>
        <w:tc>
          <w:tcPr>
            <w:tcW w:w="189" w:type="dxa"/>
            <w:tcBorders>
              <w:bottom w:val="single" w:sz="8" w:space="0" w:color="000000"/>
            </w:tcBorders>
            <w:shd w:fill="auto" w:val="clear"/>
            <w:vAlign w:val="center"/>
          </w:tcPr>
          <w:p>
            <w:pPr>
              <w:pStyle w:val="TableContents"/>
              <w:spacing w:before="0" w:after="283"/>
              <w:rPr/>
            </w:pPr>
            <w:r>
              <w:rPr/>
            </w:r>
          </w:p>
        </w:tc>
        <w:tc>
          <w:tcPr>
            <w:tcW w:w="1307" w:type="dxa"/>
            <w:tcBorders>
              <w:bottom w:val="single" w:sz="8" w:space="0" w:color="000000"/>
            </w:tcBorders>
            <w:shd w:fill="auto" w:val="clear"/>
            <w:vAlign w:val="center"/>
          </w:tcPr>
          <w:p>
            <w:pPr>
              <w:pStyle w:val="TableContents"/>
              <w:spacing w:before="0" w:after="283"/>
              <w:jc w:val="right"/>
              <w:rPr>
                <w:rFonts w:ascii="times new roman;times" w:hAnsi="times new roman;times"/>
              </w:rPr>
            </w:pPr>
            <w:r>
              <w:rPr>
                <w:rFonts w:ascii="times new roman;times" w:hAnsi="times new roman;times"/>
              </w:rPr>
              <w:t>12-14-2026</w:t>
            </w:r>
          </w:p>
        </w:tc>
        <w:tc>
          <w:tcPr>
            <w:tcW w:w="185" w:type="dxa"/>
            <w:tcBorders/>
            <w:shd w:fill="auto" w:val="clear"/>
            <w:tcMar>
              <w:bottom w:w="0" w:type="dxa"/>
            </w:tcMar>
            <w:vAlign w:val="center"/>
          </w:tcPr>
          <w:p>
            <w:pPr>
              <w:pStyle w:val="TableContents"/>
              <w:spacing w:before="0" w:after="283"/>
              <w:rPr/>
            </w:pPr>
            <w:r>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(1)</w:t>
            </w:r>
          </w:p>
        </w:tc>
        <w:tc>
          <w:tcPr>
            <w:tcW w:w="9944"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One-third of the shares underlying each stock option vest on the first anniversary of the grant date and the remaining shares vest equally over a period of 24 months following the first anniversary of the grant date.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144" w:right="144" w:hanging="0"/>
        <w:jc w:val="both"/>
        <w:rPr/>
      </w:pPr>
      <w:r>
        <w:rPr/>
        <w:t> </w:t>
      </w:r>
    </w:p>
    <w:p>
      <w:pPr>
        <w:pStyle w:val="TextBody"/>
        <w:widowControl/>
        <w:spacing w:before="0" w:after="0"/>
        <w:ind w:left="0" w:right="0" w:hanging="0"/>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OPTION EXERCISES AND STOCK VESTED</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were no exercises of stock options by named executive officers during 2022.</w:t>
      </w:r>
    </w:p>
    <w:p>
      <w:pPr>
        <w:pStyle w:val="TextBody"/>
        <w:spacing w:lineRule="auto" w:line="240" w:before="0" w:after="0"/>
        <w:ind w:left="144" w:right="144" w:hanging="0"/>
        <w:jc w:val="both"/>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42</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pPr>
      <w:r>
        <w:rPr/>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DIRECTOR COMPENSATION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following table summarizes the compensation paid by us to non-employee directors for the year ended December 31, 2022. Ms. Hakimoglu did not receive additional compensation for her service as a director.</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28" w:type="dxa"/>
          <w:right w:w="0" w:type="dxa"/>
        </w:tblCellMar>
      </w:tblPr>
      <w:tblGrid>
        <w:gridCol w:w="1841"/>
        <w:gridCol w:w="169"/>
        <w:gridCol w:w="564"/>
        <w:gridCol w:w="2001"/>
        <w:gridCol w:w="168"/>
        <w:gridCol w:w="169"/>
        <w:gridCol w:w="504"/>
        <w:gridCol w:w="949"/>
        <w:gridCol w:w="169"/>
        <w:gridCol w:w="168"/>
        <w:gridCol w:w="669"/>
        <w:gridCol w:w="1256"/>
        <w:gridCol w:w="168"/>
        <w:gridCol w:w="169"/>
        <w:gridCol w:w="224"/>
        <w:gridCol w:w="798"/>
        <w:gridCol w:w="219"/>
      </w:tblGrid>
      <w:tr>
        <w:trPr/>
        <w:tc>
          <w:tcPr>
            <w:tcW w:w="1841" w:type="dxa"/>
            <w:tcBorders>
              <w:bottom w:val="single" w:sz="6" w:space="0" w:color="000000"/>
            </w:tcBorders>
            <w:shd w:fill="auto" w:val="clear"/>
            <w:vAlign w:val="center"/>
          </w:tcPr>
          <w:p>
            <w:pPr>
              <w:pStyle w:val="TableContents"/>
              <w:spacing w:before="0" w:after="0"/>
              <w:ind w:left="0" w:right="0" w:hanging="0"/>
              <w:rPr>
                <w:rFonts w:ascii="times new roman;times" w:hAnsi="times new roman;times"/>
                <w:b/>
                <w:sz w:val="18"/>
              </w:rPr>
            </w:pPr>
            <w:r>
              <w:rPr>
                <w:rFonts w:ascii="times new roman;times" w:hAnsi="times new roman;times"/>
                <w:b/>
                <w:sz w:val="18"/>
              </w:rPr>
              <w:t xml:space="preserve">Name </w:t>
            </w:r>
          </w:p>
        </w:tc>
        <w:tc>
          <w:tcPr>
            <w:tcW w:w="169" w:type="dxa"/>
            <w:tcBorders/>
            <w:shd w:fill="auto" w:val="clear"/>
            <w:tcMar>
              <w:bottom w:w="0" w:type="dxa"/>
            </w:tcMar>
            <w:vAlign w:val="center"/>
          </w:tcPr>
          <w:p>
            <w:pPr>
              <w:pStyle w:val="TableContents"/>
              <w:spacing w:before="0" w:after="0"/>
              <w:ind w:left="0" w:right="0" w:hanging="0"/>
              <w:rPr/>
            </w:pPr>
            <w:r>
              <w:rPr/>
              <w:t xml:space="preserve">  </w:t>
            </w:r>
          </w:p>
        </w:tc>
        <w:tc>
          <w:tcPr>
            <w:tcW w:w="2565" w:type="dxa"/>
            <w:gridSpan w:val="2"/>
            <w:tcBorders>
              <w:bottom w:val="single" w:sz="6" w:space="0" w:color="000000"/>
            </w:tcBorders>
            <w:shd w:fill="auto" w:val="clear"/>
            <w:vAlign w:val="bottom"/>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Fees Earned or Paid in Cash </w:t>
            </w:r>
          </w:p>
        </w:tc>
        <w:tc>
          <w:tcPr>
            <w:tcW w:w="168" w:type="dxa"/>
            <w:tcBorders/>
            <w:shd w:fill="auto" w:val="clear"/>
            <w:tcMar>
              <w:bottom w:w="0" w:type="dxa"/>
            </w:tcMar>
            <w:vAlign w:val="center"/>
          </w:tcPr>
          <w:p>
            <w:pPr>
              <w:pStyle w:val="TableContents"/>
              <w:spacing w:before="0" w:after="0"/>
              <w:ind w:left="0" w:right="0" w:hanging="0"/>
              <w:rPr/>
            </w:pPr>
            <w:r>
              <w:rPr/>
              <w:t xml:space="preserve">  </w:t>
            </w:r>
          </w:p>
        </w:tc>
        <w:tc>
          <w:tcPr>
            <w:tcW w:w="169" w:type="dxa"/>
            <w:tcBorders/>
            <w:shd w:fill="auto" w:val="clear"/>
            <w:tcMar>
              <w:bottom w:w="0" w:type="dxa"/>
            </w:tcMar>
            <w:vAlign w:val="center"/>
          </w:tcPr>
          <w:p>
            <w:pPr>
              <w:pStyle w:val="TableContents"/>
              <w:spacing w:before="0" w:after="0"/>
              <w:ind w:left="0" w:right="0" w:hanging="0"/>
              <w:rPr/>
            </w:pPr>
            <w:r>
              <w:rPr/>
              <w:t xml:space="preserve">  </w:t>
            </w:r>
          </w:p>
        </w:tc>
        <w:tc>
          <w:tcPr>
            <w:tcW w:w="1453"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Option Awards </w:t>
            </w:r>
          </w:p>
        </w:tc>
        <w:tc>
          <w:tcPr>
            <w:tcW w:w="169" w:type="dxa"/>
            <w:tcBorders/>
            <w:shd w:fill="auto" w:val="clear"/>
            <w:tcMar>
              <w:bottom w:w="0" w:type="dxa"/>
            </w:tcMar>
            <w:vAlign w:val="center"/>
          </w:tcPr>
          <w:p>
            <w:pPr>
              <w:pStyle w:val="TableContents"/>
              <w:spacing w:before="0" w:after="0"/>
              <w:ind w:left="0" w:right="0" w:hanging="0"/>
              <w:rPr/>
            </w:pPr>
            <w:r>
              <w:rPr/>
              <w:t xml:space="preserve">  </w:t>
            </w:r>
          </w:p>
        </w:tc>
        <w:tc>
          <w:tcPr>
            <w:tcW w:w="168" w:type="dxa"/>
            <w:tcBorders/>
            <w:shd w:fill="auto" w:val="clear"/>
            <w:tcMar>
              <w:bottom w:w="0" w:type="dxa"/>
            </w:tcMar>
            <w:vAlign w:val="center"/>
          </w:tcPr>
          <w:p>
            <w:pPr>
              <w:pStyle w:val="TableContents"/>
              <w:spacing w:before="0" w:after="0"/>
              <w:ind w:left="0" w:right="0" w:hanging="0"/>
              <w:rPr/>
            </w:pPr>
            <w:r>
              <w:rPr/>
              <w:t xml:space="preserve">  </w:t>
            </w:r>
          </w:p>
        </w:tc>
        <w:tc>
          <w:tcPr>
            <w:tcW w:w="1925"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Other Compensation </w:t>
            </w:r>
          </w:p>
        </w:tc>
        <w:tc>
          <w:tcPr>
            <w:tcW w:w="168" w:type="dxa"/>
            <w:tcBorders/>
            <w:shd w:fill="auto" w:val="clear"/>
            <w:tcMar>
              <w:bottom w:w="0" w:type="dxa"/>
            </w:tcMar>
            <w:vAlign w:val="center"/>
          </w:tcPr>
          <w:p>
            <w:pPr>
              <w:pStyle w:val="TableContents"/>
              <w:spacing w:before="0" w:after="0"/>
              <w:ind w:left="0" w:right="0" w:hanging="0"/>
              <w:rPr/>
            </w:pPr>
            <w:r>
              <w:rPr/>
              <w:t xml:space="preserve">  </w:t>
            </w:r>
          </w:p>
        </w:tc>
        <w:tc>
          <w:tcPr>
            <w:tcW w:w="169" w:type="dxa"/>
            <w:tcBorders/>
            <w:shd w:fill="auto" w:val="clear"/>
            <w:tcMar>
              <w:bottom w:w="0" w:type="dxa"/>
            </w:tcMar>
            <w:vAlign w:val="center"/>
          </w:tcPr>
          <w:p>
            <w:pPr>
              <w:pStyle w:val="TableContents"/>
              <w:spacing w:before="0" w:after="0"/>
              <w:ind w:left="0" w:right="0" w:hanging="0"/>
              <w:rPr/>
            </w:pPr>
            <w:r>
              <w:rPr/>
              <w:t xml:space="preserve">  </w:t>
            </w:r>
          </w:p>
        </w:tc>
        <w:tc>
          <w:tcPr>
            <w:tcW w:w="1022" w:type="dxa"/>
            <w:gridSpan w:val="2"/>
            <w:tcBorders>
              <w:bottom w:val="single" w:sz="6" w:space="0" w:color="000000"/>
            </w:tcBorders>
            <w:shd w:fill="auto" w:val="cle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Total </w:t>
            </w:r>
          </w:p>
        </w:tc>
        <w:tc>
          <w:tcPr>
            <w:tcW w:w="219" w:type="dxa"/>
            <w:tcBorders/>
            <w:shd w:fill="auto" w:val="clear"/>
            <w:tcMar>
              <w:bottom w:w="0" w:type="dxa"/>
            </w:tcMar>
            <w:vAlign w:val="center"/>
          </w:tcPr>
          <w:p>
            <w:pPr>
              <w:pStyle w:val="TableContents"/>
              <w:spacing w:before="0" w:after="0"/>
              <w:ind w:left="0" w:right="0" w:hanging="0"/>
              <w:rPr/>
            </w:pPr>
            <w:r>
              <w:rPr/>
              <w:t xml:space="preserve">  </w:t>
            </w:r>
          </w:p>
        </w:tc>
      </w:tr>
      <w:tr>
        <w:trPr/>
        <w:tc>
          <w:tcPr>
            <w:tcW w:w="1841" w:type="dxa"/>
            <w:tcBorders/>
            <w:shd w:fill="CCEEFF" w:val="clear"/>
            <w:tcMar>
              <w:bottom w:w="0" w:type="dxa"/>
            </w:tcMar>
            <w:vAlign w:val="center"/>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Larry R. Hendricks </w:t>
            </w:r>
          </w:p>
        </w:tc>
        <w:tc>
          <w:tcPr>
            <w:tcW w:w="169" w:type="dxa"/>
            <w:tcBorders/>
            <w:shd w:fill="CCEEFF" w:val="clear"/>
            <w:tcMar>
              <w:bottom w:w="0" w:type="dxa"/>
            </w:tcMar>
            <w:vAlign w:val="center"/>
          </w:tcPr>
          <w:p>
            <w:pPr>
              <w:pStyle w:val="TableContents"/>
              <w:pBdr/>
              <w:spacing w:before="0" w:after="0"/>
              <w:ind w:left="0" w:right="0" w:hanging="0"/>
              <w:rPr/>
            </w:pPr>
            <w:r>
              <w:rPr/>
              <w:t xml:space="preserve">  </w:t>
            </w:r>
          </w:p>
        </w:tc>
        <w:tc>
          <w:tcPr>
            <w:tcW w:w="564" w:type="dxa"/>
            <w:tcBorders/>
            <w:shd w:fill="CCEEFF" w:val="clear"/>
            <w:tcMar>
              <w:bottom w:w="0" w:type="dxa"/>
            </w:tcMar>
            <w:vAlign w:val="center"/>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2001" w:type="dxa"/>
            <w:tcBorders/>
            <w:shd w:fill="CCEEFF" w:val="clear"/>
            <w:tcMar>
              <w:bottom w:w="0" w:type="dxa"/>
            </w:tcMar>
            <w:vAlign w:val="center"/>
          </w:tcPr>
          <w:p>
            <w:pPr>
              <w:pStyle w:val="TableContents"/>
              <w:pBdr/>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168" w:type="dxa"/>
            <w:tcBorders/>
            <w:shd w:fill="CCEEFF" w:val="clear"/>
            <w:tcMar>
              <w:bottom w:w="0" w:type="dxa"/>
            </w:tcMar>
            <w:vAlign w:val="center"/>
          </w:tcPr>
          <w:p>
            <w:pPr>
              <w:pStyle w:val="TableContents"/>
              <w:pBdr/>
              <w:spacing w:before="0" w:after="0"/>
              <w:ind w:left="0" w:right="0" w:hanging="0"/>
              <w:rPr/>
            </w:pPr>
            <w:r>
              <w:rPr/>
              <w:t xml:space="preserve">  </w:t>
            </w:r>
          </w:p>
        </w:tc>
        <w:tc>
          <w:tcPr>
            <w:tcW w:w="169" w:type="dxa"/>
            <w:tcBorders/>
            <w:shd w:fill="CCEEFF" w:val="clear"/>
            <w:tcMar>
              <w:bottom w:w="0" w:type="dxa"/>
            </w:tcMar>
            <w:vAlign w:val="center"/>
          </w:tcPr>
          <w:p>
            <w:pPr>
              <w:pStyle w:val="TableContents"/>
              <w:pBdr/>
              <w:spacing w:before="0" w:after="0"/>
              <w:ind w:left="0" w:right="0" w:hanging="0"/>
              <w:rPr/>
            </w:pPr>
            <w:r>
              <w:rPr/>
              <w:t xml:space="preserve">  </w:t>
            </w:r>
          </w:p>
        </w:tc>
        <w:tc>
          <w:tcPr>
            <w:tcW w:w="504" w:type="dxa"/>
            <w:tcBorders/>
            <w:shd w:fill="CCEEFF" w:val="clear"/>
            <w:tcMar>
              <w:bottom w:w="0" w:type="dxa"/>
            </w:tcMar>
            <w:vAlign w:val="center"/>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949" w:type="dxa"/>
            <w:tcBorders/>
            <w:shd w:fill="CCEEFF" w:val="clear"/>
            <w:tcMar>
              <w:bottom w:w="0" w:type="dxa"/>
            </w:tcMar>
            <w:vAlign w:val="center"/>
          </w:tcPr>
          <w:p>
            <w:pPr>
              <w:pStyle w:val="TableContents"/>
              <w:pBdr/>
              <w:spacing w:before="0" w:after="0"/>
              <w:ind w:left="0" w:right="0" w:hanging="0"/>
              <w:jc w:val="right"/>
              <w:rPr/>
            </w:pPr>
            <w:r>
              <w:rPr/>
              <w:t>—</w:t>
            </w:r>
          </w:p>
        </w:tc>
        <w:tc>
          <w:tcPr>
            <w:tcW w:w="169" w:type="dxa"/>
            <w:tcBorders/>
            <w:shd w:fill="CCEEFF" w:val="clear"/>
            <w:tcMar>
              <w:bottom w:w="0" w:type="dxa"/>
            </w:tcMar>
            <w:vAlign w:val="center"/>
          </w:tcPr>
          <w:p>
            <w:pPr>
              <w:pStyle w:val="TableContents"/>
              <w:pBdr/>
              <w:spacing w:before="0" w:after="0"/>
              <w:ind w:left="0" w:right="0" w:hanging="0"/>
              <w:rPr/>
            </w:pPr>
            <w:r>
              <w:rPr/>
              <w:t xml:space="preserve">  </w:t>
            </w:r>
          </w:p>
        </w:tc>
        <w:tc>
          <w:tcPr>
            <w:tcW w:w="168" w:type="dxa"/>
            <w:tcBorders/>
            <w:shd w:fill="CCEEFF" w:val="clear"/>
            <w:tcMar>
              <w:bottom w:w="0" w:type="dxa"/>
            </w:tcMar>
            <w:vAlign w:val="center"/>
          </w:tcPr>
          <w:p>
            <w:pPr>
              <w:pStyle w:val="TableContents"/>
              <w:pBdr/>
              <w:spacing w:before="0" w:after="0"/>
              <w:ind w:left="0" w:right="0" w:hanging="0"/>
              <w:rPr/>
            </w:pPr>
            <w:r>
              <w:rPr/>
              <w:t xml:space="preserve">  </w:t>
            </w:r>
          </w:p>
        </w:tc>
        <w:tc>
          <w:tcPr>
            <w:tcW w:w="669" w:type="dxa"/>
            <w:tcBorders/>
            <w:shd w:fill="CCEEFF" w:val="clear"/>
            <w:tcMar>
              <w:bottom w:w="0" w:type="dxa"/>
            </w:tcMar>
            <w:vAlign w:val="center"/>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256" w:type="dxa"/>
            <w:tcBorders/>
            <w:shd w:fill="CCEEFF" w:val="clear"/>
            <w:tcMar>
              <w:bottom w:w="0" w:type="dxa"/>
            </w:tcMar>
            <w:vAlign w:val="center"/>
          </w:tcPr>
          <w:p>
            <w:pPr>
              <w:pStyle w:val="TableContents"/>
              <w:pBdr/>
              <w:spacing w:before="0" w:after="0"/>
              <w:ind w:left="0" w:right="0" w:hanging="0"/>
              <w:jc w:val="right"/>
              <w:rPr/>
            </w:pPr>
            <w:r>
              <w:rPr/>
              <w:t>—</w:t>
            </w:r>
          </w:p>
        </w:tc>
        <w:tc>
          <w:tcPr>
            <w:tcW w:w="168" w:type="dxa"/>
            <w:tcBorders/>
            <w:shd w:fill="CCEEFF" w:val="clear"/>
            <w:tcMar>
              <w:bottom w:w="0" w:type="dxa"/>
            </w:tcMar>
            <w:vAlign w:val="center"/>
          </w:tcPr>
          <w:p>
            <w:pPr>
              <w:pStyle w:val="TableContents"/>
              <w:pBdr/>
              <w:spacing w:before="0" w:after="0"/>
              <w:ind w:left="0" w:right="0" w:hanging="0"/>
              <w:rPr/>
            </w:pPr>
            <w:r>
              <w:rPr/>
              <w:t xml:space="preserve">  </w:t>
            </w:r>
          </w:p>
        </w:tc>
        <w:tc>
          <w:tcPr>
            <w:tcW w:w="169" w:type="dxa"/>
            <w:tcBorders/>
            <w:shd w:fill="CCEEFF" w:val="clear"/>
            <w:tcMar>
              <w:bottom w:w="0" w:type="dxa"/>
            </w:tcMar>
            <w:vAlign w:val="center"/>
          </w:tcPr>
          <w:p>
            <w:pPr>
              <w:pStyle w:val="TableContents"/>
              <w:pBdr/>
              <w:spacing w:before="0" w:after="0"/>
              <w:ind w:left="0" w:right="0" w:hanging="0"/>
              <w:rPr/>
            </w:pPr>
            <w:r>
              <w:rPr/>
              <w:t xml:space="preserve">  </w:t>
            </w:r>
          </w:p>
        </w:tc>
        <w:tc>
          <w:tcPr>
            <w:tcW w:w="224" w:type="dxa"/>
            <w:tcBorders/>
            <w:shd w:fill="CCEEFF" w:val="clear"/>
            <w:tcMar>
              <w:bottom w:w="0" w:type="dxa"/>
            </w:tcMar>
            <w:vAlign w:val="center"/>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798" w:type="dxa"/>
            <w:tcBorders/>
            <w:shd w:fill="CCEEFF" w:val="clear"/>
            <w:tcMar>
              <w:bottom w:w="0" w:type="dxa"/>
            </w:tcMar>
            <w:vAlign w:val="center"/>
          </w:tcPr>
          <w:p>
            <w:pPr>
              <w:pStyle w:val="TableContents"/>
              <w:pBdr/>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219" w:type="dxa"/>
            <w:tcBorders/>
            <w:shd w:fill="CCEEFF" w:val="clear"/>
            <w:tcMar>
              <w:bottom w:w="0" w:type="dxa"/>
            </w:tcMar>
            <w:vAlign w:val="center"/>
          </w:tcPr>
          <w:p>
            <w:pPr>
              <w:pStyle w:val="TableContents"/>
              <w:pBdr/>
              <w:spacing w:before="0" w:after="0"/>
              <w:ind w:left="0" w:right="0" w:hanging="0"/>
              <w:rPr/>
            </w:pPr>
            <w:r>
              <w:rPr/>
              <w:t xml:space="preserve">  </w:t>
            </w:r>
          </w:p>
        </w:tc>
      </w:tr>
      <w:tr>
        <w:trPr/>
        <w:tc>
          <w:tcPr>
            <w:tcW w:w="1841" w:type="dxa"/>
            <w:tcBorders/>
            <w:shd w:fill="auto" w:val="clear"/>
            <w:tcMar>
              <w:bottom w:w="0" w:type="dxa"/>
            </w:tcMar>
            <w:vAlign w:val="center"/>
          </w:tcPr>
          <w:p>
            <w:pPr>
              <w:pStyle w:val="TableContents"/>
              <w:spacing w:before="0" w:after="283"/>
              <w:rPr>
                <w:rFonts w:ascii="times new roman;times" w:hAnsi="times new roman;times"/>
              </w:rPr>
            </w:pPr>
            <w:r>
              <w:rPr>
                <w:rFonts w:ascii="times new roman;times" w:hAnsi="times new roman;times"/>
              </w:rPr>
              <w:t>Lisa B. Higley</w:t>
            </w:r>
          </w:p>
        </w:tc>
        <w:tc>
          <w:tcPr>
            <w:tcW w:w="169" w:type="dxa"/>
            <w:tcBorders/>
            <w:shd w:fill="auto" w:val="clear"/>
            <w:tcMar>
              <w:bottom w:w="0" w:type="dxa"/>
            </w:tcMar>
            <w:vAlign w:val="center"/>
          </w:tcPr>
          <w:p>
            <w:pPr>
              <w:pStyle w:val="TableContents"/>
              <w:spacing w:before="0" w:after="283"/>
              <w:rPr/>
            </w:pPr>
            <w:r>
              <w:rPr/>
            </w:r>
          </w:p>
        </w:tc>
        <w:tc>
          <w:tcPr>
            <w:tcW w:w="564" w:type="dxa"/>
            <w:tcBorders/>
            <w:shd w:fill="auto" w:val="clear"/>
            <w:tcMar>
              <w:bottom w:w="0" w:type="dxa"/>
            </w:tcMar>
            <w:vAlign w:val="center"/>
          </w:tcPr>
          <w:p>
            <w:pPr>
              <w:pStyle w:val="TableContents"/>
              <w:spacing w:before="0" w:after="283"/>
              <w:rPr/>
            </w:pPr>
            <w:r>
              <w:rPr/>
            </w:r>
          </w:p>
        </w:tc>
        <w:tc>
          <w:tcPr>
            <w:tcW w:w="2001" w:type="dxa"/>
            <w:tcBorders/>
            <w:shd w:fill="auto" w:val="clear"/>
            <w:tcMar>
              <w:bottom w:w="0" w:type="dxa"/>
            </w:tcMar>
            <w:vAlign w:val="center"/>
          </w:tcPr>
          <w:p>
            <w:pPr>
              <w:pStyle w:val="TableContents"/>
              <w:spacing w:before="0" w:after="283"/>
              <w:jc w:val="right"/>
              <w:rPr/>
            </w:pPr>
            <w:r>
              <w:rPr/>
              <w:t>30,000</w:t>
            </w:r>
          </w:p>
        </w:tc>
        <w:tc>
          <w:tcPr>
            <w:tcW w:w="168" w:type="dxa"/>
            <w:tcBorders/>
            <w:shd w:fill="auto" w:val="clear"/>
            <w:tcMar>
              <w:bottom w:w="0" w:type="dxa"/>
            </w:tcMar>
            <w:vAlign w:val="center"/>
          </w:tcPr>
          <w:p>
            <w:pPr>
              <w:pStyle w:val="TableContents"/>
              <w:spacing w:before="0" w:after="283"/>
              <w:rPr/>
            </w:pPr>
            <w:r>
              <w:rPr/>
            </w:r>
          </w:p>
        </w:tc>
        <w:tc>
          <w:tcPr>
            <w:tcW w:w="169" w:type="dxa"/>
            <w:tcBorders/>
            <w:shd w:fill="auto" w:val="clear"/>
            <w:tcMar>
              <w:bottom w:w="0" w:type="dxa"/>
            </w:tcMar>
            <w:vAlign w:val="center"/>
          </w:tcPr>
          <w:p>
            <w:pPr>
              <w:pStyle w:val="TableContents"/>
              <w:spacing w:before="0" w:after="283"/>
              <w:rPr/>
            </w:pPr>
            <w:r>
              <w:rPr/>
            </w:r>
          </w:p>
        </w:tc>
        <w:tc>
          <w:tcPr>
            <w:tcW w:w="504" w:type="dxa"/>
            <w:tcBorders/>
            <w:shd w:fill="auto" w:val="clear"/>
            <w:tcMar>
              <w:bottom w:w="0" w:type="dxa"/>
            </w:tcMar>
            <w:vAlign w:val="center"/>
          </w:tcPr>
          <w:p>
            <w:pPr>
              <w:pStyle w:val="TableContents"/>
              <w:spacing w:before="0" w:after="283"/>
              <w:rPr/>
            </w:pPr>
            <w:r>
              <w:rPr/>
            </w:r>
          </w:p>
        </w:tc>
        <w:tc>
          <w:tcPr>
            <w:tcW w:w="949" w:type="dxa"/>
            <w:tcBorders/>
            <w:shd w:fill="auto" w:val="clear"/>
            <w:tcMar>
              <w:bottom w:w="0" w:type="dxa"/>
            </w:tcMar>
            <w:vAlign w:val="center"/>
          </w:tcPr>
          <w:p>
            <w:pPr>
              <w:pStyle w:val="TableContents"/>
              <w:spacing w:before="0" w:after="283"/>
              <w:jc w:val="right"/>
              <w:rPr/>
            </w:pPr>
            <w:r>
              <w:rPr/>
              <w:t>—</w:t>
            </w:r>
          </w:p>
        </w:tc>
        <w:tc>
          <w:tcPr>
            <w:tcW w:w="169" w:type="dxa"/>
            <w:tcBorders/>
            <w:shd w:fill="auto" w:val="clear"/>
            <w:tcMar>
              <w:bottom w:w="0" w:type="dxa"/>
            </w:tcMar>
            <w:vAlign w:val="center"/>
          </w:tcPr>
          <w:p>
            <w:pPr>
              <w:pStyle w:val="TableContents"/>
              <w:spacing w:before="0" w:after="283"/>
              <w:rPr/>
            </w:pPr>
            <w:r>
              <w:rPr/>
            </w:r>
          </w:p>
        </w:tc>
        <w:tc>
          <w:tcPr>
            <w:tcW w:w="168" w:type="dxa"/>
            <w:tcBorders/>
            <w:shd w:fill="auto" w:val="clear"/>
            <w:tcMar>
              <w:bottom w:w="0" w:type="dxa"/>
            </w:tcMar>
            <w:vAlign w:val="center"/>
          </w:tcPr>
          <w:p>
            <w:pPr>
              <w:pStyle w:val="TableContents"/>
              <w:spacing w:before="0" w:after="283"/>
              <w:rPr/>
            </w:pPr>
            <w:r>
              <w:rPr/>
            </w:r>
          </w:p>
        </w:tc>
        <w:tc>
          <w:tcPr>
            <w:tcW w:w="669" w:type="dxa"/>
            <w:tcBorders/>
            <w:shd w:fill="auto" w:val="clear"/>
            <w:tcMar>
              <w:bottom w:w="0" w:type="dxa"/>
            </w:tcMar>
            <w:vAlign w:val="center"/>
          </w:tcPr>
          <w:p>
            <w:pPr>
              <w:pStyle w:val="TableContents"/>
              <w:spacing w:before="0" w:after="283"/>
              <w:rPr/>
            </w:pPr>
            <w:r>
              <w:rPr/>
            </w:r>
          </w:p>
        </w:tc>
        <w:tc>
          <w:tcPr>
            <w:tcW w:w="1256" w:type="dxa"/>
            <w:tcBorders/>
            <w:shd w:fill="auto" w:val="clear"/>
            <w:tcMar>
              <w:bottom w:w="0" w:type="dxa"/>
            </w:tcMar>
            <w:vAlign w:val="center"/>
          </w:tcPr>
          <w:p>
            <w:pPr>
              <w:pStyle w:val="TableContents"/>
              <w:spacing w:before="0" w:after="283"/>
              <w:jc w:val="right"/>
              <w:rPr/>
            </w:pPr>
            <w:r>
              <w:rPr/>
              <w:t>—</w:t>
            </w:r>
          </w:p>
        </w:tc>
        <w:tc>
          <w:tcPr>
            <w:tcW w:w="168" w:type="dxa"/>
            <w:tcBorders/>
            <w:shd w:fill="auto" w:val="clear"/>
            <w:tcMar>
              <w:bottom w:w="0" w:type="dxa"/>
            </w:tcMar>
            <w:vAlign w:val="center"/>
          </w:tcPr>
          <w:p>
            <w:pPr>
              <w:pStyle w:val="TableContents"/>
              <w:spacing w:before="0" w:after="283"/>
              <w:rPr/>
            </w:pPr>
            <w:r>
              <w:rPr/>
            </w:r>
          </w:p>
        </w:tc>
        <w:tc>
          <w:tcPr>
            <w:tcW w:w="169" w:type="dxa"/>
            <w:tcBorders/>
            <w:shd w:fill="auto" w:val="clear"/>
            <w:tcMar>
              <w:bottom w:w="0" w:type="dxa"/>
            </w:tcMar>
            <w:vAlign w:val="center"/>
          </w:tcPr>
          <w:p>
            <w:pPr>
              <w:pStyle w:val="TableContents"/>
              <w:spacing w:before="0" w:after="283"/>
              <w:rPr/>
            </w:pPr>
            <w:r>
              <w:rPr/>
            </w:r>
          </w:p>
        </w:tc>
        <w:tc>
          <w:tcPr>
            <w:tcW w:w="224" w:type="dxa"/>
            <w:tcBorders/>
            <w:shd w:fill="auto" w:val="clear"/>
            <w:tcMar>
              <w:bottom w:w="0" w:type="dxa"/>
            </w:tcMar>
            <w:vAlign w:val="center"/>
          </w:tcPr>
          <w:p>
            <w:pPr>
              <w:pStyle w:val="TableContents"/>
              <w:spacing w:before="0" w:after="283"/>
              <w:rPr/>
            </w:pPr>
            <w:r>
              <w:rPr/>
            </w:r>
          </w:p>
        </w:tc>
        <w:tc>
          <w:tcPr>
            <w:tcW w:w="798" w:type="dxa"/>
            <w:tcBorders/>
            <w:shd w:fill="auto" w:val="clear"/>
            <w:tcMar>
              <w:bottom w:w="0" w:type="dxa"/>
            </w:tcMar>
            <w:vAlign w:val="center"/>
          </w:tcPr>
          <w:p>
            <w:pPr>
              <w:pStyle w:val="TableContents"/>
              <w:spacing w:before="0" w:after="283"/>
              <w:jc w:val="right"/>
              <w:rPr/>
            </w:pPr>
            <w:r>
              <w:rPr/>
              <w:t>30,000</w:t>
            </w:r>
          </w:p>
        </w:tc>
        <w:tc>
          <w:tcPr>
            <w:tcW w:w="219" w:type="dxa"/>
            <w:tcBorders/>
            <w:shd w:fill="auto" w:val="clear"/>
            <w:tcMar>
              <w:bottom w:w="0" w:type="dxa"/>
            </w:tcMar>
            <w:vAlign w:val="center"/>
          </w:tcPr>
          <w:p>
            <w:pPr>
              <w:pStyle w:val="TableContents"/>
              <w:spacing w:before="0" w:after="283"/>
              <w:rPr/>
            </w:pPr>
            <w:r>
              <w:rPr/>
            </w:r>
          </w:p>
        </w:tc>
      </w:tr>
      <w:tr>
        <w:trPr/>
        <w:tc>
          <w:tcPr>
            <w:tcW w:w="1841" w:type="dxa"/>
            <w:tcBorders/>
            <w:shd w:fill="CCEEFF"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Eric L. Robinson </w:t>
            </w:r>
          </w:p>
        </w:tc>
        <w:tc>
          <w:tcPr>
            <w:tcW w:w="169" w:type="dxa"/>
            <w:tcBorders/>
            <w:shd w:fill="CCEEFF" w:val="clear"/>
            <w:tcMar>
              <w:bottom w:w="0" w:type="dxa"/>
            </w:tcMar>
            <w:vAlign w:val="center"/>
          </w:tcPr>
          <w:p>
            <w:pPr>
              <w:pStyle w:val="TableContents"/>
              <w:spacing w:before="0" w:after="0"/>
              <w:ind w:left="0" w:right="0" w:hanging="0"/>
              <w:rPr/>
            </w:pPr>
            <w:r>
              <w:rPr/>
              <w:t xml:space="preserve">  </w:t>
            </w:r>
          </w:p>
        </w:tc>
        <w:tc>
          <w:tcPr>
            <w:tcW w:w="564" w:type="dxa"/>
            <w:tcBorders/>
            <w:shd w:fill="CCEEFF" w:val="clear"/>
            <w:tcMar>
              <w:bottom w:w="0" w:type="dxa"/>
            </w:tcMar>
            <w:vAlign w:val="center"/>
          </w:tcPr>
          <w:p>
            <w:pPr>
              <w:pStyle w:val="TableContents"/>
              <w:spacing w:before="0" w:after="0"/>
              <w:ind w:left="0" w:right="0" w:hanging="0"/>
              <w:rPr/>
            </w:pPr>
            <w:r>
              <w:rPr/>
              <w:t xml:space="preserve">  </w:t>
            </w:r>
          </w:p>
        </w:tc>
        <w:tc>
          <w:tcPr>
            <w:tcW w:w="2001"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40,800</w:t>
            </w:r>
          </w:p>
        </w:tc>
        <w:tc>
          <w:tcPr>
            <w:tcW w:w="168" w:type="dxa"/>
            <w:tcBorders/>
            <w:shd w:fill="CCEEFF" w:val="clear"/>
            <w:tcMar>
              <w:bottom w:w="0" w:type="dxa"/>
            </w:tcMar>
            <w:vAlign w:val="center"/>
          </w:tcPr>
          <w:p>
            <w:pPr>
              <w:pStyle w:val="TableContents"/>
              <w:spacing w:before="0" w:after="0"/>
              <w:ind w:left="0" w:right="0" w:hanging="0"/>
              <w:rPr/>
            </w:pPr>
            <w:r>
              <w:rPr/>
              <w:t xml:space="preserve">  </w:t>
            </w:r>
          </w:p>
        </w:tc>
        <w:tc>
          <w:tcPr>
            <w:tcW w:w="169" w:type="dxa"/>
            <w:tcBorders/>
            <w:shd w:fill="CCEEFF" w:val="clear"/>
            <w:tcMar>
              <w:bottom w:w="0" w:type="dxa"/>
            </w:tcMar>
            <w:vAlign w:val="center"/>
          </w:tcPr>
          <w:p>
            <w:pPr>
              <w:pStyle w:val="TableContents"/>
              <w:spacing w:before="0" w:after="0"/>
              <w:ind w:left="0" w:right="0" w:hanging="0"/>
              <w:rPr/>
            </w:pPr>
            <w:r>
              <w:rPr/>
              <w:t xml:space="preserve">  </w:t>
            </w:r>
          </w:p>
        </w:tc>
        <w:tc>
          <w:tcPr>
            <w:tcW w:w="504" w:type="dxa"/>
            <w:tcBorders/>
            <w:shd w:fill="CCEEFF" w:val="clear"/>
            <w:tcMar>
              <w:bottom w:w="0" w:type="dxa"/>
            </w:tcMar>
            <w:vAlign w:val="center"/>
          </w:tcPr>
          <w:p>
            <w:pPr>
              <w:pStyle w:val="TableContents"/>
              <w:spacing w:before="0" w:after="0"/>
              <w:ind w:left="0" w:right="0" w:hanging="0"/>
              <w:rPr/>
            </w:pPr>
            <w:r>
              <w:rPr/>
              <w:t xml:space="preserve">  </w:t>
            </w:r>
          </w:p>
        </w:tc>
        <w:tc>
          <w:tcPr>
            <w:tcW w:w="949" w:type="dxa"/>
            <w:tcBorders/>
            <w:shd w:fill="CCEEFF" w:val="clear"/>
            <w:tcMar>
              <w:bottom w:w="0" w:type="dxa"/>
            </w:tcMar>
            <w:vAlign w:val="center"/>
          </w:tcPr>
          <w:p>
            <w:pPr>
              <w:pStyle w:val="TableContents"/>
              <w:spacing w:before="0" w:after="0"/>
              <w:ind w:left="0" w:right="0" w:hanging="0"/>
              <w:jc w:val="right"/>
              <w:rPr/>
            </w:pPr>
            <w:r>
              <w:rPr/>
              <w:t>—</w:t>
            </w:r>
          </w:p>
        </w:tc>
        <w:tc>
          <w:tcPr>
            <w:tcW w:w="169" w:type="dxa"/>
            <w:tcBorders/>
            <w:shd w:fill="CCEEFF" w:val="clear"/>
            <w:tcMar>
              <w:bottom w:w="0" w:type="dxa"/>
            </w:tcMar>
            <w:vAlign w:val="center"/>
          </w:tcPr>
          <w:p>
            <w:pPr>
              <w:pStyle w:val="TableContents"/>
              <w:spacing w:before="0" w:after="0"/>
              <w:ind w:left="0" w:right="0" w:hanging="0"/>
              <w:rPr/>
            </w:pPr>
            <w:r>
              <w:rPr/>
              <w:t xml:space="preserve">  </w:t>
            </w:r>
          </w:p>
        </w:tc>
        <w:tc>
          <w:tcPr>
            <w:tcW w:w="168" w:type="dxa"/>
            <w:tcBorders/>
            <w:shd w:fill="CCEEFF" w:val="clear"/>
            <w:tcMar>
              <w:bottom w:w="0" w:type="dxa"/>
            </w:tcMar>
            <w:vAlign w:val="center"/>
          </w:tcPr>
          <w:p>
            <w:pPr>
              <w:pStyle w:val="TableContents"/>
              <w:spacing w:before="0" w:after="0"/>
              <w:ind w:left="0" w:right="0" w:hanging="0"/>
              <w:rPr/>
            </w:pPr>
            <w:r>
              <w:rPr/>
              <w:t xml:space="preserve">  </w:t>
            </w:r>
          </w:p>
        </w:tc>
        <w:tc>
          <w:tcPr>
            <w:tcW w:w="669" w:type="dxa"/>
            <w:tcBorders/>
            <w:shd w:fill="CCEEFF" w:val="clear"/>
            <w:tcMar>
              <w:bottom w:w="0" w:type="dxa"/>
            </w:tcMar>
            <w:vAlign w:val="center"/>
          </w:tcPr>
          <w:p>
            <w:pPr>
              <w:pStyle w:val="TableContents"/>
              <w:spacing w:before="0" w:after="0"/>
              <w:ind w:left="0" w:right="0" w:hanging="0"/>
              <w:rPr/>
            </w:pPr>
            <w:r>
              <w:rPr/>
              <w:t xml:space="preserve">  </w:t>
            </w:r>
          </w:p>
        </w:tc>
        <w:tc>
          <w:tcPr>
            <w:tcW w:w="1256" w:type="dxa"/>
            <w:tcBorders/>
            <w:shd w:fill="CCEEFF" w:val="clear"/>
            <w:tcMar>
              <w:bottom w:w="0" w:type="dxa"/>
            </w:tcMar>
            <w:vAlign w:val="center"/>
          </w:tcPr>
          <w:p>
            <w:pPr>
              <w:pStyle w:val="TableContents"/>
              <w:spacing w:before="0" w:after="0"/>
              <w:ind w:left="0" w:right="0" w:hanging="0"/>
              <w:jc w:val="right"/>
              <w:rPr/>
            </w:pPr>
            <w:r>
              <w:rPr/>
              <w:t>—</w:t>
            </w:r>
          </w:p>
        </w:tc>
        <w:tc>
          <w:tcPr>
            <w:tcW w:w="168" w:type="dxa"/>
            <w:tcBorders/>
            <w:shd w:fill="CCEEFF" w:val="clear"/>
            <w:tcMar>
              <w:bottom w:w="0" w:type="dxa"/>
            </w:tcMar>
            <w:vAlign w:val="center"/>
          </w:tcPr>
          <w:p>
            <w:pPr>
              <w:pStyle w:val="TableContents"/>
              <w:spacing w:before="0" w:after="0"/>
              <w:ind w:left="0" w:right="0" w:hanging="0"/>
              <w:rPr/>
            </w:pPr>
            <w:r>
              <w:rPr/>
              <w:t xml:space="preserve">  </w:t>
            </w:r>
          </w:p>
        </w:tc>
        <w:tc>
          <w:tcPr>
            <w:tcW w:w="169" w:type="dxa"/>
            <w:tcBorders/>
            <w:shd w:fill="CCEEFF" w:val="clear"/>
            <w:tcMar>
              <w:bottom w:w="0" w:type="dxa"/>
            </w:tcMar>
            <w:vAlign w:val="center"/>
          </w:tcPr>
          <w:p>
            <w:pPr>
              <w:pStyle w:val="TableContents"/>
              <w:spacing w:before="0" w:after="0"/>
              <w:ind w:left="0" w:right="0" w:hanging="0"/>
              <w:rPr/>
            </w:pPr>
            <w:r>
              <w:rPr/>
              <w:t xml:space="preserve">  </w:t>
            </w:r>
          </w:p>
        </w:tc>
        <w:tc>
          <w:tcPr>
            <w:tcW w:w="224" w:type="dxa"/>
            <w:tcBorders/>
            <w:shd w:fill="CCEEFF" w:val="clear"/>
            <w:tcMar>
              <w:bottom w:w="0" w:type="dxa"/>
            </w:tcMar>
            <w:vAlign w:val="center"/>
          </w:tcPr>
          <w:p>
            <w:pPr>
              <w:pStyle w:val="TableContents"/>
              <w:spacing w:before="0" w:after="0"/>
              <w:ind w:left="0" w:right="0" w:hanging="0"/>
              <w:rPr/>
            </w:pPr>
            <w:r>
              <w:rPr/>
              <w:t xml:space="preserve">  </w:t>
            </w:r>
          </w:p>
        </w:tc>
        <w:tc>
          <w:tcPr>
            <w:tcW w:w="798" w:type="dxa"/>
            <w:tcBorders/>
            <w:shd w:fill="CCEEFF"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40,800</w:t>
            </w:r>
          </w:p>
        </w:tc>
        <w:tc>
          <w:tcPr>
            <w:tcW w:w="219" w:type="dxa"/>
            <w:tcBorders/>
            <w:shd w:fill="CCEEFF" w:val="clear"/>
            <w:tcMar>
              <w:bottom w:w="0" w:type="dxa"/>
            </w:tcMar>
            <w:vAlign w:val="center"/>
          </w:tcPr>
          <w:p>
            <w:pPr>
              <w:pStyle w:val="TableContents"/>
              <w:spacing w:before="0" w:after="0"/>
              <w:ind w:left="0" w:right="0" w:hanging="0"/>
              <w:rPr/>
            </w:pPr>
            <w:r>
              <w:rPr/>
              <w:t xml:space="preserve">  </w:t>
            </w:r>
          </w:p>
        </w:tc>
      </w:tr>
      <w:tr>
        <w:trPr/>
        <w:tc>
          <w:tcPr>
            <w:tcW w:w="1841" w:type="dxa"/>
            <w:tcBorders/>
            <w:shd w:fill="auto" w:val="clear"/>
            <w:tcMar>
              <w:bottom w:w="0"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Bruce Whaley </w:t>
            </w:r>
          </w:p>
        </w:tc>
        <w:tc>
          <w:tcPr>
            <w:tcW w:w="169" w:type="dxa"/>
            <w:tcBorders/>
            <w:shd w:fill="auto" w:val="clear"/>
            <w:tcMar>
              <w:bottom w:w="0" w:type="dxa"/>
            </w:tcMar>
            <w:vAlign w:val="center"/>
          </w:tcPr>
          <w:p>
            <w:pPr>
              <w:pStyle w:val="TableContents"/>
              <w:spacing w:before="0" w:after="0"/>
              <w:ind w:left="0" w:right="0" w:hanging="0"/>
              <w:rPr/>
            </w:pPr>
            <w:r>
              <w:rPr/>
              <w:t xml:space="preserve">  </w:t>
            </w:r>
          </w:p>
        </w:tc>
        <w:tc>
          <w:tcPr>
            <w:tcW w:w="564" w:type="dxa"/>
            <w:tcBorders/>
            <w:shd w:fill="auto" w:val="clear"/>
            <w:tcMar>
              <w:bottom w:w="0" w:type="dxa"/>
            </w:tcMar>
            <w:vAlign w:val="center"/>
          </w:tcPr>
          <w:p>
            <w:pPr>
              <w:pStyle w:val="TableContents"/>
              <w:spacing w:before="0" w:after="0"/>
              <w:ind w:left="0" w:right="0" w:hanging="0"/>
              <w:rPr/>
            </w:pPr>
            <w:r>
              <w:rPr/>
              <w:t xml:space="preserve">  </w:t>
            </w:r>
          </w:p>
        </w:tc>
        <w:tc>
          <w:tcPr>
            <w:tcW w:w="2001"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168" w:type="dxa"/>
            <w:tcBorders/>
            <w:shd w:fill="auto" w:val="clear"/>
            <w:tcMar>
              <w:bottom w:w="0" w:type="dxa"/>
            </w:tcMar>
            <w:vAlign w:val="center"/>
          </w:tcPr>
          <w:p>
            <w:pPr>
              <w:pStyle w:val="TableContents"/>
              <w:spacing w:before="0" w:after="0"/>
              <w:ind w:left="0" w:right="0" w:hanging="0"/>
              <w:rPr/>
            </w:pPr>
            <w:r>
              <w:rPr/>
              <w:t xml:space="preserve">  </w:t>
            </w:r>
          </w:p>
        </w:tc>
        <w:tc>
          <w:tcPr>
            <w:tcW w:w="169" w:type="dxa"/>
            <w:tcBorders/>
            <w:shd w:fill="auto" w:val="clear"/>
            <w:tcMar>
              <w:bottom w:w="0" w:type="dxa"/>
            </w:tcMar>
            <w:vAlign w:val="center"/>
          </w:tcPr>
          <w:p>
            <w:pPr>
              <w:pStyle w:val="TableContents"/>
              <w:spacing w:before="0" w:after="0"/>
              <w:ind w:left="0" w:right="0" w:hanging="0"/>
              <w:rPr/>
            </w:pPr>
            <w:r>
              <w:rPr/>
              <w:t xml:space="preserve">  </w:t>
            </w:r>
          </w:p>
        </w:tc>
        <w:tc>
          <w:tcPr>
            <w:tcW w:w="504" w:type="dxa"/>
            <w:tcBorders/>
            <w:shd w:fill="auto" w:val="clear"/>
            <w:tcMar>
              <w:bottom w:w="0" w:type="dxa"/>
            </w:tcMar>
            <w:vAlign w:val="center"/>
          </w:tcPr>
          <w:p>
            <w:pPr>
              <w:pStyle w:val="TableContents"/>
              <w:spacing w:before="0" w:after="0"/>
              <w:ind w:left="0" w:right="0" w:hanging="0"/>
              <w:rPr/>
            </w:pPr>
            <w:r>
              <w:rPr/>
              <w:t xml:space="preserve">  </w:t>
            </w:r>
          </w:p>
        </w:tc>
        <w:tc>
          <w:tcPr>
            <w:tcW w:w="949" w:type="dxa"/>
            <w:tcBorders/>
            <w:shd w:fill="auto" w:val="clear"/>
            <w:tcMar>
              <w:bottom w:w="0" w:type="dxa"/>
            </w:tcMar>
            <w:vAlign w:val="center"/>
          </w:tcPr>
          <w:p>
            <w:pPr>
              <w:pStyle w:val="TableContents"/>
              <w:spacing w:before="0" w:after="0"/>
              <w:ind w:left="0" w:right="0" w:hanging="0"/>
              <w:jc w:val="right"/>
              <w:rPr/>
            </w:pPr>
            <w:r>
              <w:rPr/>
              <w:t>—</w:t>
            </w:r>
          </w:p>
        </w:tc>
        <w:tc>
          <w:tcPr>
            <w:tcW w:w="169" w:type="dxa"/>
            <w:tcBorders/>
            <w:shd w:fill="auto" w:val="clear"/>
            <w:tcMar>
              <w:bottom w:w="0" w:type="dxa"/>
            </w:tcMar>
            <w:vAlign w:val="center"/>
          </w:tcPr>
          <w:p>
            <w:pPr>
              <w:pStyle w:val="TableContents"/>
              <w:spacing w:before="0" w:after="0"/>
              <w:ind w:left="0" w:right="0" w:hanging="0"/>
              <w:rPr/>
            </w:pPr>
            <w:r>
              <w:rPr/>
              <w:t xml:space="preserve">  </w:t>
            </w:r>
          </w:p>
        </w:tc>
        <w:tc>
          <w:tcPr>
            <w:tcW w:w="168" w:type="dxa"/>
            <w:tcBorders/>
            <w:shd w:fill="auto" w:val="clear"/>
            <w:tcMar>
              <w:bottom w:w="0" w:type="dxa"/>
            </w:tcMar>
            <w:vAlign w:val="center"/>
          </w:tcPr>
          <w:p>
            <w:pPr>
              <w:pStyle w:val="TableContents"/>
              <w:spacing w:before="0" w:after="0"/>
              <w:ind w:left="0" w:right="0" w:hanging="0"/>
              <w:rPr/>
            </w:pPr>
            <w:r>
              <w:rPr/>
              <w:t xml:space="preserve">  </w:t>
            </w:r>
          </w:p>
        </w:tc>
        <w:tc>
          <w:tcPr>
            <w:tcW w:w="669" w:type="dxa"/>
            <w:tcBorders/>
            <w:shd w:fill="auto" w:val="clear"/>
            <w:tcMar>
              <w:bottom w:w="0" w:type="dxa"/>
            </w:tcMar>
            <w:vAlign w:val="center"/>
          </w:tcPr>
          <w:p>
            <w:pPr>
              <w:pStyle w:val="TableContents"/>
              <w:spacing w:before="0" w:after="0"/>
              <w:ind w:left="0" w:right="0" w:hanging="0"/>
              <w:rPr/>
            </w:pPr>
            <w:r>
              <w:rPr/>
              <w:t xml:space="preserve">  </w:t>
            </w:r>
          </w:p>
        </w:tc>
        <w:tc>
          <w:tcPr>
            <w:tcW w:w="1256" w:type="dxa"/>
            <w:tcBorders/>
            <w:shd w:fill="auto" w:val="clear"/>
            <w:tcMar>
              <w:bottom w:w="0" w:type="dxa"/>
            </w:tcMar>
            <w:vAlign w:val="center"/>
          </w:tcPr>
          <w:p>
            <w:pPr>
              <w:pStyle w:val="TableContents"/>
              <w:spacing w:before="0" w:after="0"/>
              <w:ind w:left="0" w:right="0" w:hanging="0"/>
              <w:jc w:val="right"/>
              <w:rPr/>
            </w:pPr>
            <w:r>
              <w:rPr/>
              <w:t>—</w:t>
            </w:r>
          </w:p>
        </w:tc>
        <w:tc>
          <w:tcPr>
            <w:tcW w:w="168" w:type="dxa"/>
            <w:tcBorders/>
            <w:shd w:fill="auto" w:val="clear"/>
            <w:tcMar>
              <w:bottom w:w="0" w:type="dxa"/>
            </w:tcMar>
            <w:vAlign w:val="center"/>
          </w:tcPr>
          <w:p>
            <w:pPr>
              <w:pStyle w:val="TableContents"/>
              <w:spacing w:before="0" w:after="0"/>
              <w:ind w:left="0" w:right="0" w:hanging="0"/>
              <w:rPr/>
            </w:pPr>
            <w:r>
              <w:rPr/>
              <w:t xml:space="preserve">  </w:t>
            </w:r>
          </w:p>
        </w:tc>
        <w:tc>
          <w:tcPr>
            <w:tcW w:w="169" w:type="dxa"/>
            <w:tcBorders/>
            <w:shd w:fill="auto" w:val="clear"/>
            <w:tcMar>
              <w:bottom w:w="0" w:type="dxa"/>
            </w:tcMar>
            <w:vAlign w:val="center"/>
          </w:tcPr>
          <w:p>
            <w:pPr>
              <w:pStyle w:val="TableContents"/>
              <w:spacing w:before="0" w:after="0"/>
              <w:ind w:left="0" w:right="0" w:hanging="0"/>
              <w:rPr/>
            </w:pPr>
            <w:r>
              <w:rPr/>
              <w:t xml:space="preserve">  </w:t>
            </w:r>
          </w:p>
        </w:tc>
        <w:tc>
          <w:tcPr>
            <w:tcW w:w="224" w:type="dxa"/>
            <w:tcBorders/>
            <w:shd w:fill="auto" w:val="clear"/>
            <w:tcMar>
              <w:bottom w:w="0" w:type="dxa"/>
            </w:tcMar>
            <w:vAlign w:val="center"/>
          </w:tcPr>
          <w:p>
            <w:pPr>
              <w:pStyle w:val="TableContents"/>
              <w:spacing w:before="0" w:after="0"/>
              <w:ind w:left="0" w:right="0" w:hanging="0"/>
              <w:rPr/>
            </w:pPr>
            <w:r>
              <w:rPr/>
              <w:t xml:space="preserve">  </w:t>
            </w:r>
          </w:p>
        </w:tc>
        <w:tc>
          <w:tcPr>
            <w:tcW w:w="798" w:type="dxa"/>
            <w:tcBorders/>
            <w:shd w:fill="auto" w:val="clear"/>
            <w:tcMar>
              <w:bottom w:w="0"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33,600</w:t>
            </w:r>
          </w:p>
        </w:tc>
        <w:tc>
          <w:tcPr>
            <w:tcW w:w="219" w:type="dxa"/>
            <w:tcBorders/>
            <w:shd w:fill="auto" w:val="clear"/>
            <w:tcMar>
              <w:bottom w:w="0" w:type="dxa"/>
            </w:tcMar>
            <w:vAlign w:val="center"/>
          </w:tcPr>
          <w:p>
            <w:pPr>
              <w:pStyle w:val="TableContents"/>
              <w:spacing w:before="0" w:after="0"/>
              <w:ind w:left="0" w:right="0" w:hanging="0"/>
              <w:rPr/>
            </w:pPr>
            <w:r>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All directors are reimbursed by the Company for their out-of-pocket travel and related expenses, if any, incurred in attending all Board of Directors and committee meetings. However, during 2022 no expenses were reimbursed to any director.</w:t>
      </w:r>
    </w:p>
    <w:p>
      <w:pPr>
        <w:pStyle w:val="TextBody"/>
        <w:spacing w:lineRule="auto" w:line="240" w:before="0" w:after="0"/>
        <w:ind w:left="0" w:right="0" w:hanging="0"/>
        <w:jc w:val="both"/>
        <w:rPr/>
      </w:pPr>
      <w:r>
        <w:rPr/>
      </w:r>
    </w:p>
    <w:p>
      <w:pPr>
        <w:pStyle w:val="TextBody"/>
        <w:spacing w:lineRule="auto" w:line="240"/>
        <w:ind w:left="0" w:right="0" w:hanging="0"/>
        <w:jc w:val="both"/>
        <w:rPr/>
      </w:pPr>
      <w:hyperlink r:id="rId14">
        <w:bookmarkStart w:id="79" w:name="BT_7T31KB3JZ400000000000000000000"/>
        <w:bookmarkEnd w:id="79"/>
        <w:r>
          <w:rPr>
            <w:rStyle w:val="VisitedInternetLink"/>
            <w:rFonts w:ascii="times new roman;times" w:hAnsi="times new roman;times"/>
            <w:b/>
            <w:strike w:val="false"/>
            <w:dstrike w:val="false"/>
            <w:color w:val="000000"/>
            <w:sz w:val="20"/>
            <w:u w:val="none"/>
            <w:effect w:val="none"/>
          </w:rPr>
          <w:t>ITEM 12. SECURITY OWNERSHIP OF CERTAIN BENEFICIAL OWNERS AND MANAGEMENT AND RELATED STOCKHOLDER MATTERS</w:t>
        </w:r>
      </w:hyperlink>
    </w:p>
    <w:p>
      <w:pPr>
        <w:pStyle w:val="TextBody"/>
        <w:spacing w:lineRule="auto" w:line="240" w:before="0" w:after="0"/>
        <w:ind w:left="0" w:right="0" w:hanging="0"/>
        <w:jc w:val="both"/>
        <w:rPr/>
      </w:pPr>
      <w:r>
        <w:rPr/>
        <w:t> </w:t>
      </w:r>
    </w:p>
    <w:p>
      <w:pPr>
        <w:pStyle w:val="TextBody"/>
        <w:spacing w:lineRule="auto" w:line="240" w:before="0" w:after="0"/>
        <w:ind w:left="0" w:right="0" w:firstLine="600"/>
        <w:jc w:val="both"/>
        <w:rPr>
          <w:rFonts w:ascii="times new roman;times" w:hAnsi="times new roman;times"/>
          <w:sz w:val="20"/>
        </w:rPr>
      </w:pPr>
      <w:r>
        <w:rPr>
          <w:rFonts w:ascii="times new roman;times" w:hAnsi="times new roman;times"/>
          <w:sz w:val="20"/>
        </w:rPr>
        <w:t>The following table sets forth certain information regarding ownership of our common stock as of March 31, 2022,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1860"/>
        <w:gridCol w:w="104"/>
        <w:gridCol w:w="126"/>
        <w:gridCol w:w="1298"/>
        <w:gridCol w:w="104"/>
        <w:gridCol w:w="104"/>
        <w:gridCol w:w="322"/>
        <w:gridCol w:w="1848"/>
        <w:gridCol w:w="248"/>
        <w:gridCol w:w="104"/>
        <w:gridCol w:w="189"/>
        <w:gridCol w:w="1381"/>
        <w:gridCol w:w="104"/>
        <w:gridCol w:w="104"/>
        <w:gridCol w:w="104"/>
        <w:gridCol w:w="980"/>
        <w:gridCol w:w="104"/>
        <w:gridCol w:w="104"/>
        <w:gridCol w:w="115"/>
        <w:gridCol w:w="598"/>
        <w:gridCol w:w="304"/>
      </w:tblGrid>
      <w:tr>
        <w:trPr/>
        <w:tc>
          <w:tcPr>
            <w:tcW w:w="1860" w:type="dxa"/>
            <w:tcBorders/>
            <w:shd w:fill="auto" w:val="clear"/>
            <w:vAlign w:val="center"/>
          </w:tcPr>
          <w:p>
            <w:pPr>
              <w:pStyle w:val="TableContents"/>
              <w:spacing w:before="0" w:after="0"/>
              <w:ind w:left="0" w:right="0" w:hanging="0"/>
              <w:rPr/>
            </w:pPr>
            <w:r>
              <w:rPr/>
            </w:r>
          </w:p>
        </w:tc>
        <w:tc>
          <w:tcPr>
            <w:tcW w:w="104" w:type="dxa"/>
            <w:tcBorders/>
            <w:shd w:fill="auto" w:val="clear"/>
            <w:vAlign w:val="center"/>
          </w:tcPr>
          <w:p>
            <w:pPr>
              <w:pStyle w:val="TableContents"/>
              <w:spacing w:before="0" w:after="0"/>
              <w:ind w:left="0" w:right="0" w:hanging="0"/>
              <w:rPr/>
            </w:pPr>
            <w:r>
              <w:rPr/>
              <w:t xml:space="preserve">  </w:t>
            </w:r>
          </w:p>
        </w:tc>
        <w:tc>
          <w:tcPr>
            <w:tcW w:w="3802"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 xml:space="preserve">Shares Beneficially Owned </w:t>
            </w:r>
          </w:p>
        </w:tc>
        <w:tc>
          <w:tcPr>
            <w:tcW w:w="248"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c>
          <w:tcPr>
            <w:tcW w:w="1381" w:type="dxa"/>
            <w:tcBorders/>
            <w:shd w:fill="auto" w:val="clear"/>
            <w:vAlign w:val="center"/>
          </w:tcPr>
          <w:p>
            <w:pPr>
              <w:pStyle w:val="TableContents"/>
              <w:spacing w:before="0" w:after="0"/>
              <w:ind w:left="0" w:right="0" w:hanging="0"/>
              <w:jc w:val="center"/>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jc w:val="center"/>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15" w:type="dxa"/>
            <w:tcBorders/>
            <w:shd w:fill="auto" w:val="clear"/>
            <w:vAlign w:val="center"/>
          </w:tcPr>
          <w:p>
            <w:pPr>
              <w:pStyle w:val="TableContents"/>
              <w:spacing w:before="0" w:after="0"/>
              <w:ind w:left="0" w:right="0" w:hanging="0"/>
              <w:rPr/>
            </w:pPr>
            <w:r>
              <w:rPr/>
              <w:t xml:space="preserve">  </w:t>
            </w:r>
          </w:p>
        </w:tc>
        <w:tc>
          <w:tcPr>
            <w:tcW w:w="598" w:type="dxa"/>
            <w:tcBorders/>
            <w:shd w:fill="auto" w:val="clear"/>
            <w:vAlign w:val="center"/>
          </w:tcPr>
          <w:p>
            <w:pPr>
              <w:pStyle w:val="TableContents"/>
              <w:spacing w:before="0" w:after="0"/>
              <w:ind w:left="0" w:right="0" w:hanging="0"/>
              <w:jc w:val="center"/>
              <w:rPr/>
            </w:pPr>
            <w:r>
              <w:rPr/>
              <w:t xml:space="preserve">  </w:t>
            </w:r>
          </w:p>
        </w:tc>
        <w:tc>
          <w:tcPr>
            <w:tcW w:w="304" w:type="dxa"/>
            <w:tcBorders/>
            <w:shd w:fill="auto" w:val="clear"/>
            <w:vAlign w:val="center"/>
          </w:tcPr>
          <w:p>
            <w:pPr>
              <w:pStyle w:val="TableContents"/>
              <w:spacing w:before="0" w:after="0"/>
              <w:ind w:left="0" w:right="0" w:hanging="0"/>
              <w:rPr/>
            </w:pPr>
            <w:r>
              <w:rPr/>
              <w:t xml:space="preserve">  </w:t>
            </w:r>
          </w:p>
        </w:tc>
      </w:tr>
      <w:tr>
        <w:trPr/>
        <w:tc>
          <w:tcPr>
            <w:tcW w:w="1860"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424" w:type="dxa"/>
            <w:gridSpan w:val="2"/>
            <w:tcBorders/>
            <w:shd w:fill="auto" w:val="clear"/>
            <w:vAlign w:val="center"/>
          </w:tcPr>
          <w:p>
            <w:pPr>
              <w:pStyle w:val="TableContents"/>
              <w:spacing w:lineRule="auto" w:line="288" w:before="0" w:after="0"/>
              <w:ind w:left="0" w:right="0" w:hanging="0"/>
              <w:jc w:val="center"/>
              <w:rPr>
                <w:rFonts w:ascii="times new roman;times" w:hAnsi="times new roman;times"/>
                <w:b/>
                <w:sz w:val="18"/>
              </w:rPr>
            </w:pPr>
            <w:r>
              <w:rPr>
                <w:rFonts w:ascii="times new roman;times" w:hAnsi="times new roman;times"/>
                <w:b/>
                <w:sz w:val="18"/>
              </w:rPr>
              <w:t xml:space="preserve">Currently Owned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2170" w:type="dxa"/>
            <w:gridSpan w:val="2"/>
            <w:tcBorders/>
            <w:shd w:fill="auto" w:val="clear"/>
            <w:vAlign w:val="center"/>
          </w:tcPr>
          <w:p>
            <w:pPr>
              <w:pStyle w:val="TableContents"/>
              <w:spacing w:lineRule="auto" w:line="288" w:before="0" w:after="0"/>
              <w:ind w:left="0" w:right="0" w:hanging="0"/>
              <w:jc w:val="center"/>
              <w:rPr>
                <w:rFonts w:ascii="times new roman;times" w:hAnsi="times new roman;times"/>
              </w:rPr>
            </w:pPr>
            <w:r>
              <w:rPr>
                <w:rFonts w:ascii="times new roman;times" w:hAnsi="times new roman;times"/>
                <w:b/>
                <w:sz w:val="18"/>
              </w:rPr>
              <w:t>Currently Owned</w:t>
            </w:r>
            <w:r>
              <w:rPr>
                <w:rFonts w:ascii="times new roman;times" w:hAnsi="times new roman;times"/>
                <w:sz w:val="18"/>
              </w:rPr>
              <w:t> </w:t>
            </w:r>
            <w:r>
              <w:rPr>
                <w:rFonts w:ascii="times new roman;times" w:hAnsi="times new roman;times"/>
                <w:b/>
                <w:sz w:val="18"/>
              </w:rPr>
              <w:t>Percent </w:t>
            </w:r>
            <w:r>
              <w:rPr>
                <w:rFonts w:ascii="times new roman;times" w:hAnsi="times new roman;times"/>
                <w:b/>
                <w:position w:val="5"/>
                <w:sz w:val="11"/>
                <w:sz w:val="14"/>
              </w:rPr>
              <w:t>(2)</w:t>
            </w:r>
          </w:p>
        </w:tc>
        <w:tc>
          <w:tcPr>
            <w:tcW w:w="248"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570" w:type="dxa"/>
            <w:gridSpan w:val="2"/>
            <w:tcBorders/>
            <w:shd w:fill="auto" w:val="clear"/>
            <w:vAlign w:val="center"/>
          </w:tcPr>
          <w:p>
            <w:pPr>
              <w:pStyle w:val="TableContents"/>
              <w:spacing w:lineRule="auto" w:line="288" w:before="0" w:after="0"/>
              <w:ind w:left="0" w:right="0" w:hanging="0"/>
              <w:jc w:val="center"/>
              <w:rPr>
                <w:rFonts w:ascii="times new roman;times" w:hAnsi="times new roman;times"/>
                <w:b/>
                <w:sz w:val="18"/>
              </w:rPr>
            </w:pPr>
            <w:r>
              <w:rPr>
                <w:rFonts w:ascii="times new roman;times" w:hAnsi="times new roman;times"/>
                <w:b/>
                <w:sz w:val="18"/>
              </w:rPr>
              <w:t xml:space="preserve">Shares that could be acquired within 60 days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084" w:type="dxa"/>
            <w:gridSpan w:val="2"/>
            <w:tcBorders/>
            <w:shd w:fill="auto" w:val="clear"/>
            <w:vAlign w:val="center"/>
          </w:tcPr>
          <w:p>
            <w:pPr>
              <w:pStyle w:val="TableContents"/>
              <w:spacing w:before="0" w:after="0"/>
              <w:ind w:left="0" w:right="0" w:hanging="0"/>
              <w:jc w:val="center"/>
              <w:rPr>
                <w:rFonts w:ascii="times new roman;times" w:hAnsi="times new roman;times"/>
                <w:sz w:val="18"/>
              </w:rPr>
            </w:pPr>
            <w:r>
              <w:rPr>
                <w:rFonts w:ascii="times new roman;times" w:hAnsi="times new roman;times"/>
                <w:b/>
                <w:sz w:val="18"/>
              </w:rPr>
              <w:t>Total</w:t>
            </w:r>
            <w:r>
              <w:rPr>
                <w:rFonts w:ascii="times new roman;times" w:hAnsi="times new roman;times"/>
                <w:b/>
                <w:position w:val="6"/>
                <w:sz w:val="14"/>
                <w:sz w:val="18"/>
              </w:rPr>
              <w:t> (2)</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713" w:type="dxa"/>
            <w:gridSpan w:val="2"/>
            <w:tcBorders/>
            <w:shd w:fill="auto" w:val="clear"/>
            <w:vAlign w:val="center"/>
          </w:tcPr>
          <w:p>
            <w:pPr>
              <w:pStyle w:val="TableContents"/>
              <w:spacing w:before="0" w:after="0"/>
              <w:ind w:left="0" w:right="0" w:hanging="0"/>
              <w:jc w:val="center"/>
              <w:rPr>
                <w:rFonts w:ascii="times new roman;times" w:hAnsi="times new roman;times"/>
                <w:sz w:val="18"/>
              </w:rPr>
            </w:pPr>
            <w:r>
              <w:rPr>
                <w:rFonts w:ascii="times new roman;times" w:hAnsi="times new roman;times"/>
                <w:b/>
                <w:sz w:val="18"/>
              </w:rPr>
              <w:t>Percent </w:t>
            </w:r>
            <w:r>
              <w:rPr>
                <w:rFonts w:ascii="times new roman;times" w:hAnsi="times new roman;times"/>
                <w:b/>
                <w:position w:val="5"/>
                <w:sz w:val="11"/>
                <w:sz w:val="14"/>
              </w:rPr>
              <w:t>(</w:t>
            </w:r>
            <w:r>
              <w:rPr>
                <w:rFonts w:ascii="times new roman;times" w:hAnsi="times new roman;times"/>
                <w:b/>
                <w:position w:val="5"/>
                <w:sz w:val="11"/>
                <w:sz w:val="14"/>
              </w:rPr>
              <w:t>2</w:t>
            </w:r>
            <w:r>
              <w:rPr>
                <w:rFonts w:ascii="times new roman;times" w:hAnsi="times new roman;times"/>
                <w:b/>
                <w:position w:val="5"/>
                <w:sz w:val="11"/>
                <w:sz w:val="14"/>
              </w:rPr>
              <w:t>)</w:t>
            </w:r>
          </w:p>
        </w:tc>
        <w:tc>
          <w:tcPr>
            <w:tcW w:w="304" w:type="dxa"/>
            <w:tcBorders/>
            <w:shd w:fill="auto" w:val="clear"/>
            <w:vAlign w:val="center"/>
          </w:tcPr>
          <w:p>
            <w:pPr>
              <w:pStyle w:val="TableContents"/>
              <w:spacing w:before="0" w:after="0"/>
              <w:ind w:left="0" w:right="0" w:hanging="0"/>
              <w:rPr/>
            </w:pPr>
            <w:r>
              <w:rPr/>
              <w:t xml:space="preserve">  </w:t>
            </w:r>
          </w:p>
        </w:tc>
      </w:tr>
      <w:tr>
        <w:trPr/>
        <w:tc>
          <w:tcPr>
            <w:tcW w:w="1860"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 w:hAnsi="times new roman;times"/>
                <w:sz w:val="18"/>
              </w:rPr>
            </w:pPr>
            <w:r>
              <w:rPr>
                <w:rFonts w:ascii="times new roman;times" w:hAnsi="times new roman;times"/>
                <w:b/>
                <w:sz w:val="18"/>
              </w:rPr>
              <w:t>Name of Beneficial Owner </w:t>
            </w:r>
            <w:r>
              <w:rPr>
                <w:rFonts w:ascii="times new roman;times" w:hAnsi="times new roman;times"/>
                <w:b/>
                <w:position w:val="6"/>
                <w:sz w:val="14"/>
                <w:sz w:val="18"/>
              </w:rPr>
              <w:t>(1)</w:t>
            </w:r>
          </w:p>
        </w:tc>
        <w:tc>
          <w:tcPr>
            <w:tcW w:w="104" w:type="dxa"/>
            <w:tcBorders/>
            <w:shd w:fill="auto" w:val="clear"/>
            <w:vAlign w:val="center"/>
          </w:tcPr>
          <w:p>
            <w:pPr>
              <w:pStyle w:val="TableContents"/>
              <w:pBdr/>
              <w:spacing w:before="0" w:after="0"/>
              <w:ind w:left="0" w:right="0" w:hanging="0"/>
              <w:rPr/>
            </w:pPr>
            <w:r>
              <w:rPr/>
              <w:t xml:space="preserve">  </w:t>
            </w:r>
          </w:p>
        </w:tc>
        <w:tc>
          <w:tcPr>
            <w:tcW w:w="1424" w:type="dxa"/>
            <w:gridSpan w:val="2"/>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 w:hAnsi="times new roman;times"/>
                <w:sz w:val="18"/>
              </w:rPr>
            </w:pPr>
            <w:r>
              <w:rPr>
                <w:rFonts w:ascii="times new roman;times" w:hAnsi="times new roman;times"/>
                <w:sz w:val="18"/>
              </w:rPr>
              <w:t xml:space="preserve">(A) </w:t>
            </w:r>
          </w:p>
        </w:tc>
        <w:tc>
          <w:tcPr>
            <w:tcW w:w="104" w:type="dxa"/>
            <w:tcBorders/>
            <w:shd w:fill="auto" w:val="clear"/>
            <w:vAlign w:val="center"/>
          </w:tcPr>
          <w:p>
            <w:pPr>
              <w:pStyle w:val="TableContents"/>
              <w:pBdr/>
              <w:spacing w:before="0" w:after="0"/>
              <w:ind w:left="0" w:right="0" w:hanging="0"/>
              <w:rPr/>
            </w:pPr>
            <w:r>
              <w:rPr/>
              <w:t xml:space="preserve">  </w:t>
            </w:r>
          </w:p>
        </w:tc>
        <w:tc>
          <w:tcPr>
            <w:tcW w:w="104" w:type="dxa"/>
            <w:tcBorders/>
            <w:shd w:fill="auto" w:val="clear"/>
            <w:vAlign w:val="center"/>
          </w:tcPr>
          <w:p>
            <w:pPr>
              <w:pStyle w:val="TableContents"/>
              <w:pBdr/>
              <w:spacing w:before="0" w:after="0"/>
              <w:ind w:left="0" w:right="0" w:hanging="0"/>
              <w:rPr/>
            </w:pPr>
            <w:r>
              <w:rPr/>
              <w:t xml:space="preserve">  </w:t>
            </w:r>
          </w:p>
        </w:tc>
        <w:tc>
          <w:tcPr>
            <w:tcW w:w="2170" w:type="dxa"/>
            <w:gridSpan w:val="2"/>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 w:hAnsi="times new roman;times"/>
                <w:sz w:val="18"/>
              </w:rPr>
            </w:pPr>
            <w:r>
              <w:rPr>
                <w:rFonts w:ascii="times new roman;times" w:hAnsi="times new roman;times"/>
                <w:sz w:val="18"/>
              </w:rPr>
              <w:t xml:space="preserve">(B) </w:t>
            </w:r>
          </w:p>
        </w:tc>
        <w:tc>
          <w:tcPr>
            <w:tcW w:w="248" w:type="dxa"/>
            <w:tcBorders/>
            <w:shd w:fill="auto" w:val="clear"/>
            <w:vAlign w:val="center"/>
          </w:tcPr>
          <w:p>
            <w:pPr>
              <w:pStyle w:val="TableContents"/>
              <w:pBdr/>
              <w:spacing w:before="0" w:after="0"/>
              <w:ind w:left="0" w:right="0" w:hanging="0"/>
              <w:rPr/>
            </w:pPr>
            <w:r>
              <w:rPr/>
              <w:t xml:space="preserve">  </w:t>
            </w:r>
          </w:p>
        </w:tc>
        <w:tc>
          <w:tcPr>
            <w:tcW w:w="104" w:type="dxa"/>
            <w:tcBorders/>
            <w:shd w:fill="auto" w:val="clear"/>
            <w:vAlign w:val="center"/>
          </w:tcPr>
          <w:p>
            <w:pPr>
              <w:pStyle w:val="TableContents"/>
              <w:pBdr/>
              <w:spacing w:before="0" w:after="0"/>
              <w:ind w:left="0" w:right="0" w:hanging="0"/>
              <w:rPr/>
            </w:pPr>
            <w:r>
              <w:rPr/>
              <w:t xml:space="preserve">  </w:t>
            </w:r>
          </w:p>
        </w:tc>
        <w:tc>
          <w:tcPr>
            <w:tcW w:w="1570" w:type="dxa"/>
            <w:gridSpan w:val="2"/>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 w:hAnsi="times new roman;times"/>
                <w:sz w:val="18"/>
              </w:rPr>
            </w:pPr>
            <w:r>
              <w:rPr>
                <w:rFonts w:ascii="times new roman;times" w:hAnsi="times new roman;times"/>
                <w:sz w:val="18"/>
              </w:rPr>
              <w:t xml:space="preserve">(C) </w:t>
            </w:r>
          </w:p>
        </w:tc>
        <w:tc>
          <w:tcPr>
            <w:tcW w:w="104" w:type="dxa"/>
            <w:tcBorders/>
            <w:shd w:fill="auto" w:val="clear"/>
            <w:vAlign w:val="center"/>
          </w:tcPr>
          <w:p>
            <w:pPr>
              <w:pStyle w:val="TableContents"/>
              <w:pBdr/>
              <w:spacing w:before="0" w:after="0"/>
              <w:ind w:left="0" w:right="0" w:hanging="0"/>
              <w:rPr/>
            </w:pPr>
            <w:r>
              <w:rPr/>
              <w:t xml:space="preserve">  </w:t>
            </w:r>
          </w:p>
        </w:tc>
        <w:tc>
          <w:tcPr>
            <w:tcW w:w="104" w:type="dxa"/>
            <w:tcBorders/>
            <w:shd w:fill="auto" w:val="clear"/>
            <w:vAlign w:val="center"/>
          </w:tcPr>
          <w:p>
            <w:pPr>
              <w:pStyle w:val="TableContents"/>
              <w:pBdr/>
              <w:spacing w:before="0" w:after="0"/>
              <w:ind w:left="0" w:right="0" w:hanging="0"/>
              <w:rPr/>
            </w:pPr>
            <w:r>
              <w:rPr/>
              <w:t xml:space="preserve">  </w:t>
            </w:r>
          </w:p>
        </w:tc>
        <w:tc>
          <w:tcPr>
            <w:tcW w:w="1084" w:type="dxa"/>
            <w:gridSpan w:val="2"/>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 w:hAnsi="times new roman;times"/>
                <w:sz w:val="18"/>
              </w:rPr>
            </w:pPr>
            <w:r>
              <w:rPr>
                <w:rFonts w:ascii="times new roman;times" w:hAnsi="times new roman;times"/>
                <w:sz w:val="18"/>
              </w:rPr>
              <w:t xml:space="preserve">(D) </w:t>
            </w:r>
          </w:p>
        </w:tc>
        <w:tc>
          <w:tcPr>
            <w:tcW w:w="104" w:type="dxa"/>
            <w:tcBorders/>
            <w:shd w:fill="auto" w:val="clear"/>
            <w:vAlign w:val="center"/>
          </w:tcPr>
          <w:p>
            <w:pPr>
              <w:pStyle w:val="TableContents"/>
              <w:pBdr/>
              <w:spacing w:before="0" w:after="0"/>
              <w:ind w:left="0" w:right="0" w:hanging="0"/>
              <w:rPr/>
            </w:pPr>
            <w:r>
              <w:rPr/>
              <w:t xml:space="preserve">  </w:t>
            </w:r>
          </w:p>
        </w:tc>
        <w:tc>
          <w:tcPr>
            <w:tcW w:w="104" w:type="dxa"/>
            <w:tcBorders/>
            <w:shd w:fill="auto" w:val="clear"/>
            <w:vAlign w:val="center"/>
          </w:tcPr>
          <w:p>
            <w:pPr>
              <w:pStyle w:val="TableContents"/>
              <w:pBdr/>
              <w:spacing w:before="0" w:after="0"/>
              <w:ind w:left="0" w:right="0" w:hanging="0"/>
              <w:rPr/>
            </w:pPr>
            <w:r>
              <w:rPr/>
              <w:t xml:space="preserve">  </w:t>
            </w:r>
          </w:p>
        </w:tc>
        <w:tc>
          <w:tcPr>
            <w:tcW w:w="713" w:type="dxa"/>
            <w:gridSpan w:val="2"/>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 w:hAnsi="times new roman;times"/>
                <w:sz w:val="18"/>
              </w:rPr>
            </w:pPr>
            <w:r>
              <w:rPr>
                <w:rFonts w:ascii="times new roman;times" w:hAnsi="times new roman;times"/>
                <w:sz w:val="18"/>
              </w:rPr>
              <w:t xml:space="preserve">(E) </w:t>
            </w:r>
          </w:p>
        </w:tc>
        <w:tc>
          <w:tcPr>
            <w:tcW w:w="304" w:type="dxa"/>
            <w:tcBorders/>
            <w:shd w:fill="auto" w:val="clear"/>
            <w:vAlign w:val="center"/>
          </w:tcPr>
          <w:p>
            <w:pPr>
              <w:pStyle w:val="TableContents"/>
              <w:spacing w:before="0" w:after="283"/>
              <w:rPr/>
            </w:pPr>
            <w:r>
              <w:rPr/>
            </w:r>
          </w:p>
        </w:tc>
      </w:tr>
      <w:tr>
        <w:trPr/>
        <w:tc>
          <w:tcPr>
            <w:tcW w:w="1860" w:type="dxa"/>
            <w:tcBorders/>
            <w:shd w:fill="CCEEFF" w:val="clear"/>
            <w:vAlign w:val="center"/>
          </w:tcPr>
          <w:p>
            <w:pPr>
              <w:pStyle w:val="TableContents"/>
              <w:spacing w:before="0" w:after="0"/>
              <w:ind w:left="0" w:right="0" w:hanging="0"/>
              <w:rPr>
                <w:rFonts w:ascii="times new roman;times" w:hAnsi="times new roman;times"/>
                <w:b/>
                <w:sz w:val="20"/>
                <w:u w:val="single"/>
              </w:rPr>
            </w:pPr>
            <w:r>
              <w:rPr>
                <w:rFonts w:ascii="times new roman;times" w:hAnsi="times new roman;times"/>
                <w:b/>
                <w:sz w:val="20"/>
                <w:u w:val="single"/>
              </w:rPr>
              <w:t xml:space="preserve">Directors and Executive Officers: </w:t>
            </w:r>
          </w:p>
        </w:tc>
        <w:tc>
          <w:tcPr>
            <w:tcW w:w="104" w:type="dxa"/>
            <w:tcBorders/>
            <w:shd w:fill="CCEEFF" w:val="clear"/>
            <w:vAlign w:val="center"/>
          </w:tcPr>
          <w:p>
            <w:pPr>
              <w:pStyle w:val="TableContents"/>
              <w:spacing w:before="0" w:after="0"/>
              <w:ind w:left="0" w:right="0" w:hanging="0"/>
              <w:rPr/>
            </w:pPr>
            <w:r>
              <w:rPr/>
              <w:t xml:space="preserve">  </w:t>
            </w:r>
          </w:p>
        </w:tc>
        <w:tc>
          <w:tcPr>
            <w:tcW w:w="126" w:type="dxa"/>
            <w:tcBorders/>
            <w:shd w:fill="CCEEFF" w:val="clear"/>
            <w:vAlign w:val="center"/>
          </w:tcPr>
          <w:p>
            <w:pPr>
              <w:pStyle w:val="TableContents"/>
              <w:spacing w:before="0" w:after="0"/>
              <w:ind w:left="0" w:right="0" w:hanging="0"/>
              <w:rPr/>
            </w:pPr>
            <w:r>
              <w:rPr/>
              <w:t xml:space="preserve">  </w:t>
            </w:r>
          </w:p>
        </w:tc>
        <w:tc>
          <w:tcPr>
            <w:tcW w:w="1298"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1848" w:type="dxa"/>
            <w:tcBorders/>
            <w:shd w:fill="CCEEFF" w:val="clear"/>
            <w:vAlign w:val="center"/>
          </w:tcPr>
          <w:p>
            <w:pPr>
              <w:pStyle w:val="TableContents"/>
              <w:spacing w:before="0" w:after="0"/>
              <w:ind w:left="0" w:right="0" w:hanging="0"/>
              <w:rPr/>
            </w:pPr>
            <w:r>
              <w:rPr/>
              <w:t xml:space="preserve">  </w:t>
            </w:r>
          </w:p>
        </w:tc>
        <w:tc>
          <w:tcPr>
            <w:tcW w:w="248"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89" w:type="dxa"/>
            <w:tcBorders/>
            <w:shd w:fill="CCEEFF" w:val="clear"/>
            <w:vAlign w:val="center"/>
          </w:tcPr>
          <w:p>
            <w:pPr>
              <w:pStyle w:val="TableContents"/>
              <w:spacing w:before="0" w:after="0"/>
              <w:ind w:left="0" w:right="0" w:hanging="0"/>
              <w:rPr/>
            </w:pPr>
            <w:r>
              <w:rPr/>
              <w:t xml:space="preserve">  </w:t>
            </w:r>
          </w:p>
        </w:tc>
        <w:tc>
          <w:tcPr>
            <w:tcW w:w="1381"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15" w:type="dxa"/>
            <w:tcBorders/>
            <w:shd w:fill="CCEEFF" w:val="clear"/>
            <w:vAlign w:val="center"/>
          </w:tcPr>
          <w:p>
            <w:pPr>
              <w:pStyle w:val="TableContents"/>
              <w:spacing w:before="0" w:after="0"/>
              <w:ind w:left="0" w:right="0" w:hanging="0"/>
              <w:rPr/>
            </w:pPr>
            <w:r>
              <w:rPr/>
              <w:t xml:space="preserve">  </w:t>
            </w:r>
          </w:p>
        </w:tc>
        <w:tc>
          <w:tcPr>
            <w:tcW w:w="598" w:type="dxa"/>
            <w:tcBorders/>
            <w:shd w:fill="CCEEFF" w:val="clear"/>
            <w:vAlign w:val="center"/>
          </w:tcPr>
          <w:p>
            <w:pPr>
              <w:pStyle w:val="TableContents"/>
              <w:spacing w:before="0" w:after="0"/>
              <w:ind w:left="0" w:right="0" w:hanging="0"/>
              <w:rPr/>
            </w:pPr>
            <w:r>
              <w:rPr/>
              <w:t xml:space="preserve">  </w:t>
            </w:r>
          </w:p>
        </w:tc>
        <w:tc>
          <w:tcPr>
            <w:tcW w:w="304" w:type="dxa"/>
            <w:tcBorders/>
            <w:shd w:fill="CCEEFF" w:val="clear"/>
            <w:vAlign w:val="center"/>
          </w:tcPr>
          <w:p>
            <w:pPr>
              <w:pStyle w:val="TableContents"/>
              <w:spacing w:before="0" w:after="0"/>
              <w:ind w:left="0" w:right="0" w:hanging="0"/>
              <w:rPr/>
            </w:pPr>
            <w:r>
              <w:rPr/>
              <w:t xml:space="preserve">  </w:t>
            </w:r>
          </w:p>
        </w:tc>
      </w:tr>
      <w:tr>
        <w:trPr/>
        <w:tc>
          <w:tcPr>
            <w:tcW w:w="1860" w:type="dxa"/>
            <w:tcBorders/>
            <w:shd w:fill="auto" w:val="clear"/>
            <w:vAlign w:val="cente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Derek L. Graham </w:t>
            </w:r>
          </w:p>
        </w:tc>
        <w:tc>
          <w:tcPr>
            <w:tcW w:w="104" w:type="dxa"/>
            <w:tcBorders/>
            <w:shd w:fill="auto" w:val="clear"/>
            <w:vAlign w:val="cente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0"/>
              <w:ind w:left="0" w:right="0" w:hanging="0"/>
              <w:rPr/>
            </w:pPr>
            <w:r>
              <w:rPr/>
              <w:t xml:space="preserve">  </w:t>
            </w:r>
          </w:p>
        </w:tc>
        <w:tc>
          <w:tcPr>
            <w:tcW w:w="129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3,940</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322" w:type="dxa"/>
            <w:tcBorders/>
            <w:shd w:fill="auto" w:val="clear"/>
            <w:vAlign w:val="center"/>
          </w:tcPr>
          <w:p>
            <w:pPr>
              <w:pStyle w:val="TableContents"/>
              <w:spacing w:before="0" w:after="0"/>
              <w:ind w:left="0" w:right="0" w:hanging="0"/>
              <w:rPr/>
            </w:pPr>
            <w:r>
              <w:rPr/>
              <w:t xml:space="preserve">  </w:t>
            </w:r>
          </w:p>
        </w:tc>
        <w:tc>
          <w:tcPr>
            <w:tcW w:w="184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0.02</w:t>
            </w:r>
          </w:p>
        </w:tc>
        <w:tc>
          <w:tcPr>
            <w:tcW w:w="248"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c>
          <w:tcPr>
            <w:tcW w:w="1381"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218,626</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222,566</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15" w:type="dxa"/>
            <w:tcBorders/>
            <w:shd w:fill="auto" w:val="clear"/>
            <w:vAlign w:val="center"/>
          </w:tcPr>
          <w:p>
            <w:pPr>
              <w:pStyle w:val="TableContents"/>
              <w:spacing w:before="0" w:after="0"/>
              <w:ind w:left="0" w:right="0" w:hanging="0"/>
              <w:rPr/>
            </w:pPr>
            <w:r>
              <w:rPr/>
              <w:t xml:space="preserve">  </w:t>
            </w:r>
          </w:p>
        </w:tc>
        <w:tc>
          <w:tcPr>
            <w:tcW w:w="59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0.04</w:t>
            </w:r>
          </w:p>
        </w:tc>
        <w:tc>
          <w:tcPr>
            <w:tcW w:w="304"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1860"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Larry R. Hendricks </w:t>
            </w:r>
          </w:p>
        </w:tc>
        <w:tc>
          <w:tcPr>
            <w:tcW w:w="104" w:type="dxa"/>
            <w:tcBorders/>
            <w:shd w:fill="CCEEFF" w:val="clear"/>
            <w:vAlign w:val="center"/>
          </w:tcPr>
          <w:p>
            <w:pPr>
              <w:pStyle w:val="TableContents"/>
              <w:spacing w:before="0" w:after="0"/>
              <w:ind w:left="0" w:right="0" w:hanging="0"/>
              <w:rPr/>
            </w:pPr>
            <w:r>
              <w:rPr/>
              <w:t xml:space="preserve">  </w:t>
            </w:r>
          </w:p>
        </w:tc>
        <w:tc>
          <w:tcPr>
            <w:tcW w:w="126" w:type="dxa"/>
            <w:tcBorders/>
            <w:shd w:fill="CCEEFF" w:val="clear"/>
            <w:vAlign w:val="center"/>
          </w:tcPr>
          <w:p>
            <w:pPr>
              <w:pStyle w:val="TableContents"/>
              <w:spacing w:before="0" w:after="0"/>
              <w:ind w:left="0" w:right="0" w:hanging="0"/>
              <w:rPr/>
            </w:pPr>
            <w:r>
              <w:rPr/>
              <w:t xml:space="preserve">  </w:t>
            </w:r>
          </w:p>
        </w:tc>
        <w:tc>
          <w:tcPr>
            <w:tcW w:w="129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13,048</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184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0.05</w:t>
            </w:r>
          </w:p>
        </w:tc>
        <w:tc>
          <w:tcPr>
            <w:tcW w:w="248"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89" w:type="dxa"/>
            <w:tcBorders/>
            <w:shd w:fill="CCEEFF" w:val="clear"/>
            <w:vAlign w:val="center"/>
          </w:tcPr>
          <w:p>
            <w:pPr>
              <w:pStyle w:val="TableContents"/>
              <w:spacing w:before="0" w:after="0"/>
              <w:ind w:left="0" w:right="0" w:hanging="0"/>
              <w:rPr/>
            </w:pPr>
            <w:r>
              <w:rPr/>
              <w:t xml:space="preserve">  </w:t>
            </w:r>
          </w:p>
        </w:tc>
        <w:tc>
          <w:tcPr>
            <w:tcW w:w="1381"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56,666</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69,714</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15" w:type="dxa"/>
            <w:tcBorders/>
            <w:shd w:fill="CCEEFF" w:val="clear"/>
            <w:vAlign w:val="center"/>
          </w:tcPr>
          <w:p>
            <w:pPr>
              <w:pStyle w:val="TableContents"/>
              <w:spacing w:before="0" w:after="0"/>
              <w:ind w:left="0" w:right="0" w:hanging="0"/>
              <w:rPr/>
            </w:pPr>
            <w:r>
              <w:rPr/>
              <w:t xml:space="preserve">  </w:t>
            </w:r>
          </w:p>
        </w:tc>
        <w:tc>
          <w:tcPr>
            <w:tcW w:w="59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0.28</w:t>
            </w:r>
          </w:p>
        </w:tc>
        <w:tc>
          <w:tcPr>
            <w:tcW w:w="304"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1860"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Lisa B. Higley </w:t>
            </w:r>
            <w:r>
              <w:rPr>
                <w:rFonts w:ascii="times new roman;times" w:hAnsi="times new roman;times"/>
                <w:position w:val="8"/>
                <w:sz w:val="19"/>
              </w:rPr>
              <w:t>(3)</w:t>
            </w:r>
          </w:p>
        </w:tc>
        <w:tc>
          <w:tcPr>
            <w:tcW w:w="104" w:type="dxa"/>
            <w:tcBorders/>
            <w:shd w:fill="auto" w:val="clear"/>
            <w:vAlign w:val="center"/>
          </w:tcPr>
          <w:p>
            <w:pPr>
              <w:pStyle w:val="TableContents"/>
              <w:spacing w:before="0" w:after="283"/>
              <w:rPr/>
            </w:pPr>
            <w:r>
              <w:rPr/>
            </w:r>
          </w:p>
        </w:tc>
        <w:tc>
          <w:tcPr>
            <w:tcW w:w="126" w:type="dxa"/>
            <w:tcBorders/>
            <w:shd w:fill="auto" w:val="clear"/>
            <w:vAlign w:val="center"/>
          </w:tcPr>
          <w:p>
            <w:pPr>
              <w:pStyle w:val="TableContents"/>
              <w:spacing w:before="0" w:after="283"/>
              <w:rPr/>
            </w:pPr>
            <w:r>
              <w:rPr/>
            </w:r>
          </w:p>
        </w:tc>
        <w:tc>
          <w:tcPr>
            <w:tcW w:w="1298" w:type="dxa"/>
            <w:tcBorders/>
            <w:shd w:fill="auto" w:val="clear"/>
            <w:vAlign w:val="center"/>
          </w:tcPr>
          <w:p>
            <w:pPr>
              <w:pStyle w:val="TableContents"/>
              <w:spacing w:before="0" w:after="283"/>
              <w:jc w:val="right"/>
              <w:rPr/>
            </w:pPr>
            <w:r>
              <w:rPr/>
              <w:t>14,501</w:t>
            </w:r>
          </w:p>
        </w:tc>
        <w:tc>
          <w:tcPr>
            <w:tcW w:w="104" w:type="dxa"/>
            <w:tcBorders/>
            <w:shd w:fill="auto" w:val="clear"/>
            <w:vAlign w:val="center"/>
          </w:tcPr>
          <w:p>
            <w:pPr>
              <w:pStyle w:val="TableContents"/>
              <w:spacing w:before="0" w:after="283"/>
              <w:rPr/>
            </w:pPr>
            <w:r>
              <w:rPr/>
            </w:r>
          </w:p>
        </w:tc>
        <w:tc>
          <w:tcPr>
            <w:tcW w:w="104" w:type="dxa"/>
            <w:tcBorders/>
            <w:shd w:fill="auto" w:val="clear"/>
            <w:vAlign w:val="center"/>
          </w:tcPr>
          <w:p>
            <w:pPr>
              <w:pStyle w:val="TableContents"/>
              <w:spacing w:before="0" w:after="283"/>
              <w:rPr/>
            </w:pPr>
            <w:r>
              <w:rPr/>
            </w:r>
          </w:p>
        </w:tc>
        <w:tc>
          <w:tcPr>
            <w:tcW w:w="322" w:type="dxa"/>
            <w:tcBorders/>
            <w:shd w:fill="auto" w:val="clear"/>
            <w:vAlign w:val="center"/>
          </w:tcPr>
          <w:p>
            <w:pPr>
              <w:pStyle w:val="TableContents"/>
              <w:spacing w:before="0" w:after="283"/>
              <w:rPr/>
            </w:pPr>
            <w:r>
              <w:rPr/>
            </w:r>
          </w:p>
        </w:tc>
        <w:tc>
          <w:tcPr>
            <w:tcW w:w="1848" w:type="dxa"/>
            <w:tcBorders/>
            <w:shd w:fill="auto" w:val="clear"/>
            <w:vAlign w:val="center"/>
          </w:tcPr>
          <w:p>
            <w:pPr>
              <w:pStyle w:val="TableContents"/>
              <w:widowControl/>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0.06</w:t>
            </w:r>
          </w:p>
        </w:tc>
        <w:tc>
          <w:tcPr>
            <w:tcW w:w="248" w:type="dxa"/>
            <w:tcBorders/>
            <w:shd w:fill="auto" w:val="clear"/>
            <w:vAlign w:val="center"/>
          </w:tcPr>
          <w:p>
            <w:pPr>
              <w:pStyle w:val="TableContents"/>
              <w:spacing w:before="0" w:after="283"/>
              <w:jc w:val="left"/>
              <w:rPr>
                <w:rFonts w:ascii="times new roman;times" w:hAnsi="times new roman;times"/>
              </w:rPr>
            </w:pPr>
            <w:r>
              <w:rPr>
                <w:rFonts w:ascii="times new roman;times" w:hAnsi="times new roman;times"/>
              </w:rPr>
              <w:t>%</w:t>
            </w:r>
          </w:p>
        </w:tc>
        <w:tc>
          <w:tcPr>
            <w:tcW w:w="104" w:type="dxa"/>
            <w:tcBorders/>
            <w:shd w:fill="auto" w:val="clear"/>
            <w:vAlign w:val="center"/>
          </w:tcPr>
          <w:p>
            <w:pPr>
              <w:pStyle w:val="TableContents"/>
              <w:spacing w:before="0" w:after="283"/>
              <w:rPr/>
            </w:pPr>
            <w:r>
              <w:rPr/>
            </w:r>
          </w:p>
        </w:tc>
        <w:tc>
          <w:tcPr>
            <w:tcW w:w="189" w:type="dxa"/>
            <w:tcBorders/>
            <w:shd w:fill="auto" w:val="clear"/>
            <w:vAlign w:val="center"/>
          </w:tcPr>
          <w:p>
            <w:pPr>
              <w:pStyle w:val="TableContents"/>
              <w:spacing w:before="0" w:after="283"/>
              <w:rPr/>
            </w:pPr>
            <w:r>
              <w:rPr/>
            </w:r>
          </w:p>
        </w:tc>
        <w:tc>
          <w:tcPr>
            <w:tcW w:w="1381" w:type="dxa"/>
            <w:tcBorders/>
            <w:shd w:fill="auto" w:val="clear"/>
            <w:vAlign w:val="center"/>
          </w:tcPr>
          <w:p>
            <w:pPr>
              <w:pStyle w:val="TableContents"/>
              <w:widowControl/>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6,666</w:t>
            </w:r>
          </w:p>
        </w:tc>
        <w:tc>
          <w:tcPr>
            <w:tcW w:w="104" w:type="dxa"/>
            <w:tcBorders/>
            <w:shd w:fill="auto" w:val="clear"/>
            <w:vAlign w:val="center"/>
          </w:tcPr>
          <w:p>
            <w:pPr>
              <w:pStyle w:val="TableContents"/>
              <w:spacing w:before="0" w:after="283"/>
              <w:rPr/>
            </w:pPr>
            <w:r>
              <w:rPr/>
            </w:r>
          </w:p>
        </w:tc>
        <w:tc>
          <w:tcPr>
            <w:tcW w:w="104" w:type="dxa"/>
            <w:tcBorders/>
            <w:shd w:fill="auto" w:val="clear"/>
            <w:vAlign w:val="center"/>
          </w:tcPr>
          <w:p>
            <w:pPr>
              <w:pStyle w:val="TableContents"/>
              <w:spacing w:before="0" w:after="283"/>
              <w:rPr/>
            </w:pPr>
            <w:r>
              <w:rPr/>
            </w:r>
          </w:p>
        </w:tc>
        <w:tc>
          <w:tcPr>
            <w:tcW w:w="104" w:type="dxa"/>
            <w:tcBorders/>
            <w:shd w:fill="auto" w:val="clear"/>
            <w:vAlign w:val="center"/>
          </w:tcPr>
          <w:p>
            <w:pPr>
              <w:pStyle w:val="TableContents"/>
              <w:spacing w:before="0" w:after="283"/>
              <w:rPr/>
            </w:pPr>
            <w:r>
              <w:rPr/>
            </w:r>
          </w:p>
        </w:tc>
        <w:tc>
          <w:tcPr>
            <w:tcW w:w="980" w:type="dxa"/>
            <w:tcBorders/>
            <w:shd w:fill="auto" w:val="clear"/>
            <w:vAlign w:val="center"/>
          </w:tcPr>
          <w:p>
            <w:pPr>
              <w:pStyle w:val="TableContents"/>
              <w:widowControl/>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21,167</w:t>
            </w:r>
          </w:p>
        </w:tc>
        <w:tc>
          <w:tcPr>
            <w:tcW w:w="104" w:type="dxa"/>
            <w:tcBorders/>
            <w:shd w:fill="auto" w:val="clear"/>
            <w:vAlign w:val="center"/>
          </w:tcPr>
          <w:p>
            <w:pPr>
              <w:pStyle w:val="TableContents"/>
              <w:spacing w:before="0" w:after="283"/>
              <w:rPr/>
            </w:pPr>
            <w:r>
              <w:rPr/>
            </w:r>
          </w:p>
        </w:tc>
        <w:tc>
          <w:tcPr>
            <w:tcW w:w="104" w:type="dxa"/>
            <w:tcBorders/>
            <w:shd w:fill="auto" w:val="clear"/>
            <w:vAlign w:val="center"/>
          </w:tcPr>
          <w:p>
            <w:pPr>
              <w:pStyle w:val="TableContents"/>
              <w:spacing w:before="0" w:after="283"/>
              <w:rPr/>
            </w:pPr>
            <w:r>
              <w:rPr/>
            </w:r>
          </w:p>
        </w:tc>
        <w:tc>
          <w:tcPr>
            <w:tcW w:w="115" w:type="dxa"/>
            <w:tcBorders/>
            <w:shd w:fill="auto" w:val="clear"/>
            <w:vAlign w:val="center"/>
          </w:tcPr>
          <w:p>
            <w:pPr>
              <w:pStyle w:val="TableContents"/>
              <w:spacing w:before="0" w:after="283"/>
              <w:rPr/>
            </w:pPr>
            <w:r>
              <w:rPr/>
            </w:r>
          </w:p>
        </w:tc>
        <w:tc>
          <w:tcPr>
            <w:tcW w:w="598" w:type="dxa"/>
            <w:tcBorders/>
            <w:shd w:fill="auto" w:val="clear"/>
            <w:vAlign w:val="center"/>
          </w:tcPr>
          <w:p>
            <w:pPr>
              <w:pStyle w:val="TableContents"/>
              <w:widowControl/>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0.14</w:t>
            </w:r>
          </w:p>
        </w:tc>
        <w:tc>
          <w:tcPr>
            <w:tcW w:w="304" w:type="dxa"/>
            <w:tcBorders/>
            <w:shd w:fill="auto" w:val="clear"/>
            <w:vAlign w:val="center"/>
          </w:tcPr>
          <w:p>
            <w:pPr>
              <w:pStyle w:val="TableContents"/>
              <w:spacing w:before="0" w:after="283"/>
              <w:rPr>
                <w:rFonts w:ascii="times new roman;times" w:hAnsi="times new roman;times"/>
              </w:rPr>
            </w:pPr>
            <w:r>
              <w:rPr>
                <w:rFonts w:ascii="times new roman;times" w:hAnsi="times new roman;times"/>
              </w:rPr>
              <w:t>%</w:t>
            </w:r>
          </w:p>
        </w:tc>
      </w:tr>
      <w:tr>
        <w:trPr/>
        <w:tc>
          <w:tcPr>
            <w:tcW w:w="1860"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Eric L. Robinson </w:t>
            </w:r>
          </w:p>
        </w:tc>
        <w:tc>
          <w:tcPr>
            <w:tcW w:w="104" w:type="dxa"/>
            <w:tcBorders/>
            <w:shd w:fill="CCEEFF" w:val="clear"/>
            <w:vAlign w:val="center"/>
          </w:tcPr>
          <w:p>
            <w:pPr>
              <w:pStyle w:val="TableContents"/>
              <w:spacing w:before="0" w:after="0"/>
              <w:ind w:left="0" w:right="0" w:hanging="0"/>
              <w:rPr/>
            </w:pPr>
            <w:r>
              <w:rPr/>
              <w:t xml:space="preserve">  </w:t>
            </w:r>
          </w:p>
        </w:tc>
        <w:tc>
          <w:tcPr>
            <w:tcW w:w="126" w:type="dxa"/>
            <w:tcBorders/>
            <w:shd w:fill="CCEEFF" w:val="clear"/>
            <w:vAlign w:val="center"/>
          </w:tcPr>
          <w:p>
            <w:pPr>
              <w:pStyle w:val="TableContents"/>
              <w:spacing w:before="0" w:after="0"/>
              <w:ind w:left="0" w:right="0" w:hanging="0"/>
              <w:rPr/>
            </w:pPr>
            <w:r>
              <w:rPr/>
              <w:t xml:space="preserve">  </w:t>
            </w:r>
          </w:p>
        </w:tc>
        <w:tc>
          <w:tcPr>
            <w:tcW w:w="129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65</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1848" w:type="dxa"/>
            <w:tcBorders/>
            <w:shd w:fill="CCEEFF" w:val="clear"/>
            <w:vAlign w:val="center"/>
          </w:tcPr>
          <w:p>
            <w:pPr>
              <w:pStyle w:val="TableContents"/>
              <w:spacing w:before="0" w:after="0"/>
              <w:ind w:left="0" w:right="0" w:hanging="0"/>
              <w:jc w:val="right"/>
              <w:rPr/>
            </w:pPr>
            <w:r>
              <w:rPr/>
              <w:t>—</w:t>
            </w:r>
          </w:p>
        </w:tc>
        <w:tc>
          <w:tcPr>
            <w:tcW w:w="248"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89" w:type="dxa"/>
            <w:tcBorders/>
            <w:shd w:fill="CCEEFF" w:val="clear"/>
            <w:vAlign w:val="center"/>
          </w:tcPr>
          <w:p>
            <w:pPr>
              <w:pStyle w:val="TableContents"/>
              <w:spacing w:before="0" w:after="0"/>
              <w:ind w:left="0" w:right="0" w:hanging="0"/>
              <w:rPr/>
            </w:pPr>
            <w:r>
              <w:rPr/>
              <w:t xml:space="preserve">  </w:t>
            </w:r>
          </w:p>
        </w:tc>
        <w:tc>
          <w:tcPr>
            <w:tcW w:w="1381"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34,999</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35,064</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15" w:type="dxa"/>
            <w:tcBorders/>
            <w:shd w:fill="CCEEFF" w:val="clear"/>
            <w:vAlign w:val="center"/>
          </w:tcPr>
          <w:p>
            <w:pPr>
              <w:pStyle w:val="TableContents"/>
              <w:spacing w:before="0" w:after="0"/>
              <w:ind w:left="0" w:right="0" w:hanging="0"/>
              <w:rPr/>
            </w:pPr>
            <w:r>
              <w:rPr/>
              <w:t xml:space="preserve">  </w:t>
            </w:r>
          </w:p>
        </w:tc>
        <w:tc>
          <w:tcPr>
            <w:tcW w:w="59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0.42</w:t>
            </w:r>
          </w:p>
        </w:tc>
        <w:tc>
          <w:tcPr>
            <w:tcW w:w="304"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1860"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Bruce Whaley </w:t>
            </w:r>
          </w:p>
        </w:tc>
        <w:tc>
          <w:tcPr>
            <w:tcW w:w="104" w:type="dxa"/>
            <w:tcBorders/>
            <w:shd w:fill="auto" w:val="clear"/>
            <w:vAlign w:val="cente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0"/>
              <w:ind w:left="0" w:right="0" w:hanging="0"/>
              <w:rPr/>
            </w:pPr>
            <w:r>
              <w:rPr/>
              <w:t xml:space="preserve">  </w:t>
            </w:r>
          </w:p>
        </w:tc>
        <w:tc>
          <w:tcPr>
            <w:tcW w:w="129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12,000</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322" w:type="dxa"/>
            <w:tcBorders/>
            <w:shd w:fill="auto" w:val="clear"/>
            <w:vAlign w:val="center"/>
          </w:tcPr>
          <w:p>
            <w:pPr>
              <w:pStyle w:val="TableContents"/>
              <w:spacing w:before="0" w:after="0"/>
              <w:ind w:left="0" w:right="0" w:hanging="0"/>
              <w:rPr/>
            </w:pPr>
            <w:r>
              <w:rPr/>
              <w:t xml:space="preserve">  </w:t>
            </w:r>
          </w:p>
        </w:tc>
        <w:tc>
          <w:tcPr>
            <w:tcW w:w="184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0.05</w:t>
            </w:r>
          </w:p>
        </w:tc>
        <w:tc>
          <w:tcPr>
            <w:tcW w:w="248"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c>
          <w:tcPr>
            <w:tcW w:w="1381"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6,666</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18,666</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15" w:type="dxa"/>
            <w:tcBorders/>
            <w:shd w:fill="auto" w:val="clear"/>
            <w:vAlign w:val="center"/>
          </w:tcPr>
          <w:p>
            <w:pPr>
              <w:pStyle w:val="TableContents"/>
              <w:spacing w:before="0" w:after="0"/>
              <w:ind w:left="0" w:right="0" w:hanging="0"/>
              <w:rPr/>
            </w:pPr>
            <w:r>
              <w:rPr/>
              <w:t xml:space="preserve">  </w:t>
            </w:r>
          </w:p>
        </w:tc>
        <w:tc>
          <w:tcPr>
            <w:tcW w:w="59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0.07</w:t>
            </w:r>
          </w:p>
        </w:tc>
        <w:tc>
          <w:tcPr>
            <w:tcW w:w="304"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1860"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Narsi Narayanan </w:t>
            </w:r>
          </w:p>
        </w:tc>
        <w:tc>
          <w:tcPr>
            <w:tcW w:w="104" w:type="dxa"/>
            <w:tcBorders/>
            <w:shd w:fill="CCEEFF" w:val="clear"/>
            <w:vAlign w:val="center"/>
          </w:tcPr>
          <w:p>
            <w:pPr>
              <w:pStyle w:val="TableContents"/>
              <w:spacing w:before="0" w:after="0"/>
              <w:ind w:left="0" w:right="0" w:hanging="0"/>
              <w:rPr/>
            </w:pPr>
            <w:r>
              <w:rPr/>
              <w:t xml:space="preserve">  </w:t>
            </w:r>
          </w:p>
        </w:tc>
        <w:tc>
          <w:tcPr>
            <w:tcW w:w="126" w:type="dxa"/>
            <w:tcBorders/>
            <w:shd w:fill="CCEEFF" w:val="clear"/>
            <w:vAlign w:val="center"/>
          </w:tcPr>
          <w:p>
            <w:pPr>
              <w:pStyle w:val="TableContents"/>
              <w:spacing w:before="0" w:after="0"/>
              <w:ind w:left="0" w:right="0" w:hanging="0"/>
              <w:rPr/>
            </w:pPr>
            <w:r>
              <w:rPr/>
              <w:t xml:space="preserve">  </w:t>
            </w:r>
          </w:p>
        </w:tc>
        <w:tc>
          <w:tcPr>
            <w:tcW w:w="1298" w:type="dxa"/>
            <w:tcBorders/>
            <w:shd w:fill="CCEEFF" w:val="clear"/>
            <w:vAlign w:val="center"/>
          </w:tcPr>
          <w:p>
            <w:pPr>
              <w:pStyle w:val="TableContents"/>
              <w:spacing w:before="0" w:after="0"/>
              <w:ind w:left="0" w:right="0" w:hanging="0"/>
              <w:jc w:val="right"/>
              <w:rPr/>
            </w:pPr>
            <w:r>
              <w:rPr/>
              <w:t>—</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1848" w:type="dxa"/>
            <w:tcBorders/>
            <w:shd w:fill="CCEEFF" w:val="clear"/>
            <w:vAlign w:val="center"/>
          </w:tcPr>
          <w:p>
            <w:pPr>
              <w:pStyle w:val="TableContents"/>
              <w:spacing w:before="0" w:after="0"/>
              <w:ind w:left="0" w:right="0" w:hanging="0"/>
              <w:jc w:val="right"/>
              <w:rPr/>
            </w:pPr>
            <w:r>
              <w:rPr/>
              <w:t>—</w:t>
            </w:r>
          </w:p>
        </w:tc>
        <w:tc>
          <w:tcPr>
            <w:tcW w:w="248"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89" w:type="dxa"/>
            <w:tcBorders/>
            <w:shd w:fill="CCEEFF" w:val="clear"/>
            <w:vAlign w:val="center"/>
          </w:tcPr>
          <w:p>
            <w:pPr>
              <w:pStyle w:val="TableContents"/>
              <w:spacing w:before="0" w:after="0"/>
              <w:ind w:left="0" w:right="0" w:hanging="0"/>
              <w:rPr/>
            </w:pPr>
            <w:r>
              <w:rPr/>
              <w:t xml:space="preserve">  </w:t>
            </w:r>
          </w:p>
        </w:tc>
        <w:tc>
          <w:tcPr>
            <w:tcW w:w="1381"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106,666</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106,666</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15" w:type="dxa"/>
            <w:tcBorders/>
            <w:shd w:fill="CCEEFF" w:val="clear"/>
            <w:vAlign w:val="center"/>
          </w:tcPr>
          <w:p>
            <w:pPr>
              <w:pStyle w:val="TableContents"/>
              <w:spacing w:before="0" w:after="0"/>
              <w:ind w:left="0" w:right="0" w:hanging="0"/>
              <w:rPr/>
            </w:pPr>
            <w:r>
              <w:rPr/>
              <w:t xml:space="preserve">  </w:t>
            </w:r>
          </w:p>
        </w:tc>
        <w:tc>
          <w:tcPr>
            <w:tcW w:w="59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0.08</w:t>
            </w:r>
          </w:p>
        </w:tc>
        <w:tc>
          <w:tcPr>
            <w:tcW w:w="304"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1860"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Total (Directors and Officers) </w:t>
            </w:r>
          </w:p>
        </w:tc>
        <w:tc>
          <w:tcPr>
            <w:tcW w:w="104" w:type="dxa"/>
            <w:tcBorders/>
            <w:shd w:fill="auto" w:val="clear"/>
            <w:vAlign w:val="center"/>
          </w:tcPr>
          <w:p>
            <w:pPr>
              <w:pStyle w:val="TableContents"/>
              <w:spacing w:before="0" w:after="0"/>
              <w:ind w:left="0" w:right="0" w:hanging="0"/>
              <w:rPr/>
            </w:pPr>
            <w:r>
              <w:rPr/>
              <w:t xml:space="preserve">  </w:t>
            </w:r>
          </w:p>
        </w:tc>
        <w:tc>
          <w:tcPr>
            <w:tcW w:w="12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xml:space="preserve">  </w:t>
            </w:r>
          </w:p>
        </w:tc>
        <w:tc>
          <w:tcPr>
            <w:tcW w:w="129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43,554</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32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xml:space="preserve">  </w:t>
            </w:r>
          </w:p>
        </w:tc>
        <w:tc>
          <w:tcPr>
            <w:tcW w:w="184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0.18</w:t>
            </w:r>
          </w:p>
        </w:tc>
        <w:tc>
          <w:tcPr>
            <w:tcW w:w="248"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8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xml:space="preserve">  </w:t>
            </w:r>
          </w:p>
        </w:tc>
        <w:tc>
          <w:tcPr>
            <w:tcW w:w="13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430,289</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xml:space="preserve">  </w:t>
            </w:r>
          </w:p>
        </w:tc>
        <w:tc>
          <w:tcPr>
            <w:tcW w:w="98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473,843</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 xml:space="preserve">  </w:t>
            </w:r>
          </w:p>
        </w:tc>
        <w:tc>
          <w:tcPr>
            <w:tcW w:w="59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1.03</w:t>
            </w:r>
          </w:p>
        </w:tc>
        <w:tc>
          <w:tcPr>
            <w:tcW w:w="304"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1860" w:type="dxa"/>
            <w:tcBorders/>
            <w:shd w:fill="CCEEFF" w:val="clear"/>
            <w:vAlign w:val="center"/>
          </w:tcPr>
          <w:p>
            <w:pPr>
              <w:pStyle w:val="TableContents"/>
              <w:spacing w:before="0" w:after="0"/>
              <w:ind w:left="0" w:right="0" w:hanging="0"/>
              <w:rPr>
                <w:rFonts w:ascii="times new roman;times" w:hAnsi="times new roman;times"/>
                <w:b/>
                <w:sz w:val="20"/>
                <w:u w:val="single"/>
              </w:rPr>
            </w:pPr>
            <w:r>
              <w:rPr>
                <w:rFonts w:ascii="times new roman;times" w:hAnsi="times new roman;times"/>
                <w:b/>
                <w:sz w:val="20"/>
                <w:u w:val="single"/>
              </w:rPr>
              <w:t>5% Shareholders:</w:t>
            </w:r>
          </w:p>
        </w:tc>
        <w:tc>
          <w:tcPr>
            <w:tcW w:w="104" w:type="dxa"/>
            <w:tcBorders/>
            <w:shd w:fill="CCEEFF" w:val="clear"/>
            <w:vAlign w:val="center"/>
          </w:tcPr>
          <w:p>
            <w:pPr>
              <w:pStyle w:val="TableContents"/>
              <w:spacing w:before="0" w:after="0"/>
              <w:ind w:left="0" w:right="0" w:hanging="0"/>
              <w:rPr/>
            </w:pPr>
            <w:r>
              <w:rPr/>
              <w:t xml:space="preserve">  </w:t>
            </w:r>
          </w:p>
        </w:tc>
        <w:tc>
          <w:tcPr>
            <w:tcW w:w="126" w:type="dxa"/>
            <w:tcBorders/>
            <w:shd w:fill="CCEEFF" w:val="clear"/>
            <w:vAlign w:val="center"/>
          </w:tcPr>
          <w:p>
            <w:pPr>
              <w:pStyle w:val="TableContents"/>
              <w:spacing w:before="0" w:after="0"/>
              <w:ind w:left="0" w:right="0" w:hanging="0"/>
              <w:rPr/>
            </w:pPr>
            <w:r>
              <w:rPr/>
              <w:t xml:space="preserve">  </w:t>
            </w:r>
          </w:p>
        </w:tc>
        <w:tc>
          <w:tcPr>
            <w:tcW w:w="1298"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1848" w:type="dxa"/>
            <w:tcBorders/>
            <w:shd w:fill="CCEEFF" w:val="clear"/>
            <w:vAlign w:val="center"/>
          </w:tcPr>
          <w:p>
            <w:pPr>
              <w:pStyle w:val="TableContents"/>
              <w:spacing w:before="0" w:after="0"/>
              <w:ind w:left="0" w:right="0" w:hanging="0"/>
              <w:rPr/>
            </w:pPr>
            <w:r>
              <w:rPr/>
              <w:t xml:space="preserve">  </w:t>
            </w:r>
          </w:p>
        </w:tc>
        <w:tc>
          <w:tcPr>
            <w:tcW w:w="248"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89" w:type="dxa"/>
            <w:tcBorders/>
            <w:shd w:fill="CCEEFF" w:val="clear"/>
            <w:vAlign w:val="center"/>
          </w:tcPr>
          <w:p>
            <w:pPr>
              <w:pStyle w:val="TableContents"/>
              <w:spacing w:before="0" w:after="0"/>
              <w:ind w:left="0" w:right="0" w:hanging="0"/>
              <w:rPr/>
            </w:pPr>
            <w:r>
              <w:rPr/>
              <w:t xml:space="preserve">  </w:t>
            </w:r>
          </w:p>
        </w:tc>
        <w:tc>
          <w:tcPr>
            <w:tcW w:w="1381"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04" w:type="dxa"/>
            <w:tcBorders/>
            <w:shd w:fill="CCEEFF" w:val="clear"/>
            <w:vAlign w:val="center"/>
          </w:tcPr>
          <w:p>
            <w:pPr>
              <w:pStyle w:val="TableContents"/>
              <w:spacing w:before="0" w:after="0"/>
              <w:ind w:left="0" w:right="0" w:hanging="0"/>
              <w:rPr/>
            </w:pPr>
            <w:r>
              <w:rPr/>
              <w:t xml:space="preserve">  </w:t>
            </w:r>
          </w:p>
        </w:tc>
        <w:tc>
          <w:tcPr>
            <w:tcW w:w="115" w:type="dxa"/>
            <w:tcBorders/>
            <w:shd w:fill="CCEEFF" w:val="clear"/>
            <w:vAlign w:val="center"/>
          </w:tcPr>
          <w:p>
            <w:pPr>
              <w:pStyle w:val="TableContents"/>
              <w:spacing w:before="0" w:after="0"/>
              <w:ind w:left="0" w:right="0" w:hanging="0"/>
              <w:rPr/>
            </w:pPr>
            <w:r>
              <w:rPr/>
              <w:t xml:space="preserve">  </w:t>
            </w:r>
          </w:p>
        </w:tc>
        <w:tc>
          <w:tcPr>
            <w:tcW w:w="598" w:type="dxa"/>
            <w:tcBorders/>
            <w:shd w:fill="CCEEFF" w:val="clear"/>
            <w:vAlign w:val="center"/>
          </w:tcPr>
          <w:p>
            <w:pPr>
              <w:pStyle w:val="TableContents"/>
              <w:spacing w:before="0" w:after="0"/>
              <w:ind w:left="0" w:right="0" w:hanging="0"/>
              <w:rPr/>
            </w:pPr>
            <w:r>
              <w:rPr/>
              <w:t xml:space="preserve">  </w:t>
            </w:r>
          </w:p>
        </w:tc>
        <w:tc>
          <w:tcPr>
            <w:tcW w:w="304" w:type="dxa"/>
            <w:tcBorders/>
            <w:shd w:fill="CCEEFF" w:val="clear"/>
            <w:vAlign w:val="center"/>
          </w:tcPr>
          <w:p>
            <w:pPr>
              <w:pStyle w:val="TableContents"/>
              <w:spacing w:before="0" w:after="0"/>
              <w:ind w:left="0" w:right="0" w:hanging="0"/>
              <w:rPr/>
            </w:pPr>
            <w:r>
              <w:rPr/>
              <w:t xml:space="preserve">  </w:t>
            </w:r>
          </w:p>
        </w:tc>
      </w:tr>
      <w:tr>
        <w:trPr/>
        <w:tc>
          <w:tcPr>
            <w:tcW w:w="1860"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Edward D. Bagley </w:t>
            </w:r>
          </w:p>
        </w:tc>
        <w:tc>
          <w:tcPr>
            <w:tcW w:w="104" w:type="dxa"/>
            <w:tcBorders/>
            <w:shd w:fill="auto" w:val="clear"/>
            <w:vAlign w:val="cente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0"/>
              <w:ind w:left="0" w:right="0" w:hanging="0"/>
              <w:rPr/>
            </w:pPr>
            <w:r>
              <w:rPr/>
              <w:t xml:space="preserve">  </w:t>
            </w:r>
          </w:p>
        </w:tc>
        <w:tc>
          <w:tcPr>
            <w:tcW w:w="129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10,186,917</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322" w:type="dxa"/>
            <w:tcBorders/>
            <w:shd w:fill="auto" w:val="clear"/>
            <w:vAlign w:val="center"/>
          </w:tcPr>
          <w:p>
            <w:pPr>
              <w:pStyle w:val="TableContents"/>
              <w:spacing w:before="0" w:after="0"/>
              <w:ind w:left="0" w:right="0" w:hanging="0"/>
              <w:rPr/>
            </w:pPr>
            <w:r>
              <w:rPr/>
              <w:t xml:space="preserve">  </w:t>
            </w:r>
          </w:p>
        </w:tc>
        <w:tc>
          <w:tcPr>
            <w:tcW w:w="184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42.52</w:t>
            </w:r>
          </w:p>
        </w:tc>
        <w:tc>
          <w:tcPr>
            <w:tcW w:w="248"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89" w:type="dxa"/>
            <w:tcBorders/>
            <w:shd w:fill="auto" w:val="clear"/>
            <w:vAlign w:val="center"/>
          </w:tcPr>
          <w:p>
            <w:pPr>
              <w:pStyle w:val="TableContents"/>
              <w:spacing w:before="0" w:after="0"/>
              <w:ind w:left="0" w:right="0" w:hanging="0"/>
              <w:rPr/>
            </w:pPr>
            <w:r>
              <w:rPr/>
              <w:t xml:space="preserve">  </w:t>
            </w:r>
          </w:p>
        </w:tc>
        <w:tc>
          <w:tcPr>
            <w:tcW w:w="1381"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1,637,799</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11,481,855</w:t>
            </w:r>
          </w:p>
        </w:tc>
        <w:tc>
          <w:tcPr>
            <w:tcW w:w="104" w:type="dxa"/>
            <w:tcBorders/>
            <w:shd w:fill="auto" w:val="clear"/>
            <w:vAlign w:val="center"/>
          </w:tcPr>
          <w:p>
            <w:pPr>
              <w:pStyle w:val="TableContents"/>
              <w:spacing w:before="0" w:after="0"/>
              <w:ind w:left="0" w:right="0" w:hanging="0"/>
              <w:rPr/>
            </w:pPr>
            <w:r>
              <w:rPr/>
              <w:t xml:space="preserve">  </w:t>
            </w:r>
          </w:p>
        </w:tc>
        <w:tc>
          <w:tcPr>
            <w:tcW w:w="104" w:type="dxa"/>
            <w:tcBorders/>
            <w:shd w:fill="auto" w:val="clear"/>
            <w:vAlign w:val="center"/>
          </w:tcPr>
          <w:p>
            <w:pPr>
              <w:pStyle w:val="TableContents"/>
              <w:spacing w:before="0" w:after="0"/>
              <w:ind w:left="0" w:right="0" w:hanging="0"/>
              <w:rPr/>
            </w:pPr>
            <w:r>
              <w:rPr/>
              <w:t xml:space="preserve">  </w:t>
            </w:r>
          </w:p>
        </w:tc>
        <w:tc>
          <w:tcPr>
            <w:tcW w:w="115" w:type="dxa"/>
            <w:tcBorders/>
            <w:shd w:fill="auto" w:val="clear"/>
            <w:vAlign w:val="center"/>
          </w:tcPr>
          <w:p>
            <w:pPr>
              <w:pStyle w:val="TableContents"/>
              <w:spacing w:before="0" w:after="0"/>
              <w:ind w:left="0" w:right="0" w:hanging="0"/>
              <w:rPr/>
            </w:pPr>
            <w:r>
              <w:rPr/>
              <w:t xml:space="preserve">  </w:t>
            </w:r>
          </w:p>
        </w:tc>
        <w:tc>
          <w:tcPr>
            <w:tcW w:w="598"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45.49</w:t>
            </w:r>
          </w:p>
        </w:tc>
        <w:tc>
          <w:tcPr>
            <w:tcW w:w="304"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r>
        <w:trPr/>
        <w:tc>
          <w:tcPr>
            <w:tcW w:w="1860"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 Bryan Bagley </w:t>
            </w:r>
          </w:p>
        </w:tc>
        <w:tc>
          <w:tcPr>
            <w:tcW w:w="104" w:type="dxa"/>
            <w:tcBorders/>
            <w:shd w:fill="CCEEFF" w:val="clear"/>
            <w:vAlign w:val="center"/>
          </w:tcPr>
          <w:p>
            <w:pPr>
              <w:pStyle w:val="TableContents"/>
              <w:spacing w:before="0" w:after="283"/>
              <w:rPr/>
            </w:pPr>
            <w:r>
              <w:rPr/>
            </w:r>
          </w:p>
        </w:tc>
        <w:tc>
          <w:tcPr>
            <w:tcW w:w="126" w:type="dxa"/>
            <w:tcBorders/>
            <w:shd w:fill="CCEEFF" w:val="clear"/>
            <w:vAlign w:val="center"/>
          </w:tcPr>
          <w:p>
            <w:pPr>
              <w:pStyle w:val="TableContents"/>
              <w:spacing w:before="0" w:after="283"/>
              <w:rPr/>
            </w:pPr>
            <w:r>
              <w:rPr/>
            </w:r>
          </w:p>
        </w:tc>
        <w:tc>
          <w:tcPr>
            <w:tcW w:w="129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1,236,630</w:t>
            </w:r>
          </w:p>
        </w:tc>
        <w:tc>
          <w:tcPr>
            <w:tcW w:w="104" w:type="dxa"/>
            <w:tcBorders/>
            <w:shd w:fill="CCEEFF" w:val="clear"/>
            <w:vAlign w:val="center"/>
          </w:tcPr>
          <w:p>
            <w:pPr>
              <w:pStyle w:val="TableContents"/>
              <w:spacing w:before="0" w:after="283"/>
              <w:rPr/>
            </w:pPr>
            <w:r>
              <w:rPr/>
            </w:r>
          </w:p>
        </w:tc>
        <w:tc>
          <w:tcPr>
            <w:tcW w:w="104" w:type="dxa"/>
            <w:tcBorders/>
            <w:shd w:fill="CCEEFF" w:val="clear"/>
            <w:vAlign w:val="center"/>
          </w:tcPr>
          <w:p>
            <w:pPr>
              <w:pStyle w:val="TableContents"/>
              <w:spacing w:before="0" w:after="283"/>
              <w:rPr/>
            </w:pPr>
            <w:r>
              <w:rPr/>
            </w:r>
          </w:p>
        </w:tc>
        <w:tc>
          <w:tcPr>
            <w:tcW w:w="322" w:type="dxa"/>
            <w:tcBorders/>
            <w:shd w:fill="CCEEFF" w:val="clear"/>
            <w:vAlign w:val="center"/>
          </w:tcPr>
          <w:p>
            <w:pPr>
              <w:pStyle w:val="TableContents"/>
              <w:spacing w:before="0" w:after="283"/>
              <w:rPr/>
            </w:pPr>
            <w:r>
              <w:rPr/>
            </w:r>
          </w:p>
        </w:tc>
        <w:tc>
          <w:tcPr>
            <w:tcW w:w="184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5.52</w:t>
            </w:r>
          </w:p>
        </w:tc>
        <w:tc>
          <w:tcPr>
            <w:tcW w:w="248"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04" w:type="dxa"/>
            <w:tcBorders/>
            <w:shd w:fill="CCEEFF" w:val="clear"/>
            <w:vAlign w:val="center"/>
          </w:tcPr>
          <w:p>
            <w:pPr>
              <w:pStyle w:val="TableContents"/>
              <w:spacing w:before="0" w:after="283"/>
              <w:rPr/>
            </w:pPr>
            <w:r>
              <w:rPr/>
            </w:r>
          </w:p>
        </w:tc>
        <w:tc>
          <w:tcPr>
            <w:tcW w:w="189" w:type="dxa"/>
            <w:tcBorders/>
            <w:shd w:fill="CCEEFF" w:val="clear"/>
            <w:vAlign w:val="center"/>
          </w:tcPr>
          <w:p>
            <w:pPr>
              <w:pStyle w:val="TableContents"/>
              <w:spacing w:before="0" w:after="283"/>
              <w:rPr/>
            </w:pPr>
            <w:r>
              <w:rPr/>
            </w:r>
          </w:p>
        </w:tc>
        <w:tc>
          <w:tcPr>
            <w:tcW w:w="1381"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221,747</w:t>
            </w:r>
          </w:p>
        </w:tc>
        <w:tc>
          <w:tcPr>
            <w:tcW w:w="104" w:type="dxa"/>
            <w:tcBorders/>
            <w:shd w:fill="CCEEFF" w:val="clear"/>
            <w:vAlign w:val="center"/>
          </w:tcPr>
          <w:p>
            <w:pPr>
              <w:pStyle w:val="TableContents"/>
              <w:spacing w:before="0" w:after="283"/>
              <w:rPr/>
            </w:pPr>
            <w:r>
              <w:rPr/>
            </w:r>
          </w:p>
        </w:tc>
        <w:tc>
          <w:tcPr>
            <w:tcW w:w="104" w:type="dxa"/>
            <w:tcBorders/>
            <w:shd w:fill="CCEEFF" w:val="clear"/>
            <w:vAlign w:val="center"/>
          </w:tcPr>
          <w:p>
            <w:pPr>
              <w:pStyle w:val="TableContents"/>
              <w:spacing w:before="0" w:after="283"/>
              <w:rPr/>
            </w:pPr>
            <w:r>
              <w:rPr/>
            </w:r>
          </w:p>
        </w:tc>
        <w:tc>
          <w:tcPr>
            <w:tcW w:w="104" w:type="dxa"/>
            <w:tcBorders/>
            <w:shd w:fill="CCEEFF" w:val="clear"/>
            <w:vAlign w:val="center"/>
          </w:tcPr>
          <w:p>
            <w:pPr>
              <w:pStyle w:val="TableContents"/>
              <w:spacing w:before="0" w:after="283"/>
              <w:rPr/>
            </w:pPr>
            <w:r>
              <w:rPr/>
            </w:r>
          </w:p>
        </w:tc>
        <w:tc>
          <w:tcPr>
            <w:tcW w:w="980"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1,458,377</w:t>
            </w:r>
          </w:p>
        </w:tc>
        <w:tc>
          <w:tcPr>
            <w:tcW w:w="104" w:type="dxa"/>
            <w:tcBorders/>
            <w:shd w:fill="CCEEFF" w:val="clear"/>
            <w:vAlign w:val="center"/>
          </w:tcPr>
          <w:p>
            <w:pPr>
              <w:pStyle w:val="TableContents"/>
              <w:spacing w:before="0" w:after="283"/>
              <w:rPr/>
            </w:pPr>
            <w:r>
              <w:rPr/>
            </w:r>
          </w:p>
        </w:tc>
        <w:tc>
          <w:tcPr>
            <w:tcW w:w="104" w:type="dxa"/>
            <w:tcBorders/>
            <w:shd w:fill="CCEEFF" w:val="clear"/>
            <w:vAlign w:val="center"/>
          </w:tcPr>
          <w:p>
            <w:pPr>
              <w:pStyle w:val="TableContents"/>
              <w:spacing w:before="0" w:after="283"/>
              <w:rPr/>
            </w:pPr>
            <w:r>
              <w:rPr/>
            </w:r>
          </w:p>
        </w:tc>
        <w:tc>
          <w:tcPr>
            <w:tcW w:w="115" w:type="dxa"/>
            <w:tcBorders/>
            <w:shd w:fill="CCEEFF" w:val="clear"/>
            <w:vAlign w:val="center"/>
          </w:tcPr>
          <w:p>
            <w:pPr>
              <w:pStyle w:val="TableContents"/>
              <w:spacing w:before="0" w:after="283"/>
              <w:rPr/>
            </w:pPr>
            <w:r>
              <w:rPr/>
            </w:r>
          </w:p>
        </w:tc>
        <w:tc>
          <w:tcPr>
            <w:tcW w:w="598"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5.78</w:t>
            </w:r>
          </w:p>
        </w:tc>
        <w:tc>
          <w:tcPr>
            <w:tcW w:w="304"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43</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0"/>
              <w:ind w:left="0" w:right="0" w:hanging="0"/>
              <w:rPr/>
            </w:pPr>
            <w:r>
              <w:rPr>
                <w:rFonts w:ascii="times new roman;times" w:hAnsi="times new roman;times"/>
              </w:rPr>
              <w:t>(</w:t>
            </w:r>
            <w:r>
              <w:rPr/>
              <w:t>1</w:t>
            </w:r>
            <w:r>
              <w:rPr>
                <w:rFonts w:ascii="times new roman;times" w:hAnsi="times new roman;times"/>
              </w:rPr>
              <w:t>)</w:t>
            </w:r>
          </w:p>
        </w:tc>
        <w:tc>
          <w:tcPr>
            <w:tcW w:w="9971" w:type="dxa"/>
            <w:tcBorders/>
            <w:shd w:fill="auto" w:val="clear"/>
            <w:vAlign w:val="center"/>
          </w:tcPr>
          <w:p>
            <w:pPr>
              <w:pStyle w:val="TableContents"/>
              <w:widowControl/>
              <w:spacing w:lineRule="auto" w:line="264"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 </w:t>
            </w:r>
          </w:p>
        </w:tc>
      </w:tr>
      <w:tr>
        <w:trPr/>
        <w:tc>
          <w:tcPr>
            <w:tcW w:w="234" w:type="dxa"/>
            <w:tcBorders/>
            <w:shd w:fill="auto" w:val="clear"/>
            <w:vAlign w:val="center"/>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(2) </w:t>
            </w:r>
          </w:p>
        </w:tc>
        <w:tc>
          <w:tcPr>
            <w:tcW w:w="9971" w:type="dxa"/>
            <w:tcBorders/>
            <w:shd w:fill="auto" w:val="clear"/>
            <w:vAlign w:val="center"/>
          </w:tcPr>
          <w:p>
            <w:pPr>
              <w:pStyle w:val="TableContents"/>
              <w:pBdr/>
              <w:spacing w:lineRule="auto" w:line="264" w:before="0" w:after="0"/>
              <w:ind w:left="0" w:right="0" w:hanging="0"/>
              <w:jc w:val="both"/>
              <w:rPr>
                <w:rFonts w:ascii="times new roman;times" w:hAnsi="times new roman;times"/>
                <w:sz w:val="20"/>
              </w:rPr>
            </w:pPr>
            <w:r>
              <w:rPr>
                <w:rFonts w:ascii="times new roman;times" w:hAnsi="times new roman;times"/>
                <w:sz w:val="20"/>
              </w:rPr>
              <w:t xml:space="preserve">The percentages shown in Column (B) are calculated based on 23,955,767 shares of common stock outstanding on March 31, 2022. The numbers shown in Column (D) and percentages shown in Column (E) include the shares of common stock actually owned as of March 31, 2022 and the shares of common stock that the identified person or group had the right to acquire within 60 days of such date. In calculating the percentage of ownership, all shares of common stock that each identified person or group had the right to acquire within 60 days of March 31, 2022 upon the exercise of the stock options, secured convertible notes and warrants shown in Column (C) are deemed to be outstanding for the purpose of computing the percentage of the shares of common stock owned by the persons or groups listed above. </w:t>
            </w:r>
          </w:p>
        </w:tc>
      </w:tr>
      <w:tr>
        <w:trPr/>
        <w:tc>
          <w:tcPr>
            <w:tcW w:w="234" w:type="dxa"/>
            <w:tcBorders/>
            <w:shd w:fill="auto" w:val="clear"/>
            <w:vAlign w:val="center"/>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(3) </w:t>
            </w:r>
          </w:p>
        </w:tc>
        <w:tc>
          <w:tcPr>
            <w:tcW w:w="9971" w:type="dxa"/>
            <w:tcBorders/>
            <w:shd w:fill="auto" w:val="clear"/>
            <w:vAlign w:val="center"/>
          </w:tcPr>
          <w:p>
            <w:pPr>
              <w:pStyle w:val="TableContents"/>
              <w:pBdr/>
              <w:spacing w:lineRule="auto" w:line="264" w:before="0" w:after="0"/>
              <w:ind w:left="0" w:right="0" w:hanging="0"/>
              <w:jc w:val="both"/>
              <w:rPr>
                <w:rFonts w:ascii="times new roman;times" w:hAnsi="times new roman;times"/>
              </w:rPr>
            </w:pPr>
            <w:r>
              <w:rPr>
                <w:rFonts w:ascii="times new roman;times" w:hAnsi="times new roman;times"/>
              </w:rPr>
              <w:t xml:space="preserve">This information is based upon the Form 3 filed with the SEC as of July 20, 2020.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 </w:t>
            </w:r>
          </w:p>
        </w:tc>
      </w:tr>
      <w:tr>
        <w:trPr/>
        <w:tc>
          <w:tcPr>
            <w:tcW w:w="234" w:type="dxa"/>
            <w:tcBorders/>
            <w:shd w:fill="auto" w:val="clear"/>
            <w:vAlign w:val="center"/>
          </w:tcPr>
          <w:p>
            <w:pPr>
              <w:pStyle w:val="TableContents"/>
              <w:pBdr/>
              <w:spacing w:before="0" w:after="0"/>
              <w:ind w:left="0" w:right="0" w:hanging="0"/>
              <w:rPr>
                <w:rFonts w:ascii="times new roman;times" w:hAnsi="times new roman;times"/>
                <w:sz w:val="20"/>
              </w:rPr>
            </w:pPr>
            <w:r>
              <w:rPr>
                <w:rFonts w:ascii="times new roman;times" w:hAnsi="times new roman;times"/>
                <w:sz w:val="20"/>
              </w:rPr>
              <w:t xml:space="preserve">(4) </w:t>
            </w:r>
          </w:p>
        </w:tc>
        <w:tc>
          <w:tcPr>
            <w:tcW w:w="9971" w:type="dxa"/>
            <w:tcBorders/>
            <w:shd w:fill="auto" w:val="clear"/>
            <w:vAlign w:val="center"/>
          </w:tcPr>
          <w:p>
            <w:pPr>
              <w:pStyle w:val="TableContents"/>
              <w:pBdr/>
              <w:spacing w:lineRule="auto" w:line="264" w:before="0" w:after="0"/>
              <w:ind w:left="0" w:right="0" w:hanging="0"/>
              <w:jc w:val="both"/>
              <w:rPr>
                <w:rFonts w:ascii="times new roman;times" w:hAnsi="times new roman;times"/>
              </w:rPr>
            </w:pPr>
            <w:r>
              <w:rPr>
                <w:rFonts w:ascii="times new roman;times" w:hAnsi="times new roman;times"/>
              </w:rPr>
              <w:t>Mr. Edward D. Bagley may be deemed to own an additional 2,252,636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11,481,855 shares (including the shares that may be acquired pursuant to exercise of options to purchase 34,999 shares of common stock, secured convertible notes to purchase 574,644 shares of common stock and warrants to purchase 685,295 shares of common stock) and shared voting and dispositive power over the 355,257 shares held by Mr. Edward D. Bagley’s spouse. This information is based upon Schedule 13D/A and Form 4 as filed by Mr. Bagley with the SEC in September 2020 and January 2022, respectively.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tc>
      </w:tr>
      <w:tr>
        <w:trPr/>
        <w:tc>
          <w:tcPr>
            <w:tcW w:w="234" w:type="dxa"/>
            <w:tcBorders/>
            <w:shd w:fill="auto" w:val="clear"/>
            <w:vAlign w:val="center"/>
          </w:tcPr>
          <w:p>
            <w:pPr>
              <w:pStyle w:val="TableContents"/>
              <w:spacing w:before="0" w:after="0"/>
              <w:ind w:left="0" w:right="0" w:hanging="0"/>
              <w:rPr/>
            </w:pPr>
            <w:r>
              <w:rPr>
                <w:rFonts w:ascii="times new roman;times" w:hAnsi="times new roman;times"/>
              </w:rPr>
              <w:t>(</w:t>
            </w:r>
            <w:r>
              <w:rPr/>
              <w:t>5</w:t>
            </w:r>
            <w:r>
              <w:rPr>
                <w:rFonts w:ascii="times new roman;times" w:hAnsi="times new roman;times"/>
              </w:rPr>
              <w:t>)</w:t>
            </w:r>
          </w:p>
        </w:tc>
        <w:tc>
          <w:tcPr>
            <w:tcW w:w="9971" w:type="dxa"/>
            <w:tcBorders/>
            <w:shd w:fill="auto" w:val="clear"/>
            <w:vAlign w:val="center"/>
          </w:tcPr>
          <w:p>
            <w:pPr>
              <w:pStyle w:val="TableContents"/>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Mr. E. Bryan Bagley has sole voting and dispositive power over 1,528,282 shares (including the shares that may be acquired pursuant to exercise of secured convertible notes to purchase 184,834 shares of common stock and warrants to purchase 106,818 shares of common stock) This information is based upon Schedule 13D/A as filed by E. Bryan Bagley with the SEC in September 2020.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 The share amounts indicated for Mr. E. Bryan Bagley do not include 2,252,636 shares held by a trust in which he is a co-trustee.</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44</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rPr/>
      </w:pPr>
      <w:r>
        <w:rPr/>
      </w:r>
    </w:p>
    <w:p>
      <w:pPr>
        <w:pStyle w:val="TextBody"/>
        <w:spacing w:lineRule="auto" w:line="240" w:before="0" w:after="0"/>
        <w:ind w:left="0" w:right="0" w:hanging="0"/>
        <w:rPr>
          <w:rFonts w:ascii="times new roman;times" w:hAnsi="times new roman;times"/>
          <w:b/>
          <w:sz w:val="20"/>
        </w:rPr>
      </w:pPr>
      <w:r>
        <w:rPr>
          <w:rFonts w:ascii="times new roman;times" w:hAnsi="times new roman;times"/>
          <w:b/>
          <w:sz w:val="20"/>
        </w:rPr>
        <w:t>Equity Compensation Plan Information</w:t>
      </w:r>
    </w:p>
    <w:p>
      <w:pPr>
        <w:pStyle w:val="TextBody"/>
        <w:spacing w:lineRule="auto" w:line="240" w:before="0" w:after="0"/>
        <w:ind w:left="0" w:right="0" w:hanging="0"/>
        <w:rPr/>
      </w:pPr>
      <w:r>
        <w:rPr/>
        <w:t> </w:t>
      </w:r>
    </w:p>
    <w:p>
      <w:pPr>
        <w:pStyle w:val="TextBody"/>
        <w:spacing w:lineRule="auto" w:line="240" w:before="0" w:after="0"/>
        <w:ind w:left="0" w:right="0" w:firstLine="600"/>
        <w:rPr>
          <w:rFonts w:ascii="times new roman;times" w:hAnsi="times new roman;times"/>
          <w:sz w:val="20"/>
        </w:rPr>
      </w:pPr>
      <w:r>
        <w:rPr>
          <w:rFonts w:ascii="times new roman;times" w:hAnsi="times new roman;times"/>
          <w:sz w:val="20"/>
        </w:rPr>
        <w:t>The following table summarizes information, as of December 31, 2022, relating to equity compensation plans of the Company (including individual compensation arrangements) pursuant to which equity securities of the Company are authorized for issuance.</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28" w:type="dxa"/>
          <w:right w:w="0" w:type="dxa"/>
        </w:tblCellMar>
      </w:tblPr>
      <w:tblGrid>
        <w:gridCol w:w="2064"/>
        <w:gridCol w:w="53"/>
        <w:gridCol w:w="2306"/>
        <w:gridCol w:w="53"/>
        <w:gridCol w:w="2634"/>
        <w:gridCol w:w="53"/>
        <w:gridCol w:w="3042"/>
      </w:tblGrid>
      <w:tr>
        <w:trPr/>
        <w:tc>
          <w:tcPr>
            <w:tcW w:w="2064" w:type="dxa"/>
            <w:tcBorders>
              <w:bottom w:val="single" w:sz="2" w:space="0" w:color="000000"/>
            </w:tcBorders>
            <w:shd w:fill="auto" w:val="clear"/>
            <w:vAlign w:val="center"/>
          </w:tcPr>
          <w:p>
            <w:pPr>
              <w:pStyle w:val="TableContents"/>
              <w:spacing w:before="0" w:after="0"/>
              <w:rPr/>
            </w:pPr>
            <w:r>
              <w:rPr/>
              <w:t xml:space="preserve">  </w:t>
            </w:r>
            <w:r>
              <w:rPr>
                <w:rFonts w:ascii="times new roman;times" w:hAnsi="times new roman;times"/>
                <w:b/>
                <w:sz w:val="18"/>
              </w:rPr>
              <w:t>Plan Category</w:t>
            </w:r>
          </w:p>
        </w:tc>
        <w:tc>
          <w:tcPr>
            <w:tcW w:w="53" w:type="dxa"/>
            <w:tcBorders/>
            <w:shd w:fill="auto" w:val="clear"/>
            <w:tcMar>
              <w:bottom w:w="0" w:type="dxa"/>
            </w:tcMar>
            <w:vAlign w:val="center"/>
          </w:tcPr>
          <w:p>
            <w:pPr>
              <w:pStyle w:val="TableContents"/>
              <w:spacing w:before="0" w:after="0"/>
              <w:ind w:left="0" w:right="0" w:hanging="0"/>
              <w:jc w:val="center"/>
              <w:rPr/>
            </w:pPr>
            <w:r>
              <w:rPr/>
            </w:r>
          </w:p>
        </w:tc>
        <w:tc>
          <w:tcPr>
            <w:tcW w:w="2306" w:type="dxa"/>
            <w:tcBorders>
              <w:bottom w:val="single" w:sz="2" w:space="0" w:color="000000"/>
            </w:tcBorders>
            <w:shd w:fill="auto" w:val="clear"/>
            <w:vAlign w:val="bottom"/>
          </w:tcPr>
          <w:p>
            <w:pPr>
              <w:pStyle w:val="TableContents"/>
              <w:spacing w:before="0" w:after="0"/>
              <w:jc w:val="center"/>
              <w:rPr/>
            </w:pPr>
            <w:r>
              <w:rPr>
                <w:rFonts w:ascii="times new roman;times" w:hAnsi="times new roman;times"/>
                <w:b/>
                <w:sz w:val="18"/>
              </w:rPr>
              <w:t>(a)</w:t>
            </w:r>
            <w:r>
              <w:rPr/>
              <w:br/>
            </w:r>
            <w:r>
              <w:rPr>
                <w:rFonts w:ascii="times new roman;times" w:hAnsi="times new roman;times"/>
                <w:b/>
                <w:sz w:val="18"/>
              </w:rPr>
              <w:t>Number of securities to be issued upon exercise of outstanding</w:t>
            </w:r>
            <w:r>
              <w:rPr>
                <w:rFonts w:ascii="times new roman;times" w:hAnsi="times new roman;times"/>
                <w:sz w:val="18"/>
              </w:rPr>
              <w:t> </w:t>
            </w:r>
            <w:r>
              <w:rPr>
                <w:rFonts w:ascii="times new roman;times" w:hAnsi="times new roman;times"/>
                <w:b/>
                <w:sz w:val="18"/>
              </w:rPr>
              <w:t>options and rights</w:t>
            </w:r>
          </w:p>
        </w:tc>
        <w:tc>
          <w:tcPr>
            <w:tcW w:w="53" w:type="dxa"/>
            <w:tcBorders/>
            <w:shd w:fill="auto" w:val="clear"/>
            <w:tcMar>
              <w:bottom w:w="0" w:type="dxa"/>
            </w:tcMar>
            <w:vAlign w:val="center"/>
          </w:tcPr>
          <w:p>
            <w:pPr>
              <w:pStyle w:val="TableContents"/>
              <w:spacing w:before="0" w:after="0"/>
              <w:ind w:left="0" w:right="0" w:hanging="0"/>
              <w:jc w:val="center"/>
              <w:rPr/>
            </w:pPr>
            <w:r>
              <w:rPr/>
            </w:r>
          </w:p>
        </w:tc>
        <w:tc>
          <w:tcPr>
            <w:tcW w:w="2634" w:type="dxa"/>
            <w:tcBorders>
              <w:bottom w:val="single" w:sz="2" w:space="0" w:color="000000"/>
            </w:tcBorders>
            <w:shd w:fill="auto" w:val="clear"/>
            <w:vAlign w:val="bottom"/>
          </w:tcPr>
          <w:p>
            <w:pPr>
              <w:pStyle w:val="TableContents"/>
              <w:spacing w:before="0" w:after="0"/>
              <w:jc w:val="center"/>
              <w:rPr/>
            </w:pPr>
            <w:r>
              <w:rPr>
                <w:rFonts w:ascii="times new roman;times" w:hAnsi="times new roman;times"/>
                <w:b/>
                <w:sz w:val="18"/>
              </w:rPr>
              <w:t>(b)</w:t>
            </w:r>
            <w:r>
              <w:rPr/>
              <w:br/>
            </w:r>
            <w:r>
              <w:rPr>
                <w:rFonts w:ascii="times new roman;times" w:hAnsi="times new roman;times"/>
                <w:b/>
                <w:sz w:val="18"/>
              </w:rPr>
              <w:t>Weighted</w:t>
              <w:noBreakHyphen/>
              <w:t>Average Exercise Price of Outstanding Options and Rights</w:t>
            </w:r>
          </w:p>
        </w:tc>
        <w:tc>
          <w:tcPr>
            <w:tcW w:w="53" w:type="dxa"/>
            <w:tcBorders/>
            <w:shd w:fill="auto" w:val="clear"/>
            <w:tcMar>
              <w:bottom w:w="0" w:type="dxa"/>
            </w:tcMar>
            <w:vAlign w:val="center"/>
          </w:tcPr>
          <w:p>
            <w:pPr>
              <w:pStyle w:val="TableContents"/>
              <w:spacing w:before="0" w:after="0"/>
              <w:ind w:left="0" w:right="0" w:hanging="0"/>
              <w:jc w:val="center"/>
              <w:rPr/>
            </w:pPr>
            <w:r>
              <w:rPr/>
            </w:r>
          </w:p>
        </w:tc>
        <w:tc>
          <w:tcPr>
            <w:tcW w:w="3042" w:type="dxa"/>
            <w:tcBorders>
              <w:bottom w:val="single" w:sz="2" w:space="0" w:color="000000"/>
            </w:tcBorders>
            <w:shd w:fill="auto" w:val="clear"/>
            <w:vAlign w:val="bottom"/>
          </w:tcPr>
          <w:p>
            <w:pPr>
              <w:pStyle w:val="TableContents"/>
              <w:spacing w:before="0" w:after="0"/>
              <w:jc w:val="center"/>
              <w:rPr/>
            </w:pPr>
            <w:r>
              <w:rPr>
                <w:rFonts w:ascii="times new roman;times" w:hAnsi="times new roman;times"/>
                <w:b/>
                <w:sz w:val="18"/>
              </w:rPr>
              <w:t>(c)</w:t>
            </w:r>
            <w:r>
              <w:rPr/>
              <w:br/>
            </w:r>
            <w:r>
              <w:rPr>
                <w:rFonts w:ascii="times new roman;times" w:hAnsi="times new roman;times"/>
                <w:b/>
                <w:sz w:val="18"/>
              </w:rPr>
              <w:t>Number of  securities remaining available for future issuance under equity compensation plans (excluding securities reflected in column(a))</w:t>
            </w:r>
          </w:p>
        </w:tc>
      </w:tr>
      <w:tr>
        <w:trPr/>
        <w:tc>
          <w:tcPr>
            <w:tcW w:w="2064" w:type="dxa"/>
            <w:tcBorders/>
            <w:shd w:fill="CCEEFF" w:val="clear"/>
            <w:tcMar>
              <w:bottom w:w="0" w:type="dxa"/>
            </w:tcMar>
            <w:vAlign w:val="center"/>
          </w:tcPr>
          <w:p>
            <w:pPr>
              <w:pStyle w:val="TableContents"/>
              <w:spacing w:before="0" w:after="283"/>
              <w:rPr>
                <w:rFonts w:ascii="times new roman;times" w:hAnsi="times new roman;times"/>
              </w:rPr>
            </w:pPr>
            <w:r>
              <w:rPr>
                <w:rFonts w:ascii="times new roman;times" w:hAnsi="times new roman;times"/>
              </w:rPr>
              <w:t>Equity Compensation Plans Approved by Stockholders</w:t>
            </w:r>
          </w:p>
        </w:tc>
        <w:tc>
          <w:tcPr>
            <w:tcW w:w="53" w:type="dxa"/>
            <w:tcBorders/>
            <w:shd w:fill="CCEEFF" w:val="clear"/>
            <w:tcMar>
              <w:bottom w:w="0" w:type="dxa"/>
            </w:tcMar>
            <w:vAlign w:val="center"/>
          </w:tcPr>
          <w:p>
            <w:pPr>
              <w:pStyle w:val="TableContents"/>
              <w:spacing w:before="0" w:after="283"/>
              <w:rPr/>
            </w:pPr>
            <w:r>
              <w:rPr/>
            </w:r>
          </w:p>
        </w:tc>
        <w:tc>
          <w:tcPr>
            <w:tcW w:w="2306" w:type="dxa"/>
            <w:tcBorders/>
            <w:shd w:fill="CCEEFF" w:val="clear"/>
            <w:tcMar>
              <w:bottom w:w="0" w:type="dxa"/>
            </w:tcMar>
            <w:vAlign w:val="bottom"/>
          </w:tcPr>
          <w:p>
            <w:pPr>
              <w:pStyle w:val="TableContents"/>
              <w:spacing w:before="0" w:after="283"/>
              <w:jc w:val="center"/>
              <w:rPr/>
            </w:pPr>
            <w:r>
              <w:rPr/>
              <w:t>488,477</w:t>
            </w:r>
          </w:p>
        </w:tc>
        <w:tc>
          <w:tcPr>
            <w:tcW w:w="53" w:type="dxa"/>
            <w:tcBorders/>
            <w:shd w:fill="CCEEFF" w:val="clear"/>
            <w:tcMar>
              <w:bottom w:w="0" w:type="dxa"/>
            </w:tcMar>
            <w:vAlign w:val="center"/>
          </w:tcPr>
          <w:p>
            <w:pPr>
              <w:pStyle w:val="TableContents"/>
              <w:spacing w:before="0" w:after="283"/>
              <w:rPr/>
            </w:pPr>
            <w:r>
              <w:rPr/>
            </w:r>
          </w:p>
        </w:tc>
        <w:tc>
          <w:tcPr>
            <w:tcW w:w="2634" w:type="dxa"/>
            <w:tcBorders/>
            <w:shd w:fill="CCEEFF" w:val="clear"/>
            <w:tcMar>
              <w:bottom w:w="0" w:type="dxa"/>
            </w:tcMar>
            <w:vAlign w:val="bottom"/>
          </w:tcPr>
          <w:p>
            <w:pPr>
              <w:pStyle w:val="TableContents"/>
              <w:spacing w:before="0" w:after="283"/>
              <w:jc w:val="center"/>
              <w:rPr/>
            </w:pPr>
            <w:r>
              <w:rPr>
                <w:rFonts w:ascii="times new roman;times" w:hAnsi="times new roman;times"/>
              </w:rPr>
              <w:t>$</w:t>
            </w:r>
            <w:r>
              <w:rPr/>
              <w:t>6.48</w:t>
            </w:r>
          </w:p>
        </w:tc>
        <w:tc>
          <w:tcPr>
            <w:tcW w:w="53" w:type="dxa"/>
            <w:tcBorders/>
            <w:shd w:fill="CCEEFF" w:val="clear"/>
            <w:tcMar>
              <w:bottom w:w="0" w:type="dxa"/>
            </w:tcMar>
            <w:vAlign w:val="center"/>
          </w:tcPr>
          <w:p>
            <w:pPr>
              <w:pStyle w:val="TableContents"/>
              <w:spacing w:before="0" w:after="283"/>
              <w:rPr/>
            </w:pPr>
            <w:r>
              <w:rPr/>
            </w:r>
          </w:p>
        </w:tc>
        <w:tc>
          <w:tcPr>
            <w:tcW w:w="3042" w:type="dxa"/>
            <w:tcBorders/>
            <w:shd w:fill="CCEEFF" w:val="clear"/>
            <w:tcMar>
              <w:bottom w:w="0" w:type="dxa"/>
            </w:tcMar>
            <w:vAlign w:val="bottom"/>
          </w:tcPr>
          <w:p>
            <w:pPr>
              <w:pStyle w:val="TableContents"/>
              <w:spacing w:before="0" w:after="283"/>
              <w:jc w:val="center"/>
              <w:rPr/>
            </w:pPr>
            <w:r>
              <w:rPr/>
              <w:t>976,377</w:t>
            </w:r>
          </w:p>
        </w:tc>
      </w:tr>
      <w:tr>
        <w:trPr/>
        <w:tc>
          <w:tcPr>
            <w:tcW w:w="2064" w:type="dxa"/>
            <w:tcBorders/>
            <w:shd w:fill="auto" w:val="clear"/>
            <w:tcMar>
              <w:bottom w:w="0" w:type="dxa"/>
            </w:tcMar>
            <w:vAlign w:val="center"/>
          </w:tcPr>
          <w:p>
            <w:pPr>
              <w:pStyle w:val="TableContents"/>
              <w:spacing w:before="0" w:after="283"/>
              <w:rPr>
                <w:rFonts w:ascii="times new roman;times" w:hAnsi="times new roman;times"/>
              </w:rPr>
            </w:pPr>
            <w:r>
              <w:rPr>
                <w:rFonts w:ascii="times new roman;times" w:hAnsi="times new roman;times"/>
              </w:rPr>
              <w:t>Equity Compensation Plans Not Approved by Stockholders</w:t>
            </w:r>
          </w:p>
        </w:tc>
        <w:tc>
          <w:tcPr>
            <w:tcW w:w="53" w:type="dxa"/>
            <w:tcBorders/>
            <w:shd w:fill="auto" w:val="clear"/>
            <w:tcMar>
              <w:bottom w:w="0" w:type="dxa"/>
            </w:tcMar>
            <w:vAlign w:val="center"/>
          </w:tcPr>
          <w:p>
            <w:pPr>
              <w:pStyle w:val="TableContents"/>
              <w:spacing w:before="0" w:after="283"/>
              <w:rPr/>
            </w:pPr>
            <w:r>
              <w:rPr/>
            </w:r>
          </w:p>
        </w:tc>
        <w:tc>
          <w:tcPr>
            <w:tcW w:w="2306" w:type="dxa"/>
            <w:tcBorders/>
            <w:shd w:fill="auto" w:val="clear"/>
            <w:tcMar>
              <w:bottom w:w="0" w:type="dxa"/>
            </w:tcMar>
            <w:vAlign w:val="bottom"/>
          </w:tcPr>
          <w:p>
            <w:pPr>
              <w:pStyle w:val="TableContents"/>
              <w:spacing w:before="0" w:after="283"/>
              <w:jc w:val="center"/>
              <w:rPr/>
            </w:pPr>
            <w:r>
              <w:rPr/>
              <w:t>—</w:t>
            </w:r>
          </w:p>
        </w:tc>
        <w:tc>
          <w:tcPr>
            <w:tcW w:w="53" w:type="dxa"/>
            <w:tcBorders/>
            <w:shd w:fill="auto" w:val="clear"/>
            <w:tcMar>
              <w:bottom w:w="0" w:type="dxa"/>
            </w:tcMar>
            <w:vAlign w:val="center"/>
          </w:tcPr>
          <w:p>
            <w:pPr>
              <w:pStyle w:val="TableContents"/>
              <w:spacing w:before="0" w:after="283"/>
              <w:rPr/>
            </w:pPr>
            <w:r>
              <w:rPr/>
            </w:r>
          </w:p>
        </w:tc>
        <w:tc>
          <w:tcPr>
            <w:tcW w:w="2634" w:type="dxa"/>
            <w:tcBorders/>
            <w:shd w:fill="auto" w:val="clear"/>
            <w:tcMar>
              <w:bottom w:w="0" w:type="dxa"/>
            </w:tcMar>
            <w:vAlign w:val="bottom"/>
          </w:tcPr>
          <w:p>
            <w:pPr>
              <w:pStyle w:val="TableContents"/>
              <w:spacing w:before="0" w:after="283"/>
              <w:jc w:val="center"/>
              <w:rPr/>
            </w:pPr>
            <w:r>
              <w:rPr/>
              <w:t>—</w:t>
            </w:r>
          </w:p>
        </w:tc>
        <w:tc>
          <w:tcPr>
            <w:tcW w:w="53" w:type="dxa"/>
            <w:tcBorders/>
            <w:shd w:fill="auto" w:val="clear"/>
            <w:tcMar>
              <w:bottom w:w="0" w:type="dxa"/>
            </w:tcMar>
            <w:vAlign w:val="center"/>
          </w:tcPr>
          <w:p>
            <w:pPr>
              <w:pStyle w:val="TableContents"/>
              <w:spacing w:before="0" w:after="283"/>
              <w:rPr/>
            </w:pPr>
            <w:r>
              <w:rPr/>
            </w:r>
          </w:p>
        </w:tc>
        <w:tc>
          <w:tcPr>
            <w:tcW w:w="3042" w:type="dxa"/>
            <w:tcBorders/>
            <w:shd w:fill="auto" w:val="clear"/>
            <w:tcMar>
              <w:bottom w:w="0" w:type="dxa"/>
            </w:tcMar>
            <w:vAlign w:val="bottom"/>
          </w:tcPr>
          <w:p>
            <w:pPr>
              <w:pStyle w:val="TableContents"/>
              <w:spacing w:before="0" w:after="283"/>
              <w:jc w:val="center"/>
              <w:rPr/>
            </w:pPr>
            <w:r>
              <w:rPr/>
              <w:t>—</w:t>
            </w:r>
          </w:p>
        </w:tc>
      </w:tr>
      <w:tr>
        <w:trPr/>
        <w:tc>
          <w:tcPr>
            <w:tcW w:w="2064" w:type="dxa"/>
            <w:tcBorders/>
            <w:shd w:fill="CCEEFF" w:val="clear"/>
            <w:tcMar>
              <w:bottom w:w="0" w:type="dxa"/>
            </w:tcMar>
            <w:vAlign w:val="center"/>
          </w:tcPr>
          <w:p>
            <w:pPr>
              <w:pStyle w:val="TableContents"/>
              <w:spacing w:before="0" w:after="283"/>
              <w:rPr>
                <w:rFonts w:ascii="times new roman;times" w:hAnsi="times new roman;times"/>
              </w:rPr>
            </w:pPr>
            <w:r>
              <w:rPr>
                <w:rFonts w:ascii="times new roman;times" w:hAnsi="times new roman;times"/>
              </w:rPr>
              <w:t>Total</w:t>
            </w:r>
          </w:p>
        </w:tc>
        <w:tc>
          <w:tcPr>
            <w:tcW w:w="53" w:type="dxa"/>
            <w:tcBorders/>
            <w:shd w:fill="CCEEFF" w:val="clear"/>
            <w:tcMar>
              <w:bottom w:w="0" w:type="dxa"/>
            </w:tcMar>
            <w:vAlign w:val="center"/>
          </w:tcPr>
          <w:p>
            <w:pPr>
              <w:pStyle w:val="TableContents"/>
              <w:spacing w:before="0" w:after="283"/>
              <w:rPr/>
            </w:pPr>
            <w:r>
              <w:rPr/>
            </w:r>
          </w:p>
        </w:tc>
        <w:tc>
          <w:tcPr>
            <w:tcW w:w="2306" w:type="dxa"/>
            <w:tcBorders>
              <w:top w:val="single" w:sz="2" w:space="0" w:color="000000"/>
              <w:bottom w:val="single" w:sz="2" w:space="0" w:color="000000"/>
            </w:tcBorders>
            <w:shd w:fill="CCEEFF" w:val="clear"/>
            <w:tcMar>
              <w:top w:w="28" w:type="dxa"/>
            </w:tcMar>
            <w:vAlign w:val="bottom"/>
          </w:tcPr>
          <w:p>
            <w:pPr>
              <w:pStyle w:val="TableContents"/>
              <w:spacing w:before="0" w:after="283"/>
              <w:jc w:val="center"/>
              <w:rPr/>
            </w:pPr>
            <w:r>
              <w:rPr/>
              <w:t>488,477</w:t>
            </w:r>
          </w:p>
        </w:tc>
        <w:tc>
          <w:tcPr>
            <w:tcW w:w="53" w:type="dxa"/>
            <w:tcBorders/>
            <w:shd w:fill="CCEEFF" w:val="clear"/>
            <w:tcMar>
              <w:bottom w:w="0" w:type="dxa"/>
            </w:tcMar>
            <w:vAlign w:val="center"/>
          </w:tcPr>
          <w:p>
            <w:pPr>
              <w:pStyle w:val="TableContents"/>
              <w:spacing w:before="0" w:after="283"/>
              <w:rPr/>
            </w:pPr>
            <w:r>
              <w:rPr/>
            </w:r>
          </w:p>
        </w:tc>
        <w:tc>
          <w:tcPr>
            <w:tcW w:w="2634" w:type="dxa"/>
            <w:tcBorders>
              <w:top w:val="single" w:sz="2" w:space="0" w:color="000000"/>
              <w:bottom w:val="single" w:sz="2" w:space="0" w:color="000000"/>
            </w:tcBorders>
            <w:shd w:fill="CCEEFF" w:val="clear"/>
            <w:tcMar>
              <w:top w:w="28" w:type="dxa"/>
            </w:tcMar>
            <w:vAlign w:val="bottom"/>
          </w:tcPr>
          <w:p>
            <w:pPr>
              <w:pStyle w:val="TableContents"/>
              <w:spacing w:before="0" w:after="283"/>
              <w:jc w:val="center"/>
              <w:rPr/>
            </w:pPr>
            <w:r>
              <w:rPr>
                <w:rFonts w:ascii="times new roman;times" w:hAnsi="times new roman;times"/>
              </w:rPr>
              <w:t>$</w:t>
            </w:r>
            <w:r>
              <w:rPr/>
              <w:t>6.48</w:t>
            </w:r>
          </w:p>
        </w:tc>
        <w:tc>
          <w:tcPr>
            <w:tcW w:w="53" w:type="dxa"/>
            <w:tcBorders/>
            <w:shd w:fill="CCEEFF" w:val="clear"/>
            <w:tcMar>
              <w:bottom w:w="0" w:type="dxa"/>
            </w:tcMar>
            <w:vAlign w:val="center"/>
          </w:tcPr>
          <w:p>
            <w:pPr>
              <w:pStyle w:val="TableContents"/>
              <w:spacing w:before="0" w:after="283"/>
              <w:rPr/>
            </w:pPr>
            <w:r>
              <w:rPr/>
            </w:r>
          </w:p>
        </w:tc>
        <w:tc>
          <w:tcPr>
            <w:tcW w:w="3042" w:type="dxa"/>
            <w:tcBorders>
              <w:top w:val="single" w:sz="2" w:space="0" w:color="000000"/>
              <w:bottom w:val="single" w:sz="2" w:space="0" w:color="000000"/>
            </w:tcBorders>
            <w:shd w:fill="CCEEFF" w:val="clear"/>
            <w:tcMar>
              <w:top w:w="28" w:type="dxa"/>
            </w:tcMar>
            <w:vAlign w:val="bottom"/>
          </w:tcPr>
          <w:p>
            <w:pPr>
              <w:pStyle w:val="TableContents"/>
              <w:spacing w:before="0" w:after="283"/>
              <w:jc w:val="center"/>
              <w:rPr/>
            </w:pPr>
            <w:r>
              <w:rPr/>
              <w:t>976,377</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144" w:right="144" w:hanging="0"/>
        <w:jc w:val="both"/>
        <w:rPr/>
      </w:pPr>
      <w:r>
        <w:rPr/>
        <w:t> </w:t>
      </w:r>
    </w:p>
    <w:p>
      <w:pPr>
        <w:pStyle w:val="TextBody"/>
        <w:spacing w:lineRule="auto" w:line="240"/>
        <w:ind w:left="0" w:right="0" w:hanging="0"/>
        <w:jc w:val="both"/>
        <w:rPr/>
      </w:pPr>
      <w:hyperlink r:id="rId15">
        <w:bookmarkStart w:id="80" w:name="BU_NXPJ5NC69S00000000000000000000"/>
        <w:bookmarkEnd w:id="80"/>
        <w:r>
          <w:rPr>
            <w:rStyle w:val="VisitedInternetLink"/>
            <w:rFonts w:ascii="times new roman;times" w:hAnsi="times new roman;times"/>
            <w:b/>
            <w:strike w:val="false"/>
            <w:dstrike w:val="false"/>
            <w:color w:val="000000"/>
            <w:sz w:val="20"/>
            <w:u w:val="none"/>
            <w:effect w:val="none"/>
          </w:rPr>
          <w:t>ITEM 13. CERTAIN RELATIONSHIPS AND RELATED TRANSACTIONS AND DIRECTOR INDEPENDENCE</w:t>
        </w:r>
      </w:hyperlink>
    </w:p>
    <w:p>
      <w:pPr>
        <w:pStyle w:val="TextBody"/>
        <w:spacing w:lineRule="auto" w:line="240" w:before="0" w:after="0"/>
        <w:ind w:left="144" w:right="144" w:hanging="0"/>
        <w:jc w:val="both"/>
        <w:rPr/>
      </w:pPr>
      <w:r>
        <w:rPr/>
        <w:t> </w:t>
      </w:r>
    </w:p>
    <w:p>
      <w:pPr>
        <w:pStyle w:val="TextBody"/>
        <w:spacing w:lineRule="auto" w:line="240" w:before="0" w:after="0"/>
        <w:ind w:left="0" w:right="0" w:firstLine="600"/>
        <w:jc w:val="both"/>
        <w:rPr>
          <w:rFonts w:ascii="times new roman;times" w:hAnsi="times new roman;times"/>
          <w:sz w:val="20"/>
        </w:rPr>
      </w:pPr>
      <w:r>
        <w:rPr>
          <w:rFonts w:ascii="times new roman;times" w:hAnsi="times new roman;times"/>
          <w:sz w:val="20"/>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pStyle w:val="TextBody"/>
        <w:spacing w:lineRule="auto" w:line="240" w:before="0" w:after="0"/>
        <w:ind w:left="294" w:right="294" w:firstLine="720"/>
        <w:jc w:val="both"/>
        <w:rPr/>
      </w:pPr>
      <w:r>
        <w:rPr/>
        <w:t> </w:t>
      </w:r>
    </w:p>
    <w:p>
      <w:pPr>
        <w:pStyle w:val="TextBody"/>
        <w:spacing w:lineRule="auto" w:line="240" w:before="0" w:after="0"/>
        <w:ind w:left="0" w:right="0" w:hanging="0"/>
        <w:jc w:val="both"/>
        <w:rPr>
          <w:rFonts w:ascii="times new roman;times" w:hAnsi="times new roman;times"/>
          <w:b/>
          <w:sz w:val="20"/>
        </w:rPr>
      </w:pPr>
      <w:r>
        <w:rPr>
          <w:rFonts w:ascii="times new roman;times" w:hAnsi="times new roman;times"/>
          <w:b/>
          <w:sz w:val="20"/>
        </w:rPr>
        <w:t>Related Party Transactions: Consulting Agreement with Edward D. Bagley</w:t>
      </w:r>
    </w:p>
    <w:p>
      <w:pPr>
        <w:pStyle w:val="TextBody"/>
        <w:spacing w:lineRule="auto" w:line="240" w:before="0" w:after="0"/>
        <w:ind w:left="294" w:right="294" w:hanging="0"/>
        <w:jc w:val="both"/>
        <w:rPr/>
      </w:pPr>
      <w:r>
        <w:rPr/>
        <w:t> </w:t>
      </w:r>
    </w:p>
    <w:p>
      <w:pPr>
        <w:pStyle w:val="TextBody"/>
        <w:widowControl/>
        <w:spacing w:lineRule="auto" w:line="240" w:before="0" w:after="0"/>
        <w:ind w:left="0" w:right="0" w:firstLine="72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2022, he was paid $60,000 as consulting fees. During 2022, he did not receive any grant of stock options.  </w:t>
      </w:r>
      <w:r>
        <w:rPr>
          <w:rFonts w:ascii="times new roman;times" w:hAnsi="times new roman;times"/>
          <w:sz w:val="20"/>
        </w:rPr>
        <w:t> </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b/>
          <w:sz w:val="20"/>
        </w:rPr>
      </w:pPr>
      <w:r>
        <w:rPr>
          <w:rFonts w:ascii="times new roman;times" w:hAnsi="times new roman;times"/>
          <w:b/>
          <w:sz w:val="20"/>
        </w:rPr>
        <w:t>Director Independence</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 </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45</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144" w:right="144" w:hanging="0"/>
        <w:jc w:val="both"/>
        <w:rPr/>
      </w:pPr>
      <w:r>
        <w:rPr/>
        <w:t> </w:t>
      </w:r>
    </w:p>
    <w:p>
      <w:pPr>
        <w:pStyle w:val="TextBody"/>
        <w:spacing w:lineRule="auto" w:line="240"/>
        <w:ind w:left="0" w:right="0" w:hanging="0"/>
        <w:jc w:val="both"/>
        <w:rPr/>
      </w:pPr>
      <w:hyperlink r:id="rId16">
        <w:bookmarkStart w:id="81" w:name="BV_5JJDQA3YDC00000000000000000000"/>
        <w:bookmarkEnd w:id="81"/>
        <w:r>
          <w:rPr>
            <w:rStyle w:val="VisitedInternetLink"/>
            <w:rFonts w:ascii="times new roman;times" w:hAnsi="times new roman;times"/>
            <w:b/>
            <w:strike w:val="false"/>
            <w:dstrike w:val="false"/>
            <w:color w:val="000000"/>
            <w:sz w:val="20"/>
            <w:u w:val="none"/>
            <w:effect w:val="none"/>
          </w:rPr>
          <w:t>ITEM 14. PRINCIPAL ACCOUNTING FEES AND SERVICES</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amounts:</w:t>
      </w:r>
    </w:p>
    <w:p>
      <w:pPr>
        <w:pStyle w:val="TextBody"/>
        <w:spacing w:lineRule="auto" w:line="240" w:before="0" w:after="0"/>
        <w:ind w:left="294" w:right="294"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4250" w:type="pct"/>
        <w:jc w:val="left"/>
        <w:tblInd w:w="0" w:type="dxa"/>
        <w:tblCellMar>
          <w:top w:w="0" w:type="dxa"/>
          <w:left w:w="0" w:type="dxa"/>
          <w:bottom w:w="0" w:type="dxa"/>
          <w:right w:w="0" w:type="dxa"/>
        </w:tblCellMar>
      </w:tblPr>
      <w:tblGrid>
        <w:gridCol w:w="3533"/>
        <w:gridCol w:w="309"/>
        <w:gridCol w:w="412"/>
        <w:gridCol w:w="1494"/>
        <w:gridCol w:w="309"/>
        <w:gridCol w:w="309"/>
        <w:gridCol w:w="412"/>
        <w:gridCol w:w="1494"/>
        <w:gridCol w:w="402"/>
      </w:tblGrid>
      <w:tr>
        <w:trPr/>
        <w:tc>
          <w:tcPr>
            <w:tcW w:w="3533" w:type="dxa"/>
            <w:tcBorders/>
            <w:shd w:fill="auto" w:val="clear"/>
            <w:vAlign w:val="center"/>
          </w:tcPr>
          <w:p>
            <w:pPr>
              <w:pStyle w:val="TableContents"/>
              <w:spacing w:before="0" w:after="0"/>
              <w:ind w:left="0" w:right="0" w:hanging="0"/>
              <w:rPr/>
            </w:pPr>
            <w:r>
              <w:rPr/>
              <w:t xml:space="preserve">  </w:t>
            </w:r>
          </w:p>
        </w:tc>
        <w:tc>
          <w:tcPr>
            <w:tcW w:w="309" w:type="dxa"/>
            <w:tcBorders/>
            <w:shd w:fill="auto" w:val="clear"/>
            <w:vAlign w:val="center"/>
          </w:tcPr>
          <w:p>
            <w:pPr>
              <w:pStyle w:val="TableContents"/>
              <w:spacing w:before="0" w:after="0"/>
              <w:ind w:left="0" w:right="0" w:hanging="0"/>
              <w:rPr/>
            </w:pPr>
            <w:r>
              <w:rPr/>
              <w:t xml:space="preserve">  </w:t>
            </w:r>
          </w:p>
        </w:tc>
        <w:tc>
          <w:tcPr>
            <w:tcW w:w="1906"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2022</w:t>
            </w:r>
          </w:p>
        </w:tc>
        <w:tc>
          <w:tcPr>
            <w:tcW w:w="309" w:type="dxa"/>
            <w:tcBorders/>
            <w:shd w:fill="auto" w:val="clear"/>
            <w:vAlign w:val="center"/>
          </w:tcPr>
          <w:p>
            <w:pPr>
              <w:pStyle w:val="TableContents"/>
              <w:spacing w:before="0" w:after="0"/>
              <w:ind w:left="0" w:right="0" w:hanging="0"/>
              <w:rPr/>
            </w:pPr>
            <w:r>
              <w:rPr/>
              <w:t xml:space="preserve">  </w:t>
            </w:r>
          </w:p>
        </w:tc>
        <w:tc>
          <w:tcPr>
            <w:tcW w:w="309" w:type="dxa"/>
            <w:tcBorders/>
            <w:shd w:fill="auto" w:val="clear"/>
            <w:vAlign w:val="center"/>
          </w:tcPr>
          <w:p>
            <w:pPr>
              <w:pStyle w:val="TableContents"/>
              <w:spacing w:before="0" w:after="0"/>
              <w:ind w:left="0" w:right="0" w:hanging="0"/>
              <w:rPr/>
            </w:pPr>
            <w:r>
              <w:rPr/>
              <w:t xml:space="preserve">  </w:t>
            </w:r>
          </w:p>
        </w:tc>
        <w:tc>
          <w:tcPr>
            <w:tcW w:w="1906"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times" w:hAnsi="times new roman;times"/>
                <w:b/>
                <w:sz w:val="18"/>
              </w:rPr>
            </w:pPr>
            <w:r>
              <w:rPr>
                <w:rFonts w:ascii="times new roman;times" w:hAnsi="times new roman;times"/>
                <w:b/>
                <w:sz w:val="18"/>
              </w:rPr>
              <w:t>2021</w:t>
            </w:r>
          </w:p>
        </w:tc>
        <w:tc>
          <w:tcPr>
            <w:tcW w:w="402" w:type="dxa"/>
            <w:tcBorders/>
            <w:shd w:fill="auto" w:val="clear"/>
            <w:vAlign w:val="center"/>
          </w:tcPr>
          <w:p>
            <w:pPr>
              <w:pStyle w:val="TableContents"/>
              <w:spacing w:before="0" w:after="0"/>
              <w:ind w:left="0" w:right="0" w:hanging="0"/>
              <w:rPr/>
            </w:pPr>
            <w:r>
              <w:rPr/>
              <w:t xml:space="preserve">  </w:t>
            </w:r>
          </w:p>
        </w:tc>
      </w:tr>
      <w:tr>
        <w:trPr/>
        <w:tc>
          <w:tcPr>
            <w:tcW w:w="3533" w:type="dxa"/>
            <w:tcBorders/>
            <w:shd w:fill="CCEEFF" w:val="clear"/>
            <w:vAlign w:val="center"/>
          </w:tcPr>
          <w:p>
            <w:pPr>
              <w:pStyle w:val="TableContents"/>
              <w:spacing w:before="0" w:after="0"/>
              <w:ind w:left="0" w:right="0" w:hanging="0"/>
              <w:rPr>
                <w:rFonts w:ascii="times new roman;times" w:hAnsi="times new roman;times"/>
              </w:rPr>
            </w:pPr>
            <w:r>
              <w:rPr>
                <w:rFonts w:ascii="times new roman;times" w:hAnsi="times new roman;times"/>
                <w:sz w:val="20"/>
              </w:rPr>
              <w:t>Audit fees</w:t>
            </w:r>
            <w:r>
              <w:rPr>
                <w:rFonts w:ascii="times new roman;times" w:hAnsi="times new roman;times"/>
                <w:position w:val="5"/>
                <w:sz w:val="13"/>
                <w:sz w:val="16"/>
              </w:rPr>
              <w:t>(</w:t>
            </w:r>
            <w:r>
              <w:rPr>
                <w:rFonts w:ascii="times new roman;times" w:hAnsi="times new roman;times"/>
                <w:position w:val="5"/>
                <w:sz w:val="13"/>
                <w:sz w:val="16"/>
              </w:rPr>
              <w:t>1</w:t>
            </w:r>
            <w:r>
              <w:rPr>
                <w:rFonts w:ascii="times new roman;times" w:hAnsi="times new roman;times"/>
                <w:position w:val="5"/>
                <w:sz w:val="13"/>
                <w:sz w:val="16"/>
              </w:rPr>
              <w:t>)</w:t>
            </w:r>
          </w:p>
        </w:tc>
        <w:tc>
          <w:tcPr>
            <w:tcW w:w="309" w:type="dxa"/>
            <w:tcBorders/>
            <w:shd w:fill="CCEEFF" w:val="clear"/>
            <w:vAlign w:val="center"/>
          </w:tcPr>
          <w:p>
            <w:pPr>
              <w:pStyle w:val="TableContents"/>
              <w:spacing w:before="0" w:after="0"/>
              <w:ind w:left="0" w:right="0" w:hanging="0"/>
              <w:rPr/>
            </w:pPr>
            <w:r>
              <w:rPr/>
              <w:t xml:space="preserve">  </w:t>
            </w:r>
          </w:p>
        </w:tc>
        <w:tc>
          <w:tcPr>
            <w:tcW w:w="412"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494"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229,111</w:t>
            </w:r>
          </w:p>
        </w:tc>
        <w:tc>
          <w:tcPr>
            <w:tcW w:w="309" w:type="dxa"/>
            <w:tcBorders/>
            <w:shd w:fill="CCEEFF" w:val="clear"/>
            <w:vAlign w:val="center"/>
          </w:tcPr>
          <w:p>
            <w:pPr>
              <w:pStyle w:val="TableContents"/>
              <w:spacing w:before="0" w:after="0"/>
              <w:ind w:left="0" w:right="0" w:hanging="0"/>
              <w:rPr/>
            </w:pPr>
            <w:r>
              <w:rPr/>
              <w:t xml:space="preserve">  </w:t>
            </w:r>
          </w:p>
        </w:tc>
        <w:tc>
          <w:tcPr>
            <w:tcW w:w="309" w:type="dxa"/>
            <w:tcBorders/>
            <w:shd w:fill="CCEEFF" w:val="clear"/>
            <w:vAlign w:val="center"/>
          </w:tcPr>
          <w:p>
            <w:pPr>
              <w:pStyle w:val="TableContents"/>
              <w:spacing w:before="0" w:after="0"/>
              <w:ind w:left="0" w:right="0" w:hanging="0"/>
              <w:rPr/>
            </w:pPr>
            <w:r>
              <w:rPr/>
              <w:t xml:space="preserve">  </w:t>
            </w:r>
          </w:p>
        </w:tc>
        <w:tc>
          <w:tcPr>
            <w:tcW w:w="412"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494" w:type="dxa"/>
            <w:tcBorders/>
            <w:shd w:fill="CCEEFF"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260,145</w:t>
            </w:r>
          </w:p>
        </w:tc>
        <w:tc>
          <w:tcPr>
            <w:tcW w:w="402" w:type="dxa"/>
            <w:tcBorders/>
            <w:shd w:fill="CCEEFF" w:val="clear"/>
            <w:vAlign w:val="center"/>
          </w:tcPr>
          <w:p>
            <w:pPr>
              <w:pStyle w:val="TableContents"/>
              <w:spacing w:before="0" w:after="0"/>
              <w:ind w:left="0" w:right="0" w:hanging="0"/>
              <w:rPr/>
            </w:pPr>
            <w:r>
              <w:rPr/>
              <w:t xml:space="preserve">  </w:t>
            </w:r>
          </w:p>
        </w:tc>
      </w:tr>
      <w:tr>
        <w:trPr/>
        <w:tc>
          <w:tcPr>
            <w:tcW w:w="3533"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Audit-related fees</w:t>
            </w:r>
            <w:r>
              <w:rPr>
                <w:rFonts w:ascii="times new roman;times" w:hAnsi="times new roman;times"/>
                <w:position w:val="7"/>
                <w:sz w:val="16"/>
                <w:sz w:val="20"/>
              </w:rPr>
              <w:t>(2)</w:t>
            </w:r>
          </w:p>
        </w:tc>
        <w:tc>
          <w:tcPr>
            <w:tcW w:w="309" w:type="dxa"/>
            <w:tcBorders/>
            <w:shd w:fill="auto" w:val="clear"/>
            <w:vAlign w:val="center"/>
          </w:tcPr>
          <w:p>
            <w:pPr>
              <w:pStyle w:val="TableContents"/>
              <w:spacing w:before="0" w:after="0"/>
              <w:ind w:left="0" w:right="0" w:hanging="0"/>
              <w:rPr/>
            </w:pPr>
            <w:r>
              <w:rPr/>
              <w:t xml:space="preserve">  </w:t>
            </w:r>
          </w:p>
        </w:tc>
        <w:tc>
          <w:tcPr>
            <w:tcW w:w="412" w:type="dxa"/>
            <w:tcBorders/>
            <w:shd w:fill="auto" w:val="clear"/>
            <w:vAlign w:val="center"/>
          </w:tcPr>
          <w:p>
            <w:pPr>
              <w:pStyle w:val="TableContents"/>
              <w:spacing w:before="0" w:after="0"/>
              <w:ind w:left="0" w:right="0" w:hanging="0"/>
              <w:rPr/>
            </w:pPr>
            <w:r>
              <w:rPr/>
              <w:t xml:space="preserve">  </w:t>
            </w:r>
          </w:p>
        </w:tc>
        <w:tc>
          <w:tcPr>
            <w:tcW w:w="1494" w:type="dxa"/>
            <w:tcBorders/>
            <w:shd w:fill="auto" w:val="clear"/>
            <w:vAlign w:val="center"/>
          </w:tcPr>
          <w:p>
            <w:pPr>
              <w:pStyle w:val="TableContents"/>
              <w:spacing w:before="0" w:after="0"/>
              <w:ind w:left="0" w:right="0" w:hanging="0"/>
              <w:jc w:val="right"/>
              <w:rPr/>
            </w:pPr>
            <w:r>
              <w:rPr/>
              <w:t>—</w:t>
            </w:r>
          </w:p>
        </w:tc>
        <w:tc>
          <w:tcPr>
            <w:tcW w:w="309" w:type="dxa"/>
            <w:tcBorders/>
            <w:shd w:fill="auto" w:val="clear"/>
            <w:vAlign w:val="center"/>
          </w:tcPr>
          <w:p>
            <w:pPr>
              <w:pStyle w:val="TableContents"/>
              <w:spacing w:before="0" w:after="0"/>
              <w:ind w:left="0" w:right="0" w:hanging="0"/>
              <w:rPr/>
            </w:pPr>
            <w:r>
              <w:rPr/>
              <w:t xml:space="preserve">  </w:t>
            </w:r>
          </w:p>
        </w:tc>
        <w:tc>
          <w:tcPr>
            <w:tcW w:w="309" w:type="dxa"/>
            <w:tcBorders/>
            <w:shd w:fill="auto" w:val="clear"/>
            <w:vAlign w:val="center"/>
          </w:tcPr>
          <w:p>
            <w:pPr>
              <w:pStyle w:val="TableContents"/>
              <w:spacing w:before="0" w:after="0"/>
              <w:ind w:left="0" w:right="0" w:hanging="0"/>
              <w:rPr/>
            </w:pPr>
            <w:r>
              <w:rPr/>
              <w:t xml:space="preserve">  </w:t>
            </w:r>
          </w:p>
        </w:tc>
        <w:tc>
          <w:tcPr>
            <w:tcW w:w="412" w:type="dxa"/>
            <w:tcBorders/>
            <w:shd w:fill="auto" w:val="clear"/>
            <w:vAlign w:val="center"/>
          </w:tcPr>
          <w:p>
            <w:pPr>
              <w:pStyle w:val="TableContents"/>
              <w:spacing w:before="0" w:after="0"/>
              <w:ind w:left="0" w:right="0" w:hanging="0"/>
              <w:rPr/>
            </w:pPr>
            <w:r>
              <w:rPr/>
              <w:t xml:space="preserve">  </w:t>
            </w:r>
          </w:p>
        </w:tc>
        <w:tc>
          <w:tcPr>
            <w:tcW w:w="1494" w:type="dxa"/>
            <w:tcBorders/>
            <w:shd w:fill="auto" w:val="cle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7,653</w:t>
            </w:r>
          </w:p>
        </w:tc>
        <w:tc>
          <w:tcPr>
            <w:tcW w:w="402" w:type="dxa"/>
            <w:tcBorders/>
            <w:shd w:fill="auto" w:val="clear"/>
            <w:vAlign w:val="center"/>
          </w:tcPr>
          <w:p>
            <w:pPr>
              <w:pStyle w:val="TableContents"/>
              <w:spacing w:before="0" w:after="0"/>
              <w:ind w:left="0" w:right="0" w:hanging="0"/>
              <w:rPr/>
            </w:pPr>
            <w:r>
              <w:rPr/>
              <w:t xml:space="preserve">  </w:t>
            </w:r>
          </w:p>
        </w:tc>
      </w:tr>
      <w:tr>
        <w:trPr/>
        <w:tc>
          <w:tcPr>
            <w:tcW w:w="3533" w:type="dxa"/>
            <w:tcBorders/>
            <w:shd w:fill="CCEEFF" w:val="clear"/>
            <w:vAlign w:val="center"/>
          </w:tcPr>
          <w:p>
            <w:pPr>
              <w:pStyle w:val="TableContents"/>
              <w:pBdr/>
              <w:spacing w:before="0" w:after="0"/>
              <w:ind w:left="0" w:right="0" w:hanging="0"/>
              <w:rPr>
                <w:rFonts w:ascii="times new roman;times" w:hAnsi="times new roman;times"/>
              </w:rPr>
            </w:pPr>
            <w:r>
              <w:rPr>
                <w:rFonts w:ascii="times new roman;times" w:hAnsi="times new roman;times"/>
                <w:sz w:val="20"/>
              </w:rPr>
              <w:t>Tax fees</w:t>
            </w:r>
            <w:r>
              <w:rPr>
                <w:rFonts w:ascii="times new roman;times" w:hAnsi="times new roman;times"/>
                <w:position w:val="7"/>
                <w:sz w:val="16"/>
                <w:sz w:val="20"/>
              </w:rPr>
              <w:t>(3)</w:t>
            </w:r>
          </w:p>
        </w:tc>
        <w:tc>
          <w:tcPr>
            <w:tcW w:w="309" w:type="dxa"/>
            <w:tcBorders/>
            <w:shd w:fill="CCEEFF" w:val="clear"/>
            <w:vAlign w:val="center"/>
          </w:tcPr>
          <w:p>
            <w:pPr>
              <w:pStyle w:val="TableContents"/>
              <w:pBdr/>
              <w:spacing w:before="0" w:after="0"/>
              <w:ind w:left="0" w:right="0" w:hanging="0"/>
              <w:rPr/>
            </w:pPr>
            <w:r>
              <w:rPr/>
              <w:t xml:space="preserve">  </w:t>
            </w:r>
          </w:p>
        </w:tc>
        <w:tc>
          <w:tcPr>
            <w:tcW w:w="412" w:type="dxa"/>
            <w:tcBorders/>
            <w:shd w:fill="CCEEFF" w:val="clear"/>
            <w:vAlign w:val="center"/>
          </w:tcPr>
          <w:p>
            <w:pPr>
              <w:pStyle w:val="TableContents"/>
              <w:spacing w:before="0" w:after="283"/>
              <w:ind w:left="0" w:right="0" w:hanging="0"/>
              <w:rPr/>
            </w:pPr>
            <w:r>
              <w:rPr/>
            </w:r>
          </w:p>
        </w:tc>
        <w:tc>
          <w:tcPr>
            <w:tcW w:w="1494" w:type="dxa"/>
            <w:tcBorders/>
            <w:shd w:fill="CCEEFF" w:val="clear"/>
            <w:vAlign w:val="center"/>
          </w:tcPr>
          <w:p>
            <w:pPr>
              <w:pStyle w:val="TableContents"/>
              <w:pBdr/>
              <w:spacing w:before="0" w:after="0"/>
              <w:ind w:left="0" w:right="0" w:hanging="0"/>
              <w:jc w:val="right"/>
              <w:rPr>
                <w:rFonts w:ascii="times new roman;times" w:hAnsi="times new roman;times"/>
                <w:sz w:val="20"/>
              </w:rPr>
            </w:pPr>
            <w:r>
              <w:rPr>
                <w:rFonts w:ascii="times new roman;times" w:hAnsi="times new roman;times"/>
                <w:sz w:val="20"/>
              </w:rPr>
              <w:t>55,700</w:t>
            </w:r>
          </w:p>
        </w:tc>
        <w:tc>
          <w:tcPr>
            <w:tcW w:w="309" w:type="dxa"/>
            <w:tcBorders/>
            <w:shd w:fill="CCEEFF" w:val="clear"/>
            <w:vAlign w:val="center"/>
          </w:tcPr>
          <w:p>
            <w:pPr>
              <w:pStyle w:val="TableContents"/>
              <w:pBdr/>
              <w:spacing w:before="0" w:after="0"/>
              <w:ind w:left="0" w:right="0" w:hanging="0"/>
              <w:rPr/>
            </w:pPr>
            <w:r>
              <w:rPr/>
              <w:t xml:space="preserve">  </w:t>
            </w:r>
          </w:p>
        </w:tc>
        <w:tc>
          <w:tcPr>
            <w:tcW w:w="309" w:type="dxa"/>
            <w:tcBorders/>
            <w:shd w:fill="CCEEFF" w:val="clear"/>
            <w:vAlign w:val="center"/>
          </w:tcPr>
          <w:p>
            <w:pPr>
              <w:pStyle w:val="TableContents"/>
              <w:pBdr/>
              <w:spacing w:before="0" w:after="0"/>
              <w:ind w:left="0" w:right="0" w:hanging="0"/>
              <w:rPr/>
            </w:pPr>
            <w:r>
              <w:rPr/>
              <w:t xml:space="preserve">  </w:t>
            </w:r>
          </w:p>
        </w:tc>
        <w:tc>
          <w:tcPr>
            <w:tcW w:w="412" w:type="dxa"/>
            <w:tcBorders/>
            <w:shd w:fill="CCEEFF" w:val="clear"/>
            <w:vAlign w:val="center"/>
          </w:tcPr>
          <w:p>
            <w:pPr>
              <w:pStyle w:val="TableContents"/>
              <w:spacing w:before="0" w:after="283"/>
              <w:ind w:left="0" w:right="0" w:hanging="0"/>
              <w:rPr/>
            </w:pPr>
            <w:r>
              <w:rPr/>
            </w:r>
          </w:p>
        </w:tc>
        <w:tc>
          <w:tcPr>
            <w:tcW w:w="1494" w:type="dxa"/>
            <w:tcBorders/>
            <w:shd w:fill="CCEEFF" w:val="clear"/>
            <w:vAlign w:val="center"/>
          </w:tcPr>
          <w:p>
            <w:pPr>
              <w:pStyle w:val="TableContents"/>
              <w:pBdr/>
              <w:spacing w:before="0" w:after="0"/>
              <w:ind w:left="0" w:right="0" w:hanging="0"/>
              <w:jc w:val="right"/>
              <w:rPr>
                <w:rFonts w:ascii="times new roman;times" w:hAnsi="times new roman;times"/>
                <w:sz w:val="20"/>
              </w:rPr>
            </w:pPr>
            <w:r>
              <w:rPr>
                <w:rFonts w:ascii="times new roman;times" w:hAnsi="times new roman;times"/>
                <w:sz w:val="20"/>
              </w:rPr>
              <w:t>35,000</w:t>
            </w:r>
          </w:p>
        </w:tc>
        <w:tc>
          <w:tcPr>
            <w:tcW w:w="402" w:type="dxa"/>
            <w:tcBorders/>
            <w:shd w:fill="CCEEFF" w:val="clear"/>
            <w:vAlign w:val="center"/>
          </w:tcPr>
          <w:p>
            <w:pPr>
              <w:pStyle w:val="TableContents"/>
              <w:spacing w:before="0" w:after="0"/>
              <w:ind w:left="0" w:right="0" w:hanging="0"/>
              <w:rPr/>
            </w:pPr>
            <w:r>
              <w:rPr/>
              <w:t xml:space="preserve">  </w:t>
            </w:r>
          </w:p>
        </w:tc>
      </w:tr>
      <w:tr>
        <w:trPr/>
        <w:tc>
          <w:tcPr>
            <w:tcW w:w="3533"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All other fees </w:t>
            </w:r>
          </w:p>
        </w:tc>
        <w:tc>
          <w:tcPr>
            <w:tcW w:w="309" w:type="dxa"/>
            <w:tcBorders/>
            <w:shd w:fill="auto" w:val="clear"/>
            <w:vAlign w:val="center"/>
          </w:tcPr>
          <w:p>
            <w:pPr>
              <w:pStyle w:val="TableContents"/>
              <w:spacing w:before="0" w:after="0"/>
              <w:ind w:left="0" w:right="0" w:hanging="0"/>
              <w:rPr/>
            </w:pPr>
            <w:r>
              <w:rPr/>
              <w:t xml:space="preserve">  </w:t>
            </w:r>
          </w:p>
        </w:tc>
        <w:tc>
          <w:tcPr>
            <w:tcW w:w="41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49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09" w:type="dxa"/>
            <w:tcBorders/>
            <w:shd w:fill="auto" w:val="clear"/>
            <w:vAlign w:val="center"/>
          </w:tcPr>
          <w:p>
            <w:pPr>
              <w:pStyle w:val="TableContents"/>
              <w:spacing w:before="0" w:after="0"/>
              <w:ind w:left="0" w:right="0" w:hanging="0"/>
              <w:rPr/>
            </w:pPr>
            <w:r>
              <w:rPr/>
              <w:t xml:space="preserve">  </w:t>
            </w:r>
          </w:p>
        </w:tc>
        <w:tc>
          <w:tcPr>
            <w:tcW w:w="309" w:type="dxa"/>
            <w:tcBorders/>
            <w:shd w:fill="auto" w:val="clear"/>
            <w:vAlign w:val="center"/>
          </w:tcPr>
          <w:p>
            <w:pPr>
              <w:pStyle w:val="TableContents"/>
              <w:spacing w:before="0" w:after="0"/>
              <w:ind w:left="0" w:right="0" w:hanging="0"/>
              <w:rPr/>
            </w:pPr>
            <w:r>
              <w:rPr/>
              <w:t xml:space="preserve">  </w:t>
            </w:r>
          </w:p>
        </w:tc>
        <w:tc>
          <w:tcPr>
            <w:tcW w:w="41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49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402" w:type="dxa"/>
            <w:tcBorders/>
            <w:shd w:fill="auto" w:val="clear"/>
            <w:vAlign w:val="center"/>
          </w:tcPr>
          <w:p>
            <w:pPr>
              <w:pStyle w:val="TableContents"/>
              <w:spacing w:before="0" w:after="0"/>
              <w:ind w:left="0" w:right="0" w:hanging="0"/>
              <w:rPr/>
            </w:pPr>
            <w:r>
              <w:rPr/>
              <w:t xml:space="preserve">  </w:t>
            </w:r>
          </w:p>
        </w:tc>
      </w:tr>
      <w:tr>
        <w:trPr/>
        <w:tc>
          <w:tcPr>
            <w:tcW w:w="3533" w:type="dxa"/>
            <w:tcBorders/>
            <w:shd w:fill="CCEEFF"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Total </w:t>
            </w:r>
          </w:p>
        </w:tc>
        <w:tc>
          <w:tcPr>
            <w:tcW w:w="309" w:type="dxa"/>
            <w:tcBorders/>
            <w:shd w:fill="CCEEFF" w:val="clear"/>
            <w:vAlign w:val="center"/>
          </w:tcPr>
          <w:p>
            <w:pPr>
              <w:pStyle w:val="TableContents"/>
              <w:spacing w:before="0" w:after="0"/>
              <w:ind w:left="0" w:right="0" w:hanging="0"/>
              <w:rPr/>
            </w:pPr>
            <w:r>
              <w:rPr/>
              <w:t xml:space="preserve">  </w:t>
            </w:r>
          </w:p>
        </w:tc>
        <w:tc>
          <w:tcPr>
            <w:tcW w:w="412" w:type="dxa"/>
            <w:tcBorders>
              <w:bottom w:val="single" w:sz="6" w:space="0" w:color="000000"/>
            </w:tcBorders>
            <w:shd w:fill="CCEEFF" w:val="clear"/>
            <w:tcMar>
              <w:bottom w:w="28"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494"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284,811</w:t>
            </w:r>
          </w:p>
        </w:tc>
        <w:tc>
          <w:tcPr>
            <w:tcW w:w="309" w:type="dxa"/>
            <w:tcBorders/>
            <w:shd w:fill="CCEEFF" w:val="clear"/>
            <w:vAlign w:val="center"/>
          </w:tcPr>
          <w:p>
            <w:pPr>
              <w:pStyle w:val="TableContents"/>
              <w:spacing w:before="0" w:after="0"/>
              <w:ind w:left="0" w:right="0" w:hanging="0"/>
              <w:rPr/>
            </w:pPr>
            <w:r>
              <w:rPr/>
              <w:t xml:space="preserve">  </w:t>
            </w:r>
          </w:p>
        </w:tc>
        <w:tc>
          <w:tcPr>
            <w:tcW w:w="309" w:type="dxa"/>
            <w:tcBorders/>
            <w:shd w:fill="CCEEFF" w:val="clear"/>
            <w:vAlign w:val="center"/>
          </w:tcPr>
          <w:p>
            <w:pPr>
              <w:pStyle w:val="TableContents"/>
              <w:spacing w:before="0" w:after="0"/>
              <w:ind w:left="0" w:right="0" w:hanging="0"/>
              <w:rPr/>
            </w:pPr>
            <w:r>
              <w:rPr/>
              <w:t xml:space="preserve">  </w:t>
            </w:r>
          </w:p>
        </w:tc>
        <w:tc>
          <w:tcPr>
            <w:tcW w:w="412" w:type="dxa"/>
            <w:tcBorders>
              <w:bottom w:val="single" w:sz="6" w:space="0" w:color="000000"/>
            </w:tcBorders>
            <w:shd w:fill="CCEEFF" w:val="clear"/>
            <w:tcMar>
              <w:bottom w:w="28" w:type="dxa"/>
            </w:tcM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 </w:t>
            </w:r>
          </w:p>
        </w:tc>
        <w:tc>
          <w:tcPr>
            <w:tcW w:w="1494"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302,798</w:t>
            </w:r>
          </w:p>
        </w:tc>
        <w:tc>
          <w:tcPr>
            <w:tcW w:w="402" w:type="dxa"/>
            <w:tcBorders/>
            <w:shd w:fill="CCEEFF" w:val="clear"/>
            <w:vAlign w:val="center"/>
          </w:tcPr>
          <w:p>
            <w:pPr>
              <w:pStyle w:val="TableContents"/>
              <w:spacing w:before="0" w:after="0"/>
              <w:ind w:left="0" w:right="0" w:hanging="0"/>
              <w:rPr/>
            </w:pPr>
            <w:r>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294" w:right="294"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4250" w:type="pct"/>
        <w:jc w:val="left"/>
        <w:tblInd w:w="0" w:type="dxa"/>
        <w:tblCellMar>
          <w:top w:w="0" w:type="dxa"/>
          <w:left w:w="0" w:type="dxa"/>
          <w:bottom w:w="0" w:type="dxa"/>
          <w:right w:w="0" w:type="dxa"/>
        </w:tblCellMar>
      </w:tblPr>
      <w:tblGrid>
        <w:gridCol w:w="296"/>
        <w:gridCol w:w="8378"/>
      </w:tblGrid>
      <w:tr>
        <w:trPr/>
        <w:tc>
          <w:tcPr>
            <w:tcW w:w="296"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(1) </w:t>
            </w:r>
          </w:p>
        </w:tc>
        <w:tc>
          <w:tcPr>
            <w:tcW w:w="8378"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Represents fees billed for professional services rendered for the audit and reviews of our financial statements filed with the SEC on Forms 10-K and 10-Q. </w:t>
            </w:r>
          </w:p>
        </w:tc>
      </w:tr>
      <w:tr>
        <w:trPr/>
        <w:tc>
          <w:tcPr>
            <w:tcW w:w="296" w:type="dxa"/>
            <w:tcBorders/>
            <w:shd w:fill="auto" w:val="clear"/>
            <w:vAlign w:val="center"/>
          </w:tcPr>
          <w:p>
            <w:pPr>
              <w:pStyle w:val="TableContents"/>
              <w:spacing w:before="0" w:after="283"/>
              <w:rPr/>
            </w:pPr>
            <w:r>
              <w:rPr/>
            </w:r>
          </w:p>
        </w:tc>
        <w:tc>
          <w:tcPr>
            <w:tcW w:w="8378" w:type="dxa"/>
            <w:tcBorders/>
            <w:shd w:fill="auto" w:val="clear"/>
            <w:vAlign w:val="center"/>
          </w:tcPr>
          <w:p>
            <w:pPr>
              <w:pStyle w:val="TableContents"/>
              <w:spacing w:before="0" w:after="283"/>
              <w:rPr/>
            </w:pPr>
            <w:r>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250" w:type="pct"/>
        <w:jc w:val="left"/>
        <w:tblInd w:w="0" w:type="dxa"/>
        <w:tblCellMar>
          <w:top w:w="0" w:type="dxa"/>
          <w:left w:w="0" w:type="dxa"/>
          <w:bottom w:w="0" w:type="dxa"/>
          <w:right w:w="0" w:type="dxa"/>
        </w:tblCellMar>
      </w:tblPr>
      <w:tblGrid>
        <w:gridCol w:w="326"/>
        <w:gridCol w:w="8348"/>
      </w:tblGrid>
      <w:tr>
        <w:trPr/>
        <w:tc>
          <w:tcPr>
            <w:tcW w:w="326"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(2) </w:t>
            </w:r>
          </w:p>
        </w:tc>
        <w:tc>
          <w:tcPr>
            <w:tcW w:w="8348"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Represents fees billed for consents provided with respect to registration statements and related amendments. </w:t>
            </w:r>
          </w:p>
        </w:tc>
      </w:tr>
      <w:tr>
        <w:trPr/>
        <w:tc>
          <w:tcPr>
            <w:tcW w:w="326" w:type="dxa"/>
            <w:tcBorders/>
            <w:shd w:fill="auto" w:val="clear"/>
            <w:vAlign w:val="center"/>
          </w:tcPr>
          <w:p>
            <w:pPr>
              <w:pStyle w:val="TableContents"/>
              <w:spacing w:before="0" w:after="283"/>
              <w:rPr/>
            </w:pPr>
            <w:r>
              <w:rPr/>
            </w:r>
          </w:p>
        </w:tc>
        <w:tc>
          <w:tcPr>
            <w:tcW w:w="8348" w:type="dxa"/>
            <w:tcBorders/>
            <w:shd w:fill="auto" w:val="clear"/>
            <w:vAlign w:val="center"/>
          </w:tcPr>
          <w:p>
            <w:pPr>
              <w:pStyle w:val="TableContents"/>
              <w:spacing w:before="0" w:after="283"/>
              <w:rPr/>
            </w:pPr>
            <w:r>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250" w:type="pct"/>
        <w:jc w:val="left"/>
        <w:tblInd w:w="0" w:type="dxa"/>
        <w:tblCellMar>
          <w:top w:w="0" w:type="dxa"/>
          <w:left w:w="0" w:type="dxa"/>
          <w:bottom w:w="0" w:type="dxa"/>
          <w:right w:w="0" w:type="dxa"/>
        </w:tblCellMar>
      </w:tblPr>
      <w:tblGrid>
        <w:gridCol w:w="446"/>
        <w:gridCol w:w="8228"/>
      </w:tblGrid>
      <w:tr>
        <w:trPr/>
        <w:tc>
          <w:tcPr>
            <w:tcW w:w="446"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(3) </w:t>
            </w:r>
          </w:p>
        </w:tc>
        <w:tc>
          <w:tcPr>
            <w:tcW w:w="8228"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Represents fees billed for tax filing, preparation, and tax advisory services. </w:t>
            </w:r>
          </w:p>
        </w:tc>
      </w:tr>
    </w:tbl>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rFonts w:ascii="times new roman;times" w:hAnsi="times new roman;times" w:eastAsia="times new roman;times" w:cs="times new roman;times"/>
          <w:b/>
          <w:sz w:val="20"/>
          <w:szCs w:val="20"/>
        </w:rPr>
      </w:pPr>
      <w:r>
        <w:rPr>
          <w:rFonts w:eastAsia="times new roman;times" w:cs="times new roman;times" w:ascii="times new roman;times" w:hAnsi="times new roman;times"/>
          <w:b/>
          <w:sz w:val="20"/>
          <w:szCs w:val="20"/>
        </w:rPr>
        <w:t>Pre-Approval Policies and Procedures</w:t>
      </w:r>
    </w:p>
    <w:p>
      <w:pPr>
        <w:pStyle w:val="TextBody"/>
        <w:spacing w:lineRule="auto" w:line="240" w:before="0" w:after="0"/>
        <w:ind w:left="0" w:right="0" w:hanging="0"/>
        <w:jc w:val="both"/>
        <w:rPr/>
      </w:pPr>
      <w:r>
        <w:rPr/>
        <w:t> </w:t>
      </w:r>
    </w:p>
    <w:p>
      <w:pPr>
        <w:pStyle w:val="TextBody"/>
        <w:spacing w:lineRule="auto" w:line="240" w:before="0" w:after="0"/>
        <w:ind w:left="0" w:right="0" w:firstLine="600"/>
        <w:jc w:val="both"/>
        <w:rPr>
          <w:rFonts w:ascii="times new roman;times" w:hAnsi="times new roman;times"/>
          <w:sz w:val="20"/>
        </w:rPr>
      </w:pPr>
      <w:r>
        <w:rPr>
          <w:rFonts w:ascii="times new roman;times" w:hAnsi="times new roman;times"/>
          <w:sz w:val="20"/>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2021,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46</w:t>
            </w:r>
          </w:p>
        </w:tc>
      </w:tr>
    </w:tbl>
    <w:p>
      <w:pPr>
        <w:pStyle w:val="TextBody"/>
        <w:spacing w:lineRule="auto" w:line="240"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before="0" w:after="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pPr>
      <w:r>
        <w:rPr/>
        <w:t>  </w:t>
      </w:r>
    </w:p>
    <w:p>
      <w:pPr>
        <w:pStyle w:val="TextBody"/>
        <w:ind w:left="0" w:right="0" w:hanging="0"/>
        <w:jc w:val="center"/>
        <w:rPr/>
      </w:pPr>
      <w:hyperlink r:id="rId17">
        <w:bookmarkStart w:id="82" w:name="BW_NL3ULECWZK00000000000000000000"/>
        <w:bookmarkEnd w:id="82"/>
        <w:r>
          <w:rPr>
            <w:rStyle w:val="VisitedInternetLink"/>
            <w:rFonts w:ascii="Times New Roman" w:hAnsi="Times New Roman"/>
            <w:b/>
            <w:strike w:val="false"/>
            <w:dstrike w:val="false"/>
            <w:color w:val="000000"/>
            <w:sz w:val="20"/>
            <w:u w:val="none"/>
            <w:effect w:val="none"/>
          </w:rPr>
          <w:t>PART IV</w:t>
        </w:r>
      </w:hyperlink>
    </w:p>
    <w:p>
      <w:pPr>
        <w:pStyle w:val="TextBody"/>
        <w:spacing w:before="0" w:after="0"/>
        <w:ind w:left="0" w:right="0" w:hanging="0"/>
        <w:jc w:val="both"/>
        <w:rPr/>
      </w:pPr>
      <w:r>
        <w:rPr/>
        <w:t> </w:t>
      </w:r>
    </w:p>
    <w:p>
      <w:pPr>
        <w:pStyle w:val="TextBody"/>
        <w:ind w:left="0" w:right="0" w:hanging="0"/>
        <w:jc w:val="both"/>
        <w:rPr/>
      </w:pPr>
      <w:hyperlink r:id="rId18">
        <w:bookmarkStart w:id="83" w:name="BX_02V3936Q3K00000000000000000000"/>
        <w:bookmarkEnd w:id="83"/>
        <w:r>
          <w:rPr>
            <w:rStyle w:val="VisitedInternetLink"/>
            <w:rFonts w:ascii="Times New Roman" w:hAnsi="Times New Roman"/>
            <w:b/>
            <w:strike w:val="false"/>
            <w:dstrike w:val="false"/>
            <w:color w:val="000000"/>
            <w:sz w:val="20"/>
            <w:u w:val="none"/>
            <w:effect w:val="none"/>
          </w:rPr>
          <w:t>ITEM 15. EXHIBITS, FINANCIAL STATEMENT SCHEDULES</w:t>
        </w:r>
      </w:hyperlink>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10012" w:type="dxa"/>
            <w:tcBorders/>
            <w:shd w:fill="auto" w:val="clear"/>
            <w:vAlign w:val="center"/>
          </w:tcPr>
          <w:p>
            <w:pPr>
              <w:pStyle w:val="TableContents"/>
              <w:spacing w:lineRule="auto" w:line="240" w:before="0" w:after="0"/>
              <w:ind w:left="0" w:right="0" w:hanging="0"/>
              <w:jc w:val="both"/>
              <w:rPr>
                <w:rFonts w:ascii="Times New Roman" w:hAnsi="Times New Roman"/>
                <w:sz w:val="20"/>
              </w:rPr>
            </w:pPr>
            <w:r>
              <w:rPr>
                <w:rFonts w:ascii="Times New Roman" w:hAnsi="Times New Roman"/>
                <w:sz w:val="20"/>
              </w:rPr>
              <w:t>Financial Statements: Financial statements set forth under Part II, Item 8 of this Annual Report on Form 10-K are filed in a separate section of this Form 10-K. See the “Index to Consolidated Financial Statements”.</w:t>
            </w:r>
          </w:p>
        </w:tc>
      </w:tr>
      <w:tr>
        <w:trPr/>
        <w:tc>
          <w:tcPr>
            <w:tcW w:w="193" w:type="dxa"/>
            <w:tcBorders/>
            <w:shd w:fill="auto" w:val="clear"/>
            <w:vAlign w:val="center"/>
          </w:tcPr>
          <w:p>
            <w:pPr>
              <w:pStyle w:val="TableContents"/>
              <w:spacing w:before="0" w:after="0"/>
              <w:ind w:left="0" w:right="0" w:hanging="0"/>
              <w:jc w:val="both"/>
              <w:rPr/>
            </w:pPr>
            <w:r>
              <w:rPr/>
              <w:t> </w:t>
            </w:r>
          </w:p>
        </w:tc>
        <w:tc>
          <w:tcPr>
            <w:tcW w:w="10012" w:type="dxa"/>
            <w:tcBorders/>
            <w:shd w:fill="auto" w:val="clear"/>
            <w:vAlign w:val="center"/>
          </w:tcPr>
          <w:p>
            <w:pPr>
              <w:pStyle w:val="TableContents"/>
              <w:spacing w:before="0" w:after="0"/>
              <w:ind w:left="0" w:right="0" w:hanging="0"/>
              <w:jc w:val="both"/>
              <w:rPr/>
            </w:pPr>
            <w:r>
              <w:rPr/>
              <w:t> </w:t>
            </w:r>
          </w:p>
        </w:tc>
      </w:tr>
      <w:tr>
        <w:trPr/>
        <w:tc>
          <w:tcPr>
            <w:tcW w:w="1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10012" w:type="dxa"/>
            <w:tcBorders/>
            <w:shd w:fill="auto" w:val="clear"/>
            <w:vAlign w:val="center"/>
          </w:tcPr>
          <w:p>
            <w:pPr>
              <w:pStyle w:val="TableContents"/>
              <w:spacing w:lineRule="auto" w:line="240" w:before="0" w:after="0"/>
              <w:ind w:left="0" w:right="0" w:hanging="0"/>
              <w:jc w:val="both"/>
              <w:rPr>
                <w:rFonts w:ascii="Times New Roman" w:hAnsi="Times New Roman"/>
                <w:sz w:val="20"/>
              </w:rPr>
            </w:pPr>
            <w:r>
              <w:rPr>
                <w:rFonts w:ascii="Times New Roman" w:hAnsi="Times New Roman"/>
                <w:sz w:val="20"/>
              </w:rPr>
              <w:t>Financial Statement Schedules: All schedules are omitted since they either are not required, not applicable or the information is presented in the accompanying consolidated financial statements and notes thereto.</w:t>
            </w:r>
          </w:p>
        </w:tc>
      </w:tr>
      <w:tr>
        <w:trPr/>
        <w:tc>
          <w:tcPr>
            <w:tcW w:w="193" w:type="dxa"/>
            <w:tcBorders/>
            <w:shd w:fill="auto" w:val="clear"/>
            <w:vAlign w:val="center"/>
          </w:tcPr>
          <w:p>
            <w:pPr>
              <w:pStyle w:val="TableContents"/>
              <w:spacing w:before="0" w:after="0"/>
              <w:ind w:left="0" w:right="0" w:hanging="0"/>
              <w:jc w:val="both"/>
              <w:rPr/>
            </w:pPr>
            <w:r>
              <w:rPr/>
              <w:t> </w:t>
            </w:r>
          </w:p>
        </w:tc>
        <w:tc>
          <w:tcPr>
            <w:tcW w:w="10012" w:type="dxa"/>
            <w:tcBorders/>
            <w:shd w:fill="auto" w:val="clear"/>
            <w:vAlign w:val="center"/>
          </w:tcPr>
          <w:p>
            <w:pPr>
              <w:pStyle w:val="TableContents"/>
              <w:spacing w:before="0" w:after="0"/>
              <w:ind w:left="0" w:right="0" w:hanging="0"/>
              <w:jc w:val="both"/>
              <w:rPr/>
            </w:pPr>
            <w:r>
              <w:rPr/>
              <w:t> </w:t>
            </w:r>
          </w:p>
        </w:tc>
      </w:tr>
      <w:tr>
        <w:trPr/>
        <w:tc>
          <w:tcPr>
            <w:tcW w:w="19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10012" w:type="dxa"/>
            <w:tcBorders/>
            <w:shd w:fill="auto" w:val="clear"/>
            <w:vAlign w:val="center"/>
          </w:tcPr>
          <w:p>
            <w:pPr>
              <w:pStyle w:val="TableContents"/>
              <w:spacing w:lineRule="auto" w:line="240" w:before="0" w:after="0"/>
              <w:ind w:left="0" w:right="0" w:hanging="0"/>
              <w:jc w:val="both"/>
              <w:rPr>
                <w:rFonts w:ascii="Times New Roman" w:hAnsi="Times New Roman"/>
                <w:sz w:val="20"/>
              </w:rPr>
            </w:pPr>
            <w:r>
              <w:rPr>
                <w:rFonts w:ascii="Times New Roman" w:hAnsi="Times New Roman"/>
                <w:sz w:val="20"/>
              </w:rPr>
              <w:t>Exhibits: The exhibits listed under the Index of exhibits in the next page are filed or incorporated by reference as part of this Form 10-K.</w:t>
            </w:r>
          </w:p>
        </w:tc>
      </w:tr>
    </w:tbl>
    <w:p>
      <w:pPr>
        <w:pStyle w:val="TextBody"/>
        <w:spacing w:before="0" w:after="0"/>
        <w:ind w:left="0" w:right="0" w:hanging="0"/>
        <w:jc w:val="both"/>
        <w:rPr/>
      </w:pPr>
      <w:r>
        <w:rPr/>
        <w:t> </w:t>
      </w:r>
    </w:p>
    <w:p>
      <w:pPr>
        <w:pStyle w:val="TextBody"/>
        <w:ind w:left="0" w:right="0" w:hanging="0"/>
        <w:jc w:val="both"/>
        <w:rPr/>
      </w:pPr>
      <w:hyperlink r:id="rId19">
        <w:bookmarkStart w:id="84" w:name="BY_4Q3RWEAEAO00000000000000000000"/>
        <w:bookmarkEnd w:id="84"/>
        <w:r>
          <w:rPr>
            <w:rStyle w:val="VisitedInternetLink"/>
            <w:rFonts w:ascii="Times New Roman" w:hAnsi="Times New Roman"/>
            <w:b/>
            <w:strike w:val="false"/>
            <w:dstrike w:val="false"/>
            <w:color w:val="000000"/>
            <w:sz w:val="20"/>
            <w:u w:val="none"/>
            <w:effect w:val="none"/>
          </w:rPr>
          <w:t>ITEM 16. FORM 10-K SUMMARY</w:t>
        </w:r>
      </w:hyperlink>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Not applicable.</w:t>
      </w:r>
    </w:p>
    <w:p>
      <w:pPr>
        <w:pStyle w:val="TextBody"/>
        <w:spacing w:before="0" w:after="0"/>
        <w:ind w:left="0" w:right="0" w:hanging="0"/>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0"/>
              <w:ind w:left="0" w:right="0" w:hanging="0"/>
              <w:jc w:val="center"/>
              <w:rPr>
                <w:sz w:val="20"/>
              </w:rPr>
            </w:pPr>
            <w:r>
              <w:rPr>
                <w:sz w:val="20"/>
              </w:rPr>
              <w:t>47</w:t>
            </w:r>
          </w:p>
        </w:tc>
      </w:tr>
    </w:tbl>
    <w:p>
      <w:pPr>
        <w:pStyle w:val="HorizontalLine"/>
        <w:spacing w:before="0" w:after="0"/>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144" w:right="144" w:hanging="0"/>
        <w:rPr/>
      </w:pPr>
      <w:r>
        <w:rPr/>
      </w:r>
    </w:p>
    <w:p>
      <w:pPr>
        <w:pStyle w:val="TextBody"/>
        <w:spacing w:before="0" w:after="0"/>
        <w:ind w:left="144" w:right="144" w:hanging="0"/>
        <w:jc w:val="center"/>
        <w:rPr>
          <w:rFonts w:ascii="Times New Roman" w:hAnsi="Times New Roman"/>
          <w:b/>
          <w:sz w:val="20"/>
          <w:u w:val="single"/>
        </w:rPr>
      </w:pPr>
      <w:r>
        <w:rPr>
          <w:rFonts w:ascii="Times New Roman" w:hAnsi="Times New Roman"/>
          <w:b/>
          <w:sz w:val="20"/>
          <w:u w:val="single"/>
        </w:rPr>
        <w:t>INDEX TO EXHIBITS</w:t>
      </w:r>
    </w:p>
    <w:p>
      <w:pPr>
        <w:pStyle w:val="TextBody"/>
        <w:spacing w:before="0" w:after="0"/>
        <w:ind w:left="144" w:right="144" w:hanging="0"/>
        <w:jc w:val="center"/>
        <w:rPr/>
      </w:pPr>
      <w:r>
        <w:rPr/>
        <w:t> </w:t>
      </w:r>
    </w:p>
    <w:tbl>
      <w:tblPr>
        <w:tblW w:w="5000" w:type="pct"/>
        <w:jc w:val="left"/>
        <w:tblInd w:w="0" w:type="dxa"/>
        <w:tblCellMar>
          <w:top w:w="0" w:type="dxa"/>
          <w:left w:w="0" w:type="dxa"/>
          <w:bottom w:w="28" w:type="dxa"/>
          <w:right w:w="0" w:type="dxa"/>
        </w:tblCellMar>
      </w:tblPr>
      <w:tblGrid>
        <w:gridCol w:w="798"/>
        <w:gridCol w:w="90"/>
        <w:gridCol w:w="6445"/>
        <w:gridCol w:w="90"/>
        <w:gridCol w:w="502"/>
        <w:gridCol w:w="90"/>
        <w:gridCol w:w="1333"/>
        <w:gridCol w:w="90"/>
        <w:gridCol w:w="767"/>
      </w:tblGrid>
      <w:tr>
        <w:trPr/>
        <w:tc>
          <w:tcPr>
            <w:tcW w:w="798"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b/>
                <w:sz w:val="18"/>
              </w:rPr>
            </w:pPr>
            <w:r>
              <w:rPr>
                <w:rFonts w:ascii="Times New Roman" w:hAnsi="Times New Roman"/>
                <w:b/>
                <w:sz w:val="18"/>
              </w:rPr>
              <w:t>Exhibit</w:t>
            </w:r>
          </w:p>
          <w:p>
            <w:pPr>
              <w:pStyle w:val="TableContents"/>
              <w:spacing w:before="0" w:after="0"/>
              <w:ind w:left="0" w:right="0" w:hanging="0"/>
              <w:jc w:val="both"/>
              <w:rPr>
                <w:rFonts w:ascii="Times New Roman" w:hAnsi="Times New Roman"/>
                <w:b/>
                <w:sz w:val="18"/>
              </w:rPr>
            </w:pPr>
            <w:r>
              <w:rPr>
                <w:rFonts w:ascii="Times New Roman" w:hAnsi="Times New Roman"/>
                <w:b/>
                <w:sz w:val="18"/>
              </w:rPr>
              <w:t>Number</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6445"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Exhibit Description</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Form</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Exhibit Incorporated</w:t>
            </w:r>
          </w:p>
          <w:p>
            <w:pPr>
              <w:pStyle w:val="TableContents"/>
              <w:spacing w:before="0" w:after="0"/>
              <w:ind w:left="0" w:right="0" w:hanging="0"/>
              <w:jc w:val="center"/>
              <w:rPr>
                <w:rFonts w:ascii="Times New Roman" w:hAnsi="Times New Roman"/>
                <w:b/>
                <w:sz w:val="18"/>
              </w:rPr>
            </w:pPr>
            <w:r>
              <w:rPr>
                <w:rFonts w:ascii="Times New Roman" w:hAnsi="Times New Roman"/>
                <w:b/>
                <w:sz w:val="18"/>
              </w:rPr>
              <w:t>Herein by Reference</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bottom w:val="single" w:sz="6" w:space="0" w:color="000000"/>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Filing Date</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20">
              <w:r>
                <w:rPr>
                  <w:rStyle w:val="InternetLink"/>
                  <w:rFonts w:ascii="Times New Roman" w:hAnsi="Times New Roman"/>
                  <w:color w:val="0000EE"/>
                  <w:sz w:val="20"/>
                  <w:u w:val="single"/>
                </w:rPr>
                <w:t>Certificate of Incorporation of ClearOne, Inc.</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10/29/18</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3.2</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21">
              <w:r>
                <w:rPr>
                  <w:rStyle w:val="InternetLink"/>
                  <w:rFonts w:ascii="Times New Roman" w:hAnsi="Times New Roman"/>
                  <w:color w:val="0000EE"/>
                  <w:sz w:val="20"/>
                  <w:u w:val="single"/>
                </w:rPr>
                <w:t>Bylaws</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10/29/18</w:t>
            </w:r>
          </w:p>
        </w:tc>
      </w:tr>
      <w:tr>
        <w:trPr/>
        <w:tc>
          <w:tcPr>
            <w:tcW w:w="798" w:type="dxa"/>
            <w:tcBorders/>
            <w:shd w:fill="auto" w:val="clear"/>
            <w:tcMar>
              <w:bottom w:w="0" w:type="dxa"/>
            </w:tcMar>
            <w:vAlign w:val="center"/>
          </w:tcPr>
          <w:p>
            <w:pPr>
              <w:pStyle w:val="TableContents"/>
              <w:spacing w:before="0" w:after="283"/>
              <w:rPr/>
            </w:pPr>
            <w:r>
              <w:rPr/>
              <w:t>4.1</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22">
              <w:r>
                <w:rPr>
                  <w:rStyle w:val="InternetLink"/>
                  <w:rFonts w:ascii="Times New Roman" w:hAnsi="Times New Roman"/>
                  <w:color w:val="0000EE"/>
                  <w:sz w:val="20"/>
                  <w:u w:val="single"/>
                </w:rPr>
                <w:t>Description of Securities Registered Pursuant to Section 12 of the Securities Exchange Act of 1934</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spacing w:before="0" w:after="283"/>
              <w:jc w:val="center"/>
              <w:rPr/>
            </w:pPr>
            <w:r>
              <w:rPr/>
              <w:t>10-K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4.1</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03/30/20</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23">
              <w:r>
                <w:rPr>
                  <w:rStyle w:val="InternetLink"/>
                  <w:rFonts w:ascii="Times New Roman" w:hAnsi="Times New Roman"/>
                  <w:color w:val="0000EE"/>
                  <w:sz w:val="20"/>
                  <w:u w:val="single"/>
                </w:rPr>
                <w:t>1997 Employee Stock Purchase Plan</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4.9</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10/06/06</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10.2#</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24">
              <w:r>
                <w:rPr>
                  <w:rStyle w:val="InternetLink"/>
                  <w:rFonts w:ascii="Times New Roman" w:hAnsi="Times New Roman"/>
                  <w:color w:val="0000EE"/>
                  <w:sz w:val="20"/>
                  <w:u w:val="single"/>
                </w:rPr>
                <w:t>1998 Stock Option Plan</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4.8</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10/06/06</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10.3#</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25">
              <w:r>
                <w:rPr>
                  <w:rStyle w:val="InternetLink"/>
                  <w:rFonts w:ascii="Times New Roman" w:hAnsi="Times New Roman"/>
                  <w:color w:val="0000EE"/>
                  <w:sz w:val="20"/>
                  <w:u w:val="single"/>
                </w:rPr>
                <w:t>2007 Equity Incentive Plan</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4.7</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01/22/08</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10.4#</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26">
              <w:r>
                <w:rPr>
                  <w:rStyle w:val="InternetLink"/>
                  <w:rFonts w:ascii="Times New Roman" w:hAnsi="Times New Roman"/>
                  <w:color w:val="0000EE"/>
                  <w:sz w:val="20"/>
                  <w:u w:val="single"/>
                </w:rPr>
                <w:t>ClearOne, Inc. Equity Incentive Plan</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4.8</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01/26/16</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10.5#</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27">
              <w:r>
                <w:rPr>
                  <w:rStyle w:val="InternetLink"/>
                  <w:rFonts w:ascii="Times New Roman" w:hAnsi="Times New Roman"/>
                  <w:color w:val="0000EE"/>
                  <w:sz w:val="20"/>
                  <w:u w:val="single"/>
                </w:rPr>
                <w:t>Amendment No. 1 to the ClearOne, Inc. Equity Incentive Plan</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4.11</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06/30/15</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10.6#</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28">
              <w:r>
                <w:rPr>
                  <w:rStyle w:val="InternetLink"/>
                  <w:rFonts w:ascii="Times New Roman" w:hAnsi="Times New Roman"/>
                  <w:color w:val="0000EE"/>
                  <w:sz w:val="20"/>
                  <w:u w:val="single"/>
                </w:rPr>
                <w:t>ClearOne, Inc. Employee Stock Purchase Plan</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S-8</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4.3</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06/30/15</w:t>
            </w:r>
          </w:p>
        </w:tc>
      </w:tr>
      <w:tr>
        <w:trPr/>
        <w:tc>
          <w:tcPr>
            <w:tcW w:w="798" w:type="dxa"/>
            <w:tcBorders/>
            <w:shd w:fill="auto" w:val="clear"/>
            <w:tcMar>
              <w:bottom w:w="0" w:type="dxa"/>
            </w:tcMar>
            <w:vAlign w:val="center"/>
          </w:tcPr>
          <w:p>
            <w:pPr>
              <w:pStyle w:val="TableContents"/>
              <w:spacing w:before="0" w:after="283"/>
              <w:rPr/>
            </w:pPr>
            <w:r>
              <w:rPr/>
              <w:t>10.7</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29">
              <w:r>
                <w:rPr>
                  <w:rStyle w:val="InternetLink"/>
                </w:rPr>
                <w:t>Note Purchase Agreement by and among ClearOne, Inc., the guarantors a party thereto and Edward D. Bagley dated as of December 8, 2019</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spacing w:before="0" w:after="283"/>
              <w:jc w:val="center"/>
              <w:rPr/>
            </w:pPr>
            <w:r>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10.1</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12/09/19</w:t>
            </w:r>
          </w:p>
        </w:tc>
      </w:tr>
      <w:tr>
        <w:trPr/>
        <w:tc>
          <w:tcPr>
            <w:tcW w:w="798" w:type="dxa"/>
            <w:tcBorders/>
            <w:shd w:fill="auto" w:val="clear"/>
            <w:tcMar>
              <w:bottom w:w="0" w:type="dxa"/>
            </w:tcMar>
            <w:vAlign w:val="center"/>
          </w:tcPr>
          <w:p>
            <w:pPr>
              <w:pStyle w:val="TableContents"/>
              <w:spacing w:before="0" w:after="283"/>
              <w:rPr/>
            </w:pPr>
            <w:r>
              <w:rPr/>
              <w:t>10.8</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0">
              <w:r>
                <w:rPr>
                  <w:rStyle w:val="InternetLink"/>
                </w:rPr>
                <w:t>Form of Guaranty and Collateral Agreement</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10.2</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12/09/19</w:t>
            </w:r>
          </w:p>
        </w:tc>
      </w:tr>
      <w:tr>
        <w:trPr/>
        <w:tc>
          <w:tcPr>
            <w:tcW w:w="798" w:type="dxa"/>
            <w:tcBorders/>
            <w:shd w:fill="auto" w:val="clear"/>
            <w:tcMar>
              <w:bottom w:w="0" w:type="dxa"/>
            </w:tcMar>
            <w:vAlign w:val="center"/>
          </w:tcPr>
          <w:p>
            <w:pPr>
              <w:pStyle w:val="TableContents"/>
              <w:spacing w:before="0" w:after="283"/>
              <w:rPr/>
            </w:pPr>
            <w:r>
              <w:rPr/>
              <w:t>10.9</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1">
              <w:r>
                <w:rPr>
                  <w:rStyle w:val="InternetLink"/>
                </w:rPr>
                <w:t>Form of Secured Convertible Note</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10.3</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12/09/19</w:t>
            </w:r>
          </w:p>
        </w:tc>
      </w:tr>
      <w:tr>
        <w:trPr/>
        <w:tc>
          <w:tcPr>
            <w:tcW w:w="798" w:type="dxa"/>
            <w:tcBorders/>
            <w:shd w:fill="auto" w:val="clear"/>
            <w:tcMar>
              <w:bottom w:w="0" w:type="dxa"/>
            </w:tcMar>
            <w:vAlign w:val="center"/>
          </w:tcPr>
          <w:p>
            <w:pPr>
              <w:pStyle w:val="TableContents"/>
              <w:spacing w:before="0" w:after="283"/>
              <w:rPr/>
            </w:pPr>
            <w:r>
              <w:rPr/>
              <w:t>10.10</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2">
              <w:r>
                <w:rPr>
                  <w:rStyle w:val="InternetLink"/>
                </w:rPr>
                <w:t>Form of Securities Purchase Agreement</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10.1</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09/14/20</w:t>
            </w:r>
          </w:p>
        </w:tc>
      </w:tr>
      <w:tr>
        <w:trPr/>
        <w:tc>
          <w:tcPr>
            <w:tcW w:w="798" w:type="dxa"/>
            <w:tcBorders/>
            <w:shd w:fill="auto" w:val="clear"/>
            <w:tcMar>
              <w:bottom w:w="0" w:type="dxa"/>
            </w:tcMar>
            <w:vAlign w:val="center"/>
          </w:tcPr>
          <w:p>
            <w:pPr>
              <w:pStyle w:val="TableContents"/>
              <w:spacing w:before="0" w:after="283"/>
              <w:rPr/>
            </w:pPr>
            <w:r>
              <w:rPr/>
              <w:t>10.11</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3">
              <w:r>
                <w:rPr>
                  <w:rStyle w:val="InternetLink"/>
                </w:rPr>
                <w:t>Form of Securities Purchase Agreement</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10.1</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09/13/21</w:t>
            </w:r>
          </w:p>
        </w:tc>
      </w:tr>
      <w:tr>
        <w:trPr/>
        <w:tc>
          <w:tcPr>
            <w:tcW w:w="798" w:type="dxa"/>
            <w:tcBorders/>
            <w:shd w:fill="auto" w:val="clear"/>
            <w:tcMar>
              <w:bottom w:w="0" w:type="dxa"/>
            </w:tcMar>
            <w:vAlign w:val="center"/>
          </w:tcPr>
          <w:p>
            <w:pPr>
              <w:pStyle w:val="TableContents"/>
              <w:spacing w:before="0" w:after="283"/>
              <w:rPr/>
            </w:pPr>
            <w:r>
              <w:rPr/>
              <w:t>10.12</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4">
              <w:r>
                <w:rPr>
                  <w:rStyle w:val="InternetLink"/>
                </w:rPr>
                <w:t>Form of Registration Rights Agreement</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10.2</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09/13/21</w:t>
            </w:r>
          </w:p>
        </w:tc>
      </w:tr>
      <w:tr>
        <w:trPr/>
        <w:tc>
          <w:tcPr>
            <w:tcW w:w="798" w:type="dxa"/>
            <w:tcBorders/>
            <w:shd w:fill="auto" w:val="clear"/>
            <w:tcMar>
              <w:bottom w:w="0" w:type="dxa"/>
            </w:tcMar>
            <w:vAlign w:val="center"/>
          </w:tcPr>
          <w:p>
            <w:pPr>
              <w:pStyle w:val="TableContents"/>
              <w:spacing w:before="0" w:after="283"/>
              <w:rPr/>
            </w:pPr>
            <w:r>
              <w:rPr/>
              <w:t>10.13</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5">
              <w:r>
                <w:rPr>
                  <w:rStyle w:val="InternetLink"/>
                </w:rPr>
                <w:t>Securities Purchase Agreement.</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10.1</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0104/22</w:t>
            </w:r>
          </w:p>
        </w:tc>
      </w:tr>
      <w:tr>
        <w:trPr/>
        <w:tc>
          <w:tcPr>
            <w:tcW w:w="798" w:type="dxa"/>
            <w:tcBorders/>
            <w:shd w:fill="auto" w:val="clear"/>
            <w:tcMar>
              <w:bottom w:w="0" w:type="dxa"/>
            </w:tcMar>
            <w:vAlign w:val="center"/>
          </w:tcPr>
          <w:p>
            <w:pPr>
              <w:pStyle w:val="TableContents"/>
              <w:spacing w:before="0" w:after="283"/>
              <w:rPr/>
            </w:pPr>
            <w:r>
              <w:rPr/>
              <w:t>10.14</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6">
              <w:r>
                <w:rPr>
                  <w:rStyle w:val="InternetLink"/>
                </w:rPr>
                <w:t>Registration Rights Agreement.</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10.2</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01/04/22</w:t>
            </w:r>
          </w:p>
        </w:tc>
      </w:tr>
      <w:tr>
        <w:trPr/>
        <w:tc>
          <w:tcPr>
            <w:tcW w:w="798" w:type="dxa"/>
            <w:tcBorders/>
            <w:shd w:fill="auto" w:val="clear"/>
            <w:tcMar>
              <w:bottom w:w="0" w:type="dxa"/>
            </w:tcMar>
            <w:vAlign w:val="center"/>
          </w:tcPr>
          <w:p>
            <w:pPr>
              <w:pStyle w:val="TableContents"/>
              <w:spacing w:before="0" w:after="283"/>
              <w:rPr/>
            </w:pPr>
            <w:r>
              <w:rPr/>
              <w:t>10.15#</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7">
              <w:r>
                <w:rPr>
                  <w:rStyle w:val="InternetLink"/>
                </w:rPr>
                <w:t>Confidential Separation Agreement and General Release.</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spacing w:before="0" w:after="283"/>
              <w:jc w:val="center"/>
              <w:rPr/>
            </w:pPr>
            <w:r>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10.1</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08/17/22</w:t>
            </w:r>
          </w:p>
        </w:tc>
      </w:tr>
      <w:tr>
        <w:trPr/>
        <w:tc>
          <w:tcPr>
            <w:tcW w:w="798" w:type="dxa"/>
            <w:tcBorders/>
            <w:shd w:fill="auto" w:val="clear"/>
            <w:tcMar>
              <w:bottom w:w="0" w:type="dxa"/>
            </w:tcMar>
            <w:vAlign w:val="center"/>
          </w:tcPr>
          <w:p>
            <w:pPr>
              <w:pStyle w:val="TableContents"/>
              <w:spacing w:before="0" w:after="283"/>
              <w:rPr/>
            </w:pPr>
            <w:r>
              <w:rPr/>
              <w:t>10.16</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8">
              <w:r>
                <w:rPr>
                  <w:rStyle w:val="InternetLink"/>
                </w:rPr>
                <w:t>Promissory Note dated October 28, 2022.</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spacing w:before="0" w:after="283"/>
              <w:jc w:val="center"/>
              <w:rPr/>
            </w:pPr>
            <w:r>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10.1</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11/02/22</w:t>
            </w:r>
          </w:p>
        </w:tc>
      </w:tr>
      <w:tr>
        <w:trPr/>
        <w:tc>
          <w:tcPr>
            <w:tcW w:w="798" w:type="dxa"/>
            <w:tcBorders/>
            <w:shd w:fill="auto" w:val="clear"/>
            <w:tcMar>
              <w:bottom w:w="0" w:type="dxa"/>
            </w:tcMar>
            <w:vAlign w:val="center"/>
          </w:tcPr>
          <w:p>
            <w:pPr>
              <w:pStyle w:val="TableContents"/>
              <w:spacing w:before="0" w:after="283"/>
              <w:rPr/>
            </w:pPr>
            <w:r>
              <w:rPr/>
              <w:t>10.17*</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hyperlink r:id="rId39">
              <w:r>
                <w:rPr>
                  <w:rStyle w:val="InternetLink"/>
                </w:rPr>
                <w:t>Confidential Settlement and License Agreement.</w:t>
              </w:r>
            </w:hyperlink>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spacing w:before="0" w:after="283"/>
              <w:jc w:val="center"/>
              <w:rPr/>
            </w:pPr>
            <w:r>
              <w:rPr/>
              <w:t>8-K</w:t>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jc w:val="center"/>
              <w:rPr/>
            </w:pPr>
            <w:r>
              <w:rPr/>
              <w:t>10.1</w:t>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jc w:val="center"/>
              <w:rPr/>
            </w:pPr>
            <w:r>
              <w:rPr/>
              <w:t>12/09/22</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14.1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r:id="rId40">
              <w:r>
                <w:rPr>
                  <w:rStyle w:val="InternetLink"/>
                  <w:rFonts w:ascii="Times New Roman" w:hAnsi="Times New Roman"/>
                  <w:color w:val="0000EE"/>
                  <w:sz w:val="20"/>
                  <w:u w:val="single"/>
                </w:rPr>
                <w:t>Code of Ethics, approved by the Board of Directors on August 23, 2006</w:t>
              </w:r>
            </w:hyperlink>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50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10-K</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1333"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14.1</w:t>
            </w:r>
          </w:p>
        </w:tc>
        <w:tc>
          <w:tcPr>
            <w:tcW w:w="90" w:type="dxa"/>
            <w:tcBorders/>
            <w:shd w:fill="auto" w:val="clear"/>
            <w:tcMar>
              <w:bottom w:w="0" w:type="dxa"/>
            </w:tcMar>
            <w:vAlign w:val="center"/>
          </w:tcPr>
          <w:p>
            <w:pPr>
              <w:pStyle w:val="TableContents"/>
              <w:spacing w:before="0" w:after="0"/>
              <w:ind w:left="0" w:right="0" w:hanging="0"/>
              <w:jc w:val="both"/>
              <w:rPr/>
            </w:pPr>
            <w:r>
              <w:rPr/>
              <w:t> </w:t>
            </w:r>
          </w:p>
        </w:tc>
        <w:tc>
          <w:tcPr>
            <w:tcW w:w="76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09/14/06</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21.1†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w:anchor="ex211_1.htm">
              <w:r>
                <w:rPr>
                  <w:rStyle w:val="InternetLink"/>
                  <w:rFonts w:ascii="Times New Roman" w:hAnsi="Times New Roman"/>
                  <w:color w:val="0000EE"/>
                  <w:sz w:val="20"/>
                  <w:u w:val="single"/>
                </w:rPr>
                <w:t>Subsidiaries of the registrant</w:t>
              </w:r>
            </w:hyperlink>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23.1†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w:anchor="ex231_2.htm">
              <w:r>
                <w:rPr>
                  <w:rStyle w:val="InternetLink"/>
                  <w:rFonts w:ascii="Times New Roman" w:hAnsi="Times New Roman"/>
                  <w:color w:val="0000EE"/>
                  <w:sz w:val="20"/>
                  <w:u w:val="single"/>
                </w:rPr>
                <w:t>Consent of Tanner LLC, Independent Registered Public Accounting Firm</w:t>
              </w:r>
            </w:hyperlink>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31.1†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w:anchor="ex311_3.htm">
              <w:r>
                <w:rPr>
                  <w:rStyle w:val="InternetLink"/>
                  <w:rFonts w:ascii="Times New Roman" w:hAnsi="Times New Roman"/>
                  <w:color w:val="0000EE"/>
                  <w:sz w:val="20"/>
                  <w:u w:val="single"/>
                </w:rPr>
                <w:t>Section 302 Certification of Chief Executive Officer</w:t>
              </w:r>
            </w:hyperlink>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31.2†</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w:anchor="ex312_4.htm">
              <w:r>
                <w:rPr>
                  <w:rStyle w:val="InternetLink"/>
                  <w:rFonts w:ascii="Times New Roman" w:hAnsi="Times New Roman"/>
                  <w:color w:val="0000EE"/>
                  <w:sz w:val="20"/>
                  <w:u w:val="single"/>
                </w:rPr>
                <w:t>Section 302 Certification of Chief Financial Officer</w:t>
              </w:r>
            </w:hyperlink>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32.1†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w:anchor="ex321_5.htm">
              <w:r>
                <w:rPr>
                  <w:rStyle w:val="InternetLink"/>
                  <w:rFonts w:ascii="Times New Roman" w:hAnsi="Times New Roman"/>
                  <w:color w:val="0000EE"/>
                  <w:sz w:val="20"/>
                  <w:u w:val="single"/>
                </w:rPr>
                <w:t>Section 906 Certification of Chief Executive Officer</w:t>
              </w:r>
            </w:hyperlink>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32.2†</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pPr>
            <w:hyperlink w:anchor="ex322_6.htm">
              <w:r>
                <w:rPr>
                  <w:rStyle w:val="InternetLink"/>
                  <w:rFonts w:ascii="Times New Roman" w:hAnsi="Times New Roman"/>
                  <w:color w:val="0000EE"/>
                  <w:sz w:val="20"/>
                  <w:u w:val="single"/>
                </w:rPr>
                <w:t>Section 906 Certification of Chief Financial Officer</w:t>
              </w:r>
            </w:hyperlink>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101.INS‡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Instance Document</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101.SCH‡</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Schema</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101.CAL‡</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Calculation Linkbase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101.DEF‡</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Definitions Linkbase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101.LAB‡</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Label Linkbase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rPr/>
            </w:pPr>
            <w:r>
              <w:rPr/>
              <w:t> </w:t>
            </w:r>
          </w:p>
        </w:tc>
      </w:tr>
      <w:tr>
        <w:trPr/>
        <w:tc>
          <w:tcPr>
            <w:tcW w:w="79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101.PRE‡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44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Taxonomy Extension Presentation Linkbase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02"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3"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67" w:type="dxa"/>
            <w:tcBorders/>
            <w:shd w:fill="auto" w:val="clear"/>
            <w:tcMar>
              <w:bottom w:w="0" w:type="dxa"/>
            </w:tcMar>
            <w:vAlign w:val="center"/>
          </w:tcPr>
          <w:p>
            <w:pPr>
              <w:pStyle w:val="TableContents"/>
              <w:spacing w:before="0" w:after="0"/>
              <w:ind w:left="0" w:right="0" w:hanging="0"/>
              <w:jc w:val="both"/>
              <w:rPr/>
            </w:pPr>
            <w:r>
              <w:rPr/>
              <w:t> </w:t>
            </w:r>
          </w:p>
        </w:tc>
      </w:tr>
      <w:tr>
        <w:trPr/>
        <w:tc>
          <w:tcPr>
            <w:tcW w:w="798" w:type="dxa"/>
            <w:tcBorders/>
            <w:shd w:fill="auto" w:val="clear"/>
            <w:tcMar>
              <w:bottom w:w="0" w:type="dxa"/>
            </w:tcMar>
            <w:vAlign w:val="center"/>
          </w:tcPr>
          <w:p>
            <w:pPr>
              <w:pStyle w:val="TableContents"/>
              <w:spacing w:before="0" w:after="283"/>
              <w:rPr/>
            </w:pPr>
            <w:r>
              <w:rPr/>
              <w:t>104</w:t>
            </w:r>
          </w:p>
        </w:tc>
        <w:tc>
          <w:tcPr>
            <w:tcW w:w="90" w:type="dxa"/>
            <w:tcBorders/>
            <w:shd w:fill="auto" w:val="clear"/>
            <w:tcMar>
              <w:bottom w:w="0" w:type="dxa"/>
            </w:tcMar>
            <w:vAlign w:val="center"/>
          </w:tcPr>
          <w:p>
            <w:pPr>
              <w:pStyle w:val="TableContents"/>
              <w:spacing w:before="0" w:after="283"/>
              <w:rPr/>
            </w:pPr>
            <w:r>
              <w:rPr/>
            </w:r>
          </w:p>
        </w:tc>
        <w:tc>
          <w:tcPr>
            <w:tcW w:w="6445" w:type="dxa"/>
            <w:tcBorders/>
            <w:shd w:fill="auto" w:val="clear"/>
            <w:tcMar>
              <w:bottom w:w="0" w:type="dxa"/>
            </w:tcMar>
            <w:vAlign w:val="center"/>
          </w:tcPr>
          <w:p>
            <w:pPr>
              <w:pStyle w:val="TableContents"/>
              <w:spacing w:before="0" w:after="283"/>
              <w:rPr/>
            </w:pPr>
            <w:r>
              <w:rPr/>
              <w:t>The cover page from this Annual Report on Form 10-K formatted in Inline XBRL</w:t>
            </w:r>
          </w:p>
        </w:tc>
        <w:tc>
          <w:tcPr>
            <w:tcW w:w="90" w:type="dxa"/>
            <w:tcBorders/>
            <w:shd w:fill="auto" w:val="clear"/>
            <w:tcMar>
              <w:bottom w:w="0" w:type="dxa"/>
            </w:tcMar>
            <w:vAlign w:val="center"/>
          </w:tcPr>
          <w:p>
            <w:pPr>
              <w:pStyle w:val="TableContents"/>
              <w:spacing w:before="0" w:after="283"/>
              <w:rPr/>
            </w:pPr>
            <w:r>
              <w:rPr/>
            </w:r>
          </w:p>
        </w:tc>
        <w:tc>
          <w:tcPr>
            <w:tcW w:w="502" w:type="dxa"/>
            <w:tcBorders/>
            <w:shd w:fill="auto" w:val="clear"/>
            <w:tcMar>
              <w:bottom w:w="0" w:type="dxa"/>
            </w:tcMar>
            <w:vAlign w:val="center"/>
          </w:tcPr>
          <w:p>
            <w:pPr>
              <w:pStyle w:val="TableContents"/>
              <w:spacing w:before="0" w:after="283"/>
              <w:rPr/>
            </w:pPr>
            <w:r>
              <w:rPr/>
            </w:r>
          </w:p>
        </w:tc>
        <w:tc>
          <w:tcPr>
            <w:tcW w:w="90" w:type="dxa"/>
            <w:tcBorders/>
            <w:shd w:fill="auto" w:val="clear"/>
            <w:tcMar>
              <w:bottom w:w="0" w:type="dxa"/>
            </w:tcMar>
            <w:vAlign w:val="center"/>
          </w:tcPr>
          <w:p>
            <w:pPr>
              <w:pStyle w:val="TableContents"/>
              <w:spacing w:before="0" w:after="283"/>
              <w:rPr/>
            </w:pPr>
            <w:r>
              <w:rPr/>
            </w:r>
          </w:p>
        </w:tc>
        <w:tc>
          <w:tcPr>
            <w:tcW w:w="1333" w:type="dxa"/>
            <w:tcBorders/>
            <w:shd w:fill="auto" w:val="clear"/>
            <w:tcMar>
              <w:bottom w:w="0" w:type="dxa"/>
            </w:tcMar>
            <w:vAlign w:val="center"/>
          </w:tcPr>
          <w:p>
            <w:pPr>
              <w:pStyle w:val="TableContents"/>
              <w:spacing w:before="0" w:after="283"/>
              <w:rPr/>
            </w:pPr>
            <w:r>
              <w:rPr/>
            </w:r>
          </w:p>
        </w:tc>
        <w:tc>
          <w:tcPr>
            <w:tcW w:w="90" w:type="dxa"/>
            <w:tcBorders/>
            <w:shd w:fill="auto" w:val="clear"/>
            <w:tcMar>
              <w:bottom w:w="0" w:type="dxa"/>
            </w:tcMar>
            <w:vAlign w:val="center"/>
          </w:tcPr>
          <w:p>
            <w:pPr>
              <w:pStyle w:val="TableContents"/>
              <w:spacing w:before="0" w:after="283"/>
              <w:rPr/>
            </w:pPr>
            <w:r>
              <w:rPr/>
            </w:r>
          </w:p>
        </w:tc>
        <w:tc>
          <w:tcPr>
            <w:tcW w:w="767" w:type="dxa"/>
            <w:tcBorders/>
            <w:shd w:fill="auto" w:val="clear"/>
            <w:tcMar>
              <w:bottom w:w="0" w:type="dxa"/>
            </w:tcMar>
            <w:vAlign w:val="center"/>
          </w:tcPr>
          <w:p>
            <w:pPr>
              <w:pStyle w:val="TableContents"/>
              <w:spacing w:before="0" w:after="283"/>
              <w:rPr/>
            </w:pPr>
            <w:r>
              <w:rPr/>
            </w:r>
          </w:p>
        </w:tc>
      </w:tr>
    </w:tbl>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 Certain confidential portions of this exhibit have been excluded from this exhibit in accordance with Rule 24b-2 because such information is (1) not material, and (2) the Company customarily and actually treats that information as private or confidential.</w:t>
      </w:r>
    </w:p>
    <w:p>
      <w:pPr>
        <w:pStyle w:val="TextBody"/>
        <w:spacing w:lineRule="auto" w:line="240" w:before="0" w:after="0"/>
        <w:ind w:left="0" w:right="0" w:hanging="0"/>
        <w:jc w:val="both"/>
        <w:rPr/>
      </w:pPr>
      <w:r>
        <w:rPr/>
        <w:t xml:space="preserve">† </w:t>
      </w:r>
      <w:r>
        <w:rPr>
          <w:rFonts w:ascii="Times New Roman" w:hAnsi="Times New Roman"/>
          <w:sz w:val="20"/>
        </w:rPr>
        <w:t>Filed herewith</w:t>
      </w:r>
    </w:p>
    <w:p>
      <w:pPr>
        <w:pStyle w:val="TextBody"/>
        <w:spacing w:lineRule="auto" w:line="240" w:before="0" w:after="0"/>
        <w:ind w:left="0" w:right="0" w:hanging="0"/>
        <w:jc w:val="both"/>
        <w:rPr/>
      </w:pPr>
      <w:r>
        <w:rPr/>
        <w:t xml:space="preserve">‡ </w:t>
      </w:r>
      <w:r>
        <w:rPr>
          <w:rFonts w:ascii="Times New Roman" w:hAnsi="Times New Roman"/>
          <w:sz w:val="20"/>
        </w:rPr>
        <w:t>Information furnished herewith shall not be deemed to be “filed” for the purposes of Section 18 of the 1934 Act</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#Management contract or compensatory plan or arrangement</w:t>
      </w:r>
    </w:p>
    <w:p>
      <w:pPr>
        <w:pStyle w:val="TextBody"/>
        <w:spacing w:lineRule="auto" w:line="288" w:before="0" w:after="0"/>
        <w:ind w:left="144" w:right="144" w:hanging="0"/>
        <w:jc w:val="both"/>
        <w:rPr>
          <w:rFonts w:ascii="Times New Roman" w:hAnsi="Times New Roman"/>
          <w:sz w:val="20"/>
        </w:rPr>
      </w:pPr>
      <w:r>
        <w:rPr>
          <w:rFonts w:ascii="Times New Roman" w:hAnsi="Times New Roman"/>
          <w:sz w:val="20"/>
        </w:rPr>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48</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spacing w:lineRule="auto" w:line="264" w:before="0" w:after="0"/>
        <w:ind w:left="0" w:right="0" w:hanging="0"/>
        <w:jc w:val="both"/>
        <w:rPr/>
      </w:pPr>
      <w:r>
        <w:rPr/>
        <w:t> </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CLEARONE, INC.</w:t>
      </w:r>
    </w:p>
    <w:p>
      <w:pPr>
        <w:pStyle w:val="TextBody"/>
        <w:spacing w:lineRule="auto" w:line="264" w:before="0" w:after="0"/>
        <w:ind w:left="0" w:right="0" w:hanging="0"/>
        <w:jc w:val="both"/>
        <w:rPr>
          <w:rFonts w:ascii="Times New Roman" w:hAnsi="Times New Roman"/>
          <w:sz w:val="20"/>
        </w:rPr>
      </w:pPr>
      <w:r>
        <w:rPr>
          <w:rFonts w:ascii="Times New Roman" w:hAnsi="Times New Roman"/>
          <w:sz w:val="20"/>
        </w:rPr>
        <w:t>Registrant</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9555"/>
        <w:gridCol w:w="650"/>
      </w:tblGrid>
      <w:tr>
        <w:trPr/>
        <w:tc>
          <w:tcPr>
            <w:tcW w:w="9555"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Derek L. Graham</w:t>
            </w:r>
          </w:p>
        </w:tc>
        <w:tc>
          <w:tcPr>
            <w:tcW w:w="650" w:type="dxa"/>
            <w:tcBorders/>
            <w:shd w:fill="auto" w:val="clear"/>
            <w:tcMar>
              <w:bottom w:w="0" w:type="dxa"/>
            </w:tcMar>
            <w:vAlign w:val="center"/>
          </w:tcPr>
          <w:p>
            <w:pPr>
              <w:pStyle w:val="TableContents"/>
              <w:spacing w:before="0" w:after="0"/>
              <w:ind w:left="0" w:right="0" w:hanging="0"/>
              <w:jc w:val="both"/>
              <w:rPr/>
            </w:pPr>
            <w:r>
              <w:rPr/>
              <w:t> </w:t>
            </w:r>
          </w:p>
        </w:tc>
      </w:tr>
      <w:tr>
        <w:trPr/>
        <w:tc>
          <w:tcPr>
            <w:tcW w:w="9555" w:type="dxa"/>
            <w:tcBorders/>
            <w:shd w:fill="auto" w:val="clear"/>
            <w:tcMar>
              <w:bottom w:w="0" w:type="dxa"/>
            </w:tcMar>
            <w:vAlign w:val="center"/>
          </w:tcPr>
          <w:p>
            <w:pPr>
              <w:pStyle w:val="TableContents"/>
              <w:spacing w:before="0" w:after="0"/>
              <w:ind w:left="0" w:right="0" w:hanging="0"/>
              <w:jc w:val="both"/>
              <w:rPr/>
            </w:pPr>
            <w:r>
              <w:rPr/>
              <w:t>Derek L. Graham</w:t>
            </w:r>
          </w:p>
        </w:tc>
        <w:tc>
          <w:tcPr>
            <w:tcW w:w="650" w:type="dxa"/>
            <w:tcBorders/>
            <w:shd w:fill="auto" w:val="clear"/>
            <w:tcMar>
              <w:bottom w:w="0" w:type="dxa"/>
            </w:tcMar>
            <w:vAlign w:val="center"/>
          </w:tcPr>
          <w:p>
            <w:pPr>
              <w:pStyle w:val="TableContents"/>
              <w:spacing w:before="0" w:after="0"/>
              <w:ind w:left="0" w:right="0" w:hanging="0"/>
              <w:jc w:val="both"/>
              <w:rPr/>
            </w:pPr>
            <w:r>
              <w:rPr/>
              <w:t> </w:t>
            </w:r>
          </w:p>
        </w:tc>
      </w:tr>
      <w:tr>
        <w:trPr/>
        <w:tc>
          <w:tcPr>
            <w:tcW w:w="955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w:t>
            </w:r>
          </w:p>
        </w:tc>
        <w:tc>
          <w:tcPr>
            <w:tcW w:w="650" w:type="dxa"/>
            <w:tcBorders/>
            <w:shd w:fill="auto" w:val="clear"/>
            <w:tcMar>
              <w:bottom w:w="0" w:type="dxa"/>
            </w:tcMar>
            <w:vAlign w:val="center"/>
          </w:tcPr>
          <w:p>
            <w:pPr>
              <w:pStyle w:val="TableContents"/>
              <w:spacing w:before="0" w:after="0"/>
              <w:ind w:left="0" w:right="0" w:hanging="0"/>
              <w:jc w:val="both"/>
              <w:rPr/>
            </w:pPr>
            <w:r>
              <w:rPr/>
              <w:t> </w:t>
            </w:r>
          </w:p>
        </w:tc>
      </w:tr>
      <w:tr>
        <w:trPr/>
        <w:tc>
          <w:tcPr>
            <w:tcW w:w="9555" w:type="dxa"/>
            <w:tcBorders/>
            <w:shd w:fill="auto" w:val="clear"/>
            <w:tcMar>
              <w:bottom w:w="0" w:type="dxa"/>
            </w:tcMar>
            <w:vAlign w:val="center"/>
          </w:tcPr>
          <w:p>
            <w:pPr>
              <w:pStyle w:val="TableContents"/>
              <w:spacing w:before="0" w:after="0"/>
              <w:ind w:left="0" w:right="0" w:hanging="0"/>
              <w:jc w:val="both"/>
              <w:rPr/>
            </w:pPr>
            <w:r>
              <w:rPr/>
              <w:t>March 31, 2023</w:t>
            </w:r>
          </w:p>
        </w:tc>
        <w:tc>
          <w:tcPr>
            <w:tcW w:w="650" w:type="dxa"/>
            <w:tcBorders/>
            <w:shd w:fill="auto" w:val="clear"/>
            <w:tcMar>
              <w:bottom w:w="0" w:type="dxa"/>
            </w:tcMar>
            <w:vAlign w:val="center"/>
          </w:tcPr>
          <w:p>
            <w:pPr>
              <w:pStyle w:val="TableContents"/>
              <w:spacing w:before="0" w:after="0"/>
              <w:ind w:left="0" w:right="0" w:hanging="0"/>
              <w:jc w:val="both"/>
              <w:rPr/>
            </w:pPr>
            <w:r>
              <w:rPr/>
              <w:t> </w:t>
            </w:r>
          </w:p>
        </w:tc>
      </w:tr>
    </w:tbl>
    <w:p>
      <w:pPr>
        <w:pStyle w:val="TextBody"/>
        <w:spacing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4138"/>
        <w:gridCol w:w="120"/>
        <w:gridCol w:w="5947"/>
      </w:tblGrid>
      <w:tr>
        <w:trPr/>
        <w:tc>
          <w:tcPr>
            <w:tcW w:w="4138" w:type="dxa"/>
            <w:tcBorders>
              <w:bottom w:val="single" w:sz="6" w:space="0" w:color="000000"/>
            </w:tcBorders>
            <w:shd w:fill="auto" w:val="clear"/>
            <w:vAlign w:val="center"/>
          </w:tcPr>
          <w:p>
            <w:pPr>
              <w:pStyle w:val="TableContents"/>
              <w:spacing w:before="0" w:after="0"/>
              <w:ind w:left="0" w:right="0" w:hanging="0"/>
              <w:jc w:val="both"/>
              <w:rPr/>
            </w:pPr>
            <w:r>
              <w:rPr>
                <w:rFonts w:ascii="Times New Roman" w:hAnsi="Times New Roman"/>
                <w:i/>
                <w:sz w:val="20"/>
              </w:rPr>
              <w:t>/s/ Derek L. Graham</w:t>
            </w:r>
            <w:r>
              <w:rPr/>
              <w:t> </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Narsi Narayanan</w:t>
            </w:r>
          </w:p>
        </w:tc>
      </w:tr>
      <w:tr>
        <w:trPr/>
        <w:tc>
          <w:tcPr>
            <w:tcW w:w="4138" w:type="dxa"/>
            <w:tcBorders/>
            <w:shd w:fill="auto" w:val="clear"/>
            <w:tcMar>
              <w:bottom w:w="0" w:type="dxa"/>
            </w:tcMar>
            <w:vAlign w:val="center"/>
          </w:tcPr>
          <w:p>
            <w:pPr>
              <w:pStyle w:val="TableContents"/>
              <w:spacing w:before="0" w:after="0"/>
              <w:ind w:left="0" w:right="0" w:hanging="0"/>
              <w:jc w:val="both"/>
              <w:rPr/>
            </w:pPr>
            <w:r>
              <w:rPr/>
              <w:t>Derek L. Graham</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Narsi Narayanan</w:t>
            </w:r>
          </w:p>
        </w:tc>
      </w:tr>
      <w:tr>
        <w:trPr/>
        <w:tc>
          <w:tcPr>
            <w:tcW w:w="41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President and Chief Executive Officer</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Financial Officer</w:t>
            </w:r>
          </w:p>
        </w:tc>
      </w:tr>
      <w:tr>
        <w:trPr/>
        <w:tc>
          <w:tcPr>
            <w:tcW w:w="41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(Principal Executive Officer)</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(Principal Accounting and Principal Financial Officer)</w:t>
            </w:r>
          </w:p>
        </w:tc>
      </w:tr>
      <w:tr>
        <w:trPr/>
        <w:tc>
          <w:tcPr>
            <w:tcW w:w="4138" w:type="dxa"/>
            <w:tcBorders/>
            <w:shd w:fill="auto" w:val="clear"/>
            <w:tcMar>
              <w:bottom w:w="0" w:type="dxa"/>
            </w:tcMar>
            <w:vAlign w:val="center"/>
          </w:tcPr>
          <w:p>
            <w:pPr>
              <w:pStyle w:val="TableContents"/>
              <w:spacing w:before="0" w:after="0"/>
              <w:ind w:left="0" w:right="0" w:hanging="0"/>
              <w:jc w:val="both"/>
              <w:rPr/>
            </w:pPr>
            <w:r>
              <w:rPr/>
              <w:t>March 31, 2023</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pPr>
            <w:r>
              <w:rPr/>
              <w:t>March 31, 2023</w:t>
            </w:r>
          </w:p>
        </w:tc>
      </w:tr>
      <w:tr>
        <w:trPr/>
        <w:tc>
          <w:tcPr>
            <w:tcW w:w="4138" w:type="dxa"/>
            <w:tcBorders/>
            <w:shd w:fill="auto" w:val="clear"/>
            <w:tcMar>
              <w:bottom w:w="0" w:type="dxa"/>
            </w:tcMar>
            <w:vAlign w:val="center"/>
          </w:tcPr>
          <w:p>
            <w:pPr>
              <w:pStyle w:val="TableContents"/>
              <w:spacing w:before="0" w:after="0"/>
              <w:ind w:left="0" w:right="0" w:hanging="0"/>
              <w:rPr/>
            </w:pPr>
            <w:r>
              <w:rPr/>
              <w:t> </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rPr/>
            </w:pPr>
            <w:r>
              <w:rPr/>
              <w:t> </w:t>
            </w:r>
          </w:p>
        </w:tc>
      </w:tr>
      <w:tr>
        <w:trPr/>
        <w:tc>
          <w:tcPr>
            <w:tcW w:w="4138"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Eric L. Robinson</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Larry R. Hendricks</w:t>
            </w:r>
          </w:p>
        </w:tc>
      </w:tr>
      <w:tr>
        <w:trPr/>
        <w:tc>
          <w:tcPr>
            <w:tcW w:w="41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Eric L. Robinson</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Larry R. Hendricks</w:t>
            </w:r>
          </w:p>
        </w:tc>
      </w:tr>
      <w:tr>
        <w:trPr/>
        <w:tc>
          <w:tcPr>
            <w:tcW w:w="41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 and Chairman of the Board</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r>
        <w:trPr/>
        <w:tc>
          <w:tcPr>
            <w:tcW w:w="4138" w:type="dxa"/>
            <w:tcBorders/>
            <w:shd w:fill="auto" w:val="clear"/>
            <w:tcMar>
              <w:bottom w:w="0" w:type="dxa"/>
            </w:tcMar>
            <w:vAlign w:val="center"/>
          </w:tcPr>
          <w:p>
            <w:pPr>
              <w:pStyle w:val="TableContents"/>
              <w:spacing w:before="0" w:after="0"/>
              <w:ind w:left="0" w:right="0" w:hanging="0"/>
              <w:jc w:val="both"/>
              <w:rPr/>
            </w:pPr>
            <w:r>
              <w:rPr/>
              <w:t>March 31, 2023</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pPr>
            <w:r>
              <w:rPr/>
              <w:t>March 31, 2023</w:t>
            </w:r>
          </w:p>
        </w:tc>
      </w:tr>
      <w:tr>
        <w:trPr/>
        <w:tc>
          <w:tcPr>
            <w:tcW w:w="4138" w:type="dxa"/>
            <w:tcBorders/>
            <w:shd w:fill="auto" w:val="clear"/>
            <w:tcMar>
              <w:bottom w:w="0" w:type="dxa"/>
            </w:tcMar>
            <w:vAlign w:val="center"/>
          </w:tcPr>
          <w:p>
            <w:pPr>
              <w:pStyle w:val="TableContents"/>
              <w:spacing w:before="0" w:after="0"/>
              <w:ind w:left="0" w:right="0" w:hanging="0"/>
              <w:jc w:val="both"/>
              <w:rPr/>
            </w:pPr>
            <w:r>
              <w:rPr/>
              <w:t> </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pPr>
            <w:r>
              <w:rPr/>
              <w:t> </w:t>
            </w:r>
          </w:p>
        </w:tc>
      </w:tr>
      <w:tr>
        <w:trPr/>
        <w:tc>
          <w:tcPr>
            <w:tcW w:w="4138" w:type="dxa"/>
            <w:tcBorders>
              <w:bottom w:val="single" w:sz="6" w:space="0" w:color="000000"/>
            </w:tcBorders>
            <w:shd w:fill="auto" w:val="clear"/>
            <w:vAlign w:val="center"/>
          </w:tcPr>
          <w:p>
            <w:pPr>
              <w:pStyle w:val="TableContents"/>
              <w:spacing w:before="0" w:after="0"/>
              <w:ind w:left="0" w:right="0" w:hanging="0"/>
              <w:jc w:val="both"/>
              <w:rPr>
                <w:rFonts w:ascii="Times New Roman" w:hAnsi="Times New Roman"/>
                <w:i/>
                <w:sz w:val="20"/>
              </w:rPr>
            </w:pPr>
            <w:r>
              <w:rPr>
                <w:rFonts w:ascii="Times New Roman" w:hAnsi="Times New Roman"/>
                <w:i/>
                <w:sz w:val="20"/>
              </w:rPr>
              <w:t>/s/ Bruce Whaley</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i/>
                <w:sz w:val="20"/>
              </w:rPr>
            </w:pPr>
            <w:r>
              <w:rPr>
                <w:i/>
                <w:sz w:val="20"/>
              </w:rPr>
              <w:t>/s/Lisa B. Higley</w:t>
            </w:r>
          </w:p>
        </w:tc>
      </w:tr>
      <w:tr>
        <w:trPr/>
        <w:tc>
          <w:tcPr>
            <w:tcW w:w="41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Bruce Whaley</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pPr>
            <w:r>
              <w:rPr/>
              <w:t> </w:t>
            </w:r>
            <w:r>
              <w:rPr>
                <w:rFonts w:ascii="Times New Roman" w:hAnsi="Times New Roman"/>
                <w:sz w:val="20"/>
              </w:rPr>
              <w:t>Lisa B. Higley</w:t>
            </w:r>
          </w:p>
        </w:tc>
      </w:tr>
      <w:tr>
        <w:trPr/>
        <w:tc>
          <w:tcPr>
            <w:tcW w:w="4138"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r>
        <w:trPr/>
        <w:tc>
          <w:tcPr>
            <w:tcW w:w="4138" w:type="dxa"/>
            <w:tcBorders/>
            <w:shd w:fill="auto" w:val="clear"/>
            <w:tcMar>
              <w:bottom w:w="0" w:type="dxa"/>
            </w:tcMar>
            <w:vAlign w:val="center"/>
          </w:tcPr>
          <w:p>
            <w:pPr>
              <w:pStyle w:val="TableContents"/>
              <w:spacing w:before="0" w:after="0"/>
              <w:ind w:left="0" w:right="0" w:hanging="0"/>
              <w:jc w:val="both"/>
              <w:rPr/>
            </w:pPr>
            <w:r>
              <w:rPr/>
              <w:t>March 31, 2023</w:t>
            </w:r>
          </w:p>
        </w:tc>
        <w:tc>
          <w:tcPr>
            <w:tcW w:w="120" w:type="dxa"/>
            <w:tcBorders/>
            <w:shd w:fill="auto" w:val="clear"/>
            <w:tcMar>
              <w:bottom w:w="0" w:type="dxa"/>
            </w:tcMar>
            <w:vAlign w:val="center"/>
          </w:tcPr>
          <w:p>
            <w:pPr>
              <w:pStyle w:val="TableContents"/>
              <w:spacing w:before="0" w:after="0"/>
              <w:ind w:left="0" w:right="0" w:hanging="0"/>
              <w:rPr/>
            </w:pPr>
            <w:r>
              <w:rPr/>
              <w:t> </w:t>
            </w:r>
          </w:p>
        </w:tc>
        <w:tc>
          <w:tcPr>
            <w:tcW w:w="5947"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March 31, 2023</w:t>
            </w:r>
          </w:p>
        </w:tc>
      </w:tr>
    </w:tbl>
    <w:p>
      <w:pPr>
        <w:pStyle w:val="TextBody"/>
        <w:spacing w:before="0" w:after="0"/>
        <w:ind w:left="0" w:right="0" w:hanging="0"/>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sz w:val="20"/>
              </w:rPr>
            </w:pPr>
            <w:r>
              <w:rPr>
                <w:sz w:val="20"/>
              </w:rPr>
              <w:t>49</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spacing w:lineRule="auto" w:line="240" w:before="0" w:after="0"/>
        <w:ind w:left="0" w:right="0" w:hanging="0"/>
        <w:jc w:val="center"/>
        <w:rPr/>
      </w:pPr>
      <w:r>
        <w:rPr/>
        <w:t> </w:t>
      </w:r>
    </w:p>
    <w:p>
      <w:pPr>
        <w:pStyle w:val="TextBody"/>
        <w:spacing w:lineRule="auto" w:line="240" w:before="0" w:after="0"/>
        <w:ind w:left="0" w:right="0" w:hanging="0"/>
        <w:jc w:val="center"/>
        <w:rPr>
          <w:rFonts w:ascii="times new roman;times" w:hAnsi="times new roman;times"/>
          <w:b/>
          <w:sz w:val="20"/>
        </w:rPr>
      </w:pPr>
      <w:r>
        <w:rPr>
          <w:rFonts w:ascii="times new roman;times" w:hAnsi="times new roman;times"/>
          <w:b/>
          <w:sz w:val="20"/>
        </w:rPr>
        <w:t>INDEX TO CONSOLIDATED FINANCIAL STATEMENTS</w:t>
      </w:r>
    </w:p>
    <w:p>
      <w:pPr>
        <w:pStyle w:val="TextBody"/>
        <w:spacing w:before="0" w:after="0"/>
        <w:rPr/>
      </w:pPr>
      <w:r>
        <w:rPr/>
        <w:t>​</w:t>
      </w:r>
      <w:bookmarkStart w:id="85" w:name="TOC1"/>
      <w:bookmarkEnd w:id="85"/>
    </w:p>
    <w:tbl>
      <w:tblPr>
        <w:tblW w:w="10205" w:type="dxa"/>
        <w:jc w:val="left"/>
        <w:tblInd w:w="0" w:type="dxa"/>
        <w:tblCellMar>
          <w:top w:w="0" w:type="dxa"/>
          <w:left w:w="0" w:type="dxa"/>
          <w:bottom w:w="0" w:type="dxa"/>
          <w:right w:w="0" w:type="dxa"/>
        </w:tblCellMar>
      </w:tblPr>
      <w:tblGrid>
        <w:gridCol w:w="9705"/>
        <w:gridCol w:w="500"/>
      </w:tblGrid>
      <w:tr>
        <w:trPr/>
        <w:tc>
          <w:tcPr>
            <w:tcW w:w="9705" w:type="dxa"/>
            <w:tcBorders/>
            <w:shd w:fill="auto" w:val="clear"/>
            <w:vAlign w:val="center"/>
          </w:tcPr>
          <w:p>
            <w:pPr>
              <w:pStyle w:val="TableContents"/>
              <w:spacing w:before="0" w:after="283"/>
              <w:ind w:left="0" w:right="0" w:hanging="0"/>
              <w:rPr>
                <w:sz w:val="4"/>
                <w:szCs w:val="4"/>
              </w:rPr>
            </w:pPr>
            <w:r>
              <w:rPr>
                <w:sz w:val="4"/>
                <w:szCs w:val="4"/>
              </w:rPr>
            </w:r>
          </w:p>
        </w:tc>
        <w:tc>
          <w:tcPr>
            <w:tcW w:w="500" w:type="dxa"/>
            <w:tcBorders>
              <w:bottom w:val="single" w:sz="8" w:space="0" w:color="000000"/>
            </w:tcBorders>
            <w:shd w:fill="auto" w:val="clear"/>
            <w:tcMar>
              <w:bottom w:w="28" w:type="dxa"/>
            </w:tcMar>
            <w:vAlign w:val="center"/>
          </w:tcPr>
          <w:p>
            <w:pPr>
              <w:pStyle w:val="Heading4"/>
              <w:spacing w:before="0" w:after="0"/>
              <w:ind w:left="0" w:right="0" w:hanging="0"/>
              <w:jc w:val="center"/>
              <w:rPr>
                <w:rFonts w:ascii="times new roman;times" w:hAnsi="times new roman;times"/>
                <w:sz w:val="20"/>
              </w:rPr>
            </w:pPr>
            <w:r>
              <w:rPr>
                <w:rFonts w:ascii="times new roman;times" w:hAnsi="times new roman;times"/>
                <w:sz w:val="20"/>
              </w:rPr>
              <w:t>Page</w:t>
            </w:r>
            <w:bookmarkStart w:id="86" w:name="BM_BAA_EVAY4UZ9XC00000000000000000000"/>
            <w:bookmarkEnd w:id="86"/>
          </w:p>
        </w:tc>
      </w:tr>
      <w:tr>
        <w:trPr/>
        <w:tc>
          <w:tcPr>
            <w:tcW w:w="9705" w:type="dxa"/>
            <w:tcBorders/>
            <w:shd w:fill="auto" w:val="clear"/>
            <w:vAlign w:val="center"/>
          </w:tcPr>
          <w:p>
            <w:pPr>
              <w:pStyle w:val="TableContents"/>
              <w:spacing w:before="0" w:after="283"/>
              <w:rPr/>
            </w:pPr>
            <w:hyperlink w:anchor="BAA_EVAY4UZ9XC00000000000000000000">
              <w:r>
                <w:rPr>
                  <w:rStyle w:val="InternetLink"/>
                  <w:rFonts w:ascii="times new roman;times" w:hAnsi="times new roman;times"/>
                  <w:sz w:val="20"/>
                </w:rPr>
                <w:t>Report of Independent Registered Public Accounting Firm (Auditor ID: 270).</w:t>
              </w:r>
            </w:hyperlink>
            <w:bookmarkStart w:id="87" w:name="BMP_BAA_EVAY4UZ9XC00000000000000000000"/>
            <w:bookmarkEnd w:id="87"/>
          </w:p>
        </w:tc>
        <w:tc>
          <w:tcPr>
            <w:tcW w:w="50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F-1</w:t>
            </w:r>
          </w:p>
        </w:tc>
      </w:tr>
      <w:tr>
        <w:trPr/>
        <w:tc>
          <w:tcPr>
            <w:tcW w:w="9705" w:type="dxa"/>
            <w:tcBorders/>
            <w:shd w:fill="auto" w:val="clear"/>
            <w:vAlign w:val="center"/>
          </w:tcPr>
          <w:p>
            <w:pPr>
              <w:pStyle w:val="TableContents"/>
              <w:spacing w:before="0" w:after="283"/>
              <w:rPr/>
            </w:pPr>
            <w:r>
              <w:rPr/>
            </w:r>
          </w:p>
        </w:tc>
        <w:tc>
          <w:tcPr>
            <w:tcW w:w="500" w:type="dxa"/>
            <w:tcBorders/>
            <w:shd w:fill="auto" w:val="clear"/>
            <w:vAlign w:val="center"/>
          </w:tcPr>
          <w:p>
            <w:pPr>
              <w:pStyle w:val="TableContents"/>
              <w:spacing w:before="0" w:after="283"/>
              <w:rPr/>
            </w:pPr>
            <w:r>
              <w:rPr/>
            </w:r>
            <w:bookmarkStart w:id="88" w:name="BM_BBS_LV6K39C84G00000000000000000000"/>
            <w:bookmarkStart w:id="89" w:name="BM_BBS_LV6K39C84G00000000000000000000"/>
            <w:bookmarkEnd w:id="89"/>
          </w:p>
        </w:tc>
      </w:tr>
      <w:tr>
        <w:trPr/>
        <w:tc>
          <w:tcPr>
            <w:tcW w:w="9705" w:type="dxa"/>
            <w:tcBorders/>
            <w:shd w:fill="auto" w:val="clear"/>
            <w:vAlign w:val="center"/>
          </w:tcPr>
          <w:p>
            <w:pPr>
              <w:pStyle w:val="TableContents"/>
              <w:spacing w:before="0" w:after="283"/>
              <w:rPr/>
            </w:pPr>
            <w:hyperlink w:anchor="BBS_LV6K39C84G00000000000000000000">
              <w:r>
                <w:rPr>
                  <w:rStyle w:val="InternetLink"/>
                  <w:rFonts w:ascii="times new roman;times" w:hAnsi="times new roman;times"/>
                  <w:sz w:val="20"/>
                </w:rPr>
                <w:t>Consolidated Balance Sheets as of December 31, 2022 and December 31, 2021</w:t>
              </w:r>
            </w:hyperlink>
            <w:bookmarkStart w:id="90" w:name="BMP_BBS_LV6K39C84G00000000000000000000"/>
            <w:bookmarkEnd w:id="90"/>
          </w:p>
        </w:tc>
        <w:tc>
          <w:tcPr>
            <w:tcW w:w="50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F-3</w:t>
            </w:r>
          </w:p>
        </w:tc>
      </w:tr>
      <w:tr>
        <w:trPr/>
        <w:tc>
          <w:tcPr>
            <w:tcW w:w="9705" w:type="dxa"/>
            <w:tcBorders/>
            <w:shd w:fill="auto" w:val="clear"/>
            <w:vAlign w:val="center"/>
          </w:tcPr>
          <w:p>
            <w:pPr>
              <w:pStyle w:val="TableContents"/>
              <w:spacing w:before="0" w:after="283"/>
              <w:rPr/>
            </w:pPr>
            <w:r>
              <w:rPr/>
            </w:r>
          </w:p>
        </w:tc>
        <w:tc>
          <w:tcPr>
            <w:tcW w:w="500" w:type="dxa"/>
            <w:tcBorders/>
            <w:shd w:fill="auto" w:val="clear"/>
            <w:vAlign w:val="center"/>
          </w:tcPr>
          <w:p>
            <w:pPr>
              <w:pStyle w:val="TableContents"/>
              <w:spacing w:before="0" w:after="283"/>
              <w:rPr/>
            </w:pPr>
            <w:r>
              <w:rPr/>
            </w:r>
            <w:bookmarkStart w:id="91" w:name="BM_BCOMP_AYDW9YHYTS00000000000000000000"/>
            <w:bookmarkStart w:id="92" w:name="BM_BCOMP_AYDW9YHYTS00000000000000000000"/>
            <w:bookmarkEnd w:id="92"/>
          </w:p>
        </w:tc>
      </w:tr>
      <w:tr>
        <w:trPr/>
        <w:tc>
          <w:tcPr>
            <w:tcW w:w="9705" w:type="dxa"/>
            <w:tcBorders/>
            <w:shd w:fill="auto" w:val="clear"/>
            <w:vAlign w:val="center"/>
          </w:tcPr>
          <w:p>
            <w:pPr>
              <w:pStyle w:val="TableContents"/>
              <w:spacing w:before="0" w:after="283"/>
              <w:rPr/>
            </w:pPr>
            <w:hyperlink w:anchor="BCOMP_AYDW9YHYTS00000000000000000000">
              <w:r>
                <w:rPr>
                  <w:rStyle w:val="InternetLink"/>
                  <w:rFonts w:ascii="times new roman;times" w:hAnsi="times new roman;times"/>
                  <w:sz w:val="20"/>
                </w:rPr>
                <w:t>Consolidated Statements of Operations and Comprehensive Income (Loss) for the years ended December 31, 2022 and 2021</w:t>
              </w:r>
            </w:hyperlink>
            <w:bookmarkStart w:id="93" w:name="BMP_BCOMP_AYDW9YHYTS00000000000000000000"/>
            <w:bookmarkEnd w:id="93"/>
          </w:p>
        </w:tc>
        <w:tc>
          <w:tcPr>
            <w:tcW w:w="50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F-4</w:t>
            </w:r>
          </w:p>
        </w:tc>
      </w:tr>
      <w:tr>
        <w:trPr/>
        <w:tc>
          <w:tcPr>
            <w:tcW w:w="9705" w:type="dxa"/>
            <w:tcBorders/>
            <w:shd w:fill="auto" w:val="clear"/>
            <w:vAlign w:val="center"/>
          </w:tcPr>
          <w:p>
            <w:pPr>
              <w:pStyle w:val="TableContents"/>
              <w:spacing w:before="0" w:after="283"/>
              <w:rPr/>
            </w:pPr>
            <w:r>
              <w:rPr/>
            </w:r>
          </w:p>
        </w:tc>
        <w:tc>
          <w:tcPr>
            <w:tcW w:w="500" w:type="dxa"/>
            <w:tcBorders/>
            <w:shd w:fill="auto" w:val="clear"/>
            <w:vAlign w:val="center"/>
          </w:tcPr>
          <w:p>
            <w:pPr>
              <w:pStyle w:val="TableContents"/>
              <w:spacing w:before="0" w:after="283"/>
              <w:rPr/>
            </w:pPr>
            <w:r>
              <w:rPr/>
            </w:r>
            <w:bookmarkStart w:id="94" w:name="BM_BEQUITY_VYFYECGK8G0000000000000000000"/>
            <w:bookmarkStart w:id="95" w:name="BM_BEQUITY_VYFYECGK8G0000000000000000000"/>
            <w:bookmarkEnd w:id="95"/>
          </w:p>
        </w:tc>
      </w:tr>
      <w:tr>
        <w:trPr/>
        <w:tc>
          <w:tcPr>
            <w:tcW w:w="9705" w:type="dxa"/>
            <w:tcBorders/>
            <w:shd w:fill="auto" w:val="clear"/>
            <w:vAlign w:val="center"/>
          </w:tcPr>
          <w:p>
            <w:pPr>
              <w:pStyle w:val="TableContents"/>
              <w:spacing w:before="0" w:after="283"/>
              <w:rPr/>
            </w:pPr>
            <w:hyperlink w:anchor="BEQUITY_VYFYECGK8G00000000000000000000">
              <w:r>
                <w:rPr>
                  <w:rStyle w:val="InternetLink"/>
                  <w:rFonts w:ascii="times new roman;times" w:hAnsi="times new roman;times"/>
                  <w:sz w:val="20"/>
                </w:rPr>
                <w:t>Consolidated Statements of Shareholders’ Equity for the years ended December 31, 2022 and 2021</w:t>
              </w:r>
            </w:hyperlink>
            <w:bookmarkStart w:id="96" w:name="BMP_BEQUITY_VYFYECGK8G000000000000000000"/>
            <w:bookmarkEnd w:id="96"/>
          </w:p>
        </w:tc>
        <w:tc>
          <w:tcPr>
            <w:tcW w:w="50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F-5</w:t>
            </w:r>
          </w:p>
        </w:tc>
      </w:tr>
      <w:tr>
        <w:trPr/>
        <w:tc>
          <w:tcPr>
            <w:tcW w:w="9705" w:type="dxa"/>
            <w:tcBorders/>
            <w:shd w:fill="auto" w:val="clear"/>
            <w:vAlign w:val="center"/>
          </w:tcPr>
          <w:p>
            <w:pPr>
              <w:pStyle w:val="TableContents"/>
              <w:spacing w:before="0" w:after="283"/>
              <w:rPr/>
            </w:pPr>
            <w:r>
              <w:rPr/>
            </w:r>
          </w:p>
        </w:tc>
        <w:tc>
          <w:tcPr>
            <w:tcW w:w="500" w:type="dxa"/>
            <w:tcBorders/>
            <w:shd w:fill="auto" w:val="clear"/>
            <w:vAlign w:val="center"/>
          </w:tcPr>
          <w:p>
            <w:pPr>
              <w:pStyle w:val="TableContents"/>
              <w:spacing w:before="0" w:after="283"/>
              <w:rPr/>
            </w:pPr>
            <w:r>
              <w:rPr/>
            </w:r>
            <w:bookmarkStart w:id="97" w:name="BM_BCF_GMWSK9YHGG00000000000000000000"/>
            <w:bookmarkStart w:id="98" w:name="BM_BCF_GMWSK9YHGG00000000000000000000"/>
            <w:bookmarkEnd w:id="98"/>
          </w:p>
        </w:tc>
      </w:tr>
      <w:tr>
        <w:trPr/>
        <w:tc>
          <w:tcPr>
            <w:tcW w:w="9705" w:type="dxa"/>
            <w:tcBorders/>
            <w:shd w:fill="auto" w:val="clear"/>
            <w:vAlign w:val="center"/>
          </w:tcPr>
          <w:p>
            <w:pPr>
              <w:pStyle w:val="TableContents"/>
              <w:spacing w:before="0" w:after="283"/>
              <w:rPr/>
            </w:pPr>
            <w:hyperlink w:anchor="BCF_GMWSK9YHGG00000000000000000000">
              <w:r>
                <w:rPr>
                  <w:rStyle w:val="InternetLink"/>
                  <w:rFonts w:ascii="times new roman;times" w:hAnsi="times new roman;times"/>
                  <w:sz w:val="20"/>
                </w:rPr>
                <w:t>Consolidated Statements of Cash Flows for the years ended December 31, 2022 and 2021</w:t>
              </w:r>
            </w:hyperlink>
            <w:bookmarkStart w:id="99" w:name="BMP_BCF_GMWSK9YHGG00000000000000000000"/>
            <w:bookmarkEnd w:id="99"/>
          </w:p>
        </w:tc>
        <w:tc>
          <w:tcPr>
            <w:tcW w:w="50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F-6</w:t>
            </w:r>
          </w:p>
        </w:tc>
      </w:tr>
      <w:tr>
        <w:trPr/>
        <w:tc>
          <w:tcPr>
            <w:tcW w:w="9705" w:type="dxa"/>
            <w:tcBorders/>
            <w:shd w:fill="auto" w:val="clear"/>
            <w:vAlign w:val="center"/>
          </w:tcPr>
          <w:p>
            <w:pPr>
              <w:pStyle w:val="TableContents"/>
              <w:spacing w:before="0" w:after="283"/>
              <w:rPr/>
            </w:pPr>
            <w:r>
              <w:rPr/>
            </w:r>
          </w:p>
        </w:tc>
        <w:tc>
          <w:tcPr>
            <w:tcW w:w="500" w:type="dxa"/>
            <w:tcBorders/>
            <w:shd w:fill="auto" w:val="clear"/>
            <w:vAlign w:val="center"/>
          </w:tcPr>
          <w:p>
            <w:pPr>
              <w:pStyle w:val="TableContents"/>
              <w:spacing w:before="0" w:after="283"/>
              <w:rPr/>
            </w:pPr>
            <w:r>
              <w:rPr/>
            </w:r>
            <w:bookmarkStart w:id="100" w:name="BM_BNOTES_LWOO6XQXPC00000000000000000000"/>
            <w:bookmarkStart w:id="101" w:name="BM_BNOTES_LWOO6XQXPC00000000000000000000"/>
            <w:bookmarkEnd w:id="101"/>
          </w:p>
        </w:tc>
      </w:tr>
      <w:tr>
        <w:trPr/>
        <w:tc>
          <w:tcPr>
            <w:tcW w:w="9705" w:type="dxa"/>
            <w:tcBorders/>
            <w:shd w:fill="auto" w:val="clear"/>
            <w:vAlign w:val="center"/>
          </w:tcPr>
          <w:p>
            <w:pPr>
              <w:pStyle w:val="TableContents"/>
              <w:spacing w:before="0" w:after="283"/>
              <w:rPr/>
            </w:pPr>
            <w:hyperlink w:anchor="BNOTES_LWOO6XQXPC00000000000000000000">
              <w:r>
                <w:rPr>
                  <w:rStyle w:val="InternetLink"/>
                  <w:rFonts w:ascii="times new roman;times" w:hAnsi="times new roman;times"/>
                  <w:sz w:val="20"/>
                </w:rPr>
                <w:t>Notes to Consolidated Financial Statements</w:t>
              </w:r>
            </w:hyperlink>
            <w:bookmarkStart w:id="102" w:name="BMP_BNOTES_LWOO6XQXPC0000000000000000000"/>
            <w:bookmarkEnd w:id="102"/>
          </w:p>
        </w:tc>
        <w:tc>
          <w:tcPr>
            <w:tcW w:w="500"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F-8</w:t>
            </w:r>
          </w:p>
        </w:tc>
      </w:tr>
    </w:tbl>
    <w:p>
      <w:pPr>
        <w:pStyle w:val="TextBody"/>
        <w:spacing w:lineRule="auto" w:line="240" w:before="0" w:after="0"/>
        <w:ind w:left="0" w:right="0" w:hanging="0"/>
        <w:jc w:val="center"/>
        <w:rPr/>
      </w:pPr>
      <w:r>
        <w:rPr/>
        <w:t> </w:t>
      </w:r>
    </w:p>
    <w:tbl>
      <w:tblPr>
        <w:tblW w:w="376" w:type="dxa"/>
        <w:jc w:val="left"/>
        <w:tblInd w:w="0" w:type="dxa"/>
        <w:tblCellMar>
          <w:top w:w="0" w:type="dxa"/>
          <w:left w:w="0" w:type="dxa"/>
          <w:bottom w:w="0" w:type="dxa"/>
          <w:right w:w="0" w:type="dxa"/>
        </w:tblCellMar>
      </w:tblPr>
      <w:tblGrid>
        <w:gridCol w:w="376"/>
      </w:tblGrid>
      <w:tr>
        <w:trPr/>
        <w:tc>
          <w:tcPr>
            <w:tcW w:w="376" w:type="dxa"/>
            <w:tcBorders/>
            <w:shd w:fill="auto" w:val="clear"/>
            <w:vAlign w:val="center"/>
          </w:tcPr>
          <w:p>
            <w:pPr>
              <w:pStyle w:val="TableContents"/>
              <w:spacing w:before="0" w:after="283"/>
              <w:jc w:val="center"/>
              <w:rPr>
                <w:rFonts w:ascii="times new roman;times" w:hAnsi="times new roman;times"/>
                <w:sz w:val="20"/>
              </w:rPr>
            </w:pPr>
            <w:r>
              <w:rPr>
                <w:rFonts w:ascii="times new roman;times" w:hAnsi="times new roman;times"/>
                <w:sz w:val="20"/>
              </w:rPr>
              <w:t>50</w:t>
            </w:r>
          </w:p>
        </w:tc>
      </w:tr>
    </w:tbl>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rPr/>
      </w:pPr>
      <w:r>
        <w:rPr/>
      </w:r>
    </w:p>
    <w:p>
      <w:pPr>
        <w:pStyle w:val="TextBody"/>
        <w:spacing w:lineRule="auto" w:line="240"/>
        <w:ind w:left="0" w:right="0" w:hanging="0"/>
        <w:jc w:val="center"/>
        <w:rPr/>
      </w:pPr>
      <w:hyperlink r:id="rId41">
        <w:bookmarkStart w:id="103" w:name="BAA_EVAY4UZ9XC00000000000000000000"/>
        <w:bookmarkEnd w:id="103"/>
        <w:r>
          <w:rPr>
            <w:rStyle w:val="VisitedInternetLink"/>
            <w:rFonts w:ascii="times new roman;times" w:hAnsi="times new roman;times"/>
            <w:b/>
            <w:strike w:val="false"/>
            <w:dstrike w:val="false"/>
            <w:color w:val="000000"/>
            <w:sz w:val="20"/>
            <w:u w:val="none"/>
            <w:effect w:val="none"/>
          </w:rPr>
          <w:t>REPORT OF INDEPENDENT REGISTERED PUBLIC ACCOUNTING FIRM</w:t>
        </w:r>
      </w:hyperlink>
    </w:p>
    <w:p>
      <w:pPr>
        <w:pStyle w:val="TextBody"/>
        <w:spacing w:lineRule="auto" w:line="240" w:before="0" w:after="0"/>
        <w:ind w:left="0" w:right="0" w:hanging="0"/>
        <w:jc w:val="center"/>
        <w:rPr/>
      </w:pPr>
      <w:r>
        <w:rPr/>
        <w:t> </w:t>
      </w:r>
    </w:p>
    <w:p>
      <w:pPr>
        <w:pStyle w:val="TextBody"/>
        <w:spacing w:lineRule="auto" w:line="240" w:before="0" w:after="0"/>
        <w:ind w:left="0" w:right="0" w:hanging="0"/>
        <w:rPr>
          <w:rFonts w:ascii="times new roman;times" w:hAnsi="times new roman;times"/>
          <w:color w:val="000000"/>
          <w:sz w:val="20"/>
        </w:rPr>
      </w:pPr>
      <w:r>
        <w:rPr>
          <w:rFonts w:ascii="times new roman;times" w:hAnsi="times new roman;times"/>
          <w:color w:val="000000"/>
          <w:sz w:val="20"/>
        </w:rPr>
        <w:t>To the Board of Directors and  </w:t>
        <w:br/>
        <w:t>Stockholders of ClearOne, Inc.:</w:t>
      </w:r>
    </w:p>
    <w:p>
      <w:pPr>
        <w:pStyle w:val="TextBody"/>
        <w:spacing w:lineRule="auto" w:line="240" w:before="0" w:after="0"/>
        <w:ind w:left="0" w:right="0" w:hanging="0"/>
        <w:rPr>
          <w:color w:val="000000"/>
        </w:rPr>
      </w:pPr>
      <w:r>
        <w:rPr>
          <w:color w:val="000000"/>
        </w:rPr>
        <w:t> </w:t>
      </w:r>
    </w:p>
    <w:p>
      <w:pPr>
        <w:pStyle w:val="TextBody"/>
        <w:spacing w:lineRule="auto" w:line="240" w:before="0" w:after="0"/>
        <w:ind w:left="0" w:right="0" w:hanging="0"/>
        <w:rPr>
          <w:rFonts w:ascii="times new roman;times" w:hAnsi="times new roman;times"/>
          <w:b/>
          <w:i/>
          <w:sz w:val="20"/>
        </w:rPr>
      </w:pPr>
      <w:r>
        <w:rPr>
          <w:rFonts w:ascii="times new roman;times" w:hAnsi="times new roman;times"/>
          <w:b/>
          <w:i/>
          <w:sz w:val="20"/>
        </w:rPr>
        <w:t>Opinion on the Consolidated Financial Statements</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sz w:val="22"/>
        </w:rPr>
      </w:pPr>
      <w:r>
        <w:rPr>
          <w:rFonts w:ascii="times new roman;times" w:hAnsi="times new roman;times"/>
          <w:color w:val="000000"/>
          <w:sz w:val="20"/>
        </w:rPr>
        <w:t>We have audited the accompanying consolidated balance sheets of ClearOne, Inc. and subsidiaries (collectively, the Company) as of December 31, 2022</w:t>
      </w:r>
      <w:r>
        <w:rPr>
          <w:rFonts w:ascii="times new roman;times" w:hAnsi="times new roman;times"/>
          <w:color w:val="000000"/>
          <w:sz w:val="22"/>
        </w:rPr>
        <w:t> </w:t>
      </w:r>
      <w:r>
        <w:rPr>
          <w:rFonts w:ascii="times new roman;times" w:hAnsi="times new roman;times"/>
          <w:color w:val="000000"/>
          <w:sz w:val="20"/>
        </w:rPr>
        <w:t>and 2021, and the related consolidated statements of operations and comprehensive income (loss), shareholders’ equity, and cash flows for each of the years in the two-year period ended December 31, 2022, and the related notes (collectively referred to as the consolidated financial statements).  In our opinion, the consolidated financial statements present fairly, in all material aspects, the financial position of ClearOne as of December 31, 2022</w:t>
      </w:r>
      <w:r>
        <w:rPr>
          <w:rFonts w:ascii="times new roman;times" w:hAnsi="times new roman;times"/>
          <w:color w:val="000000"/>
          <w:sz w:val="22"/>
        </w:rPr>
        <w:t> </w:t>
      </w:r>
      <w:r>
        <w:rPr>
          <w:rFonts w:ascii="times new roman;times" w:hAnsi="times new roman;times"/>
          <w:color w:val="000000"/>
          <w:sz w:val="20"/>
        </w:rPr>
        <w:t xml:space="preserve">and 2021, and the results of its operations and its cash flows for each of the years in the two-year period ended December 31, 2022, in conformity with accounting principles generally accepted in the United States of America. </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rPr>
          <w:rFonts w:ascii="times new roman;times" w:hAnsi="times new roman;times"/>
          <w:b/>
          <w:i/>
          <w:sz w:val="20"/>
        </w:rPr>
      </w:pPr>
      <w:r>
        <w:rPr>
          <w:rFonts w:ascii="times new roman;times" w:hAnsi="times new roman;times"/>
          <w:b/>
          <w:i/>
          <w:sz w:val="20"/>
        </w:rPr>
        <w:t>Basis for Opinion</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t>Emphasis of Matter - Gain on Legal Settlement</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As discussed more fully in Note 8 to the consolidated financial statements, the Company and another party entered into a confidential settlement and license agreement (the Agreement) on December 9, 2022. Under the terms of the Agreement, all of the litigations between the parties were dismissed with prejudice and both the Company and the other party released all claims against the other arising from or in connection with the matters that were subject to the litigations. The Company received a one-time settlement payment in early January 2023 in the amount of $55,000,000 after the dismissal of the litigations in accordance with the Agreement. The Company and the other party agreed to certain covenants not to sue. As of December 31, 2022, the Company recorded a receivable of $55,000,000 for the proceeds. During the year ended December 31, 2022, the Company recognized a gain of $33,623,000, after deducting the entire capitalized legal costs totaling $27,374,000 net of amortized costs of $5,997,000.</w:t>
      </w:r>
    </w:p>
    <w:p>
      <w:pPr>
        <w:pStyle w:val="TextBody"/>
        <w:spacing w:lineRule="auto" w:line="240"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r>
    </w:p>
    <w:p>
      <w:pPr>
        <w:pStyle w:val="TextBody"/>
        <w:spacing w:lineRule="auto" w:line="240"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t>Critical Audit Matters</w:t>
      </w:r>
    </w:p>
    <w:p>
      <w:pPr>
        <w:pStyle w:val="TextBody"/>
        <w:spacing w:lineRule="auto" w:line="240"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spacing w:lineRule="auto" w:line="240" w:before="0" w:after="0"/>
        <w:ind w:left="0" w:right="0" w:hanging="0"/>
        <w:jc w:val="both"/>
        <w:rPr/>
      </w:pPr>
      <w:r>
        <w:rPr/>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F-1 |</w:t>
            </w:r>
          </w:p>
        </w:tc>
      </w:tr>
    </w:tbl>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spacing w:lineRule="auto" w:line="240" w:before="0" w:after="0"/>
        <w:ind w:left="0" w:right="0" w:hanging="0"/>
        <w:jc w:val="both"/>
        <w:rPr>
          <w:rFonts w:ascii="times new roman;times" w:hAnsi="times new roman;times"/>
          <w:i/>
          <w:color w:val="000000"/>
          <w:sz w:val="20"/>
        </w:rPr>
      </w:pPr>
      <w:r>
        <w:rPr>
          <w:rFonts w:ascii="times new roman;times" w:hAnsi="times new roman;times"/>
          <w:i/>
          <w:color w:val="000000"/>
          <w:sz w:val="20"/>
        </w:rPr>
        <w:t>Capitalized patent defense costs</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As described in Notes 3 and 8 to the consolidated financial statements, the Company was involved in litigation against a competitor related to intellectual property rights. The Company has capitalized legal expenses related to the defense of certain patents as intangible assets on the balance sheet based on the satisfaction of two conditions: (i) a determination being made that a successful defense is probable, and (ii) that the monetary benefits arising out of such a successful defense will be in excess of the costs for the defense.</w:t>
      </w:r>
    </w:p>
    <w:p>
      <w:pPr>
        <w:pStyle w:val="TextBody"/>
        <w:spacing w:lineRule="auto" w:line="240" w:before="0" w:after="0"/>
        <w:ind w:left="0" w:right="0" w:hanging="0"/>
        <w:jc w:val="both"/>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identified the capitalization of patent defense costs as a critical audit matter because evaluating the likelihood of potential outcomes of the litigation as well as determining the expected monetary benefit involves significant judgment by management. This required a high degree of auditor judgement and subjectivity in performing procedures and evaluating audit evidence related to management’s assertions that a successful defense is probable and that the monetary benefits will be in excess of the costs.</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Addressing this critical audit matter involved performing procedures and evaluating audit evidence in connection with forming our overall opinion on the financial statements. These procedures included, among others: (1) testing of legal expenses related to the litigation, (2) obtaining and evaluating a legal confirmation obtained from the Company’s lead counsel in the case (3) obtaining and evaluating a legal opinion letter from another third party intellectual property law firm related to their evaluation of the likelihood of potential outcomes of the litigation based on their review of the case, (4) reviewing and evaluating management’s cost analysis, (5) obtaining and evaluating an expert witness damages report and, (6) evaluating the reasonableness of management’s assumptions. </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i/>
          <w:color w:val="000000"/>
          <w:sz w:val="20"/>
        </w:rPr>
      </w:pPr>
      <w:r>
        <w:rPr>
          <w:rFonts w:ascii="times new roman;times" w:hAnsi="times new roman;times"/>
          <w:i/>
          <w:color w:val="000000"/>
          <w:sz w:val="20"/>
        </w:rPr>
        <w:t>Assessment of lower of cost or net realizable value of inventories</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As described in Notes 1 and 4 to the consolidated financial statements, inventories totaling $11.7 million as of December 31, 2022 are stated at the lower of cost or market.  The Company performs analyses to identify and estimate the net realizable value of excess or slow-moving inventories based on forecasted future product demand.</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We identified the inventory valuation as a critical audit matter because of the significant balance of inventory held by the Company and because forecasting future product demand involves significant judgement by management. This required a high degree of auditor judgement, subjectivity and effort in performing procedures and evaluating audit evidence to evaluate management’s assumptions related to estimating the reserve of obsolete and slow-moving inventory.</w:t>
      </w:r>
    </w:p>
    <w:p>
      <w:pPr>
        <w:pStyle w:val="TextBody"/>
        <w:spacing w:lineRule="auto" w:line="240" w:before="0" w:after="0"/>
        <w:ind w:left="0" w:right="0" w:hanging="0"/>
        <w:jc w:val="both"/>
        <w:rPr>
          <w:color w:val="000000"/>
        </w:rPr>
      </w:pPr>
      <w:r>
        <w:rPr>
          <w:color w:val="000000"/>
        </w:rPr>
        <w:t> </w:t>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Addressing this critical audit matter involved performing procedures and evaluating audit evidence in connection with forming our overall opinion on the financial statements. These procedures included, among others: (1) evaluating management’s process for estimating obsolete and slow moving inventory levels, (2) comparing historical sales trends and inventory consumption reports for selected products to quantities on hand in order to evaluate potential excess or obsolete inventory, (3) evaluating and discussing forecasts and expectations with management as well as assumptions regarding alternative uses, and (4) evaluating the reasonableness of management’s assumptions.</w:t>
      </w:r>
    </w:p>
    <w:p>
      <w:pPr>
        <w:pStyle w:val="TextBody"/>
        <w:spacing w:lineRule="auto" w:line="240" w:before="0" w:after="0"/>
        <w:ind w:left="0" w:right="0" w:hanging="0"/>
        <w:jc w:val="both"/>
        <w:rPr/>
      </w:pPr>
      <w:r>
        <w:rPr/>
      </w:r>
    </w:p>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9460"/>
        <w:gridCol w:w="745"/>
      </w:tblGrid>
      <w:tr>
        <w:trPr/>
        <w:tc>
          <w:tcPr>
            <w:tcW w:w="9460" w:type="dxa"/>
            <w:tcBorders/>
            <w:shd w:fill="auto" w:val="clear"/>
            <w:vAlign w:val="center"/>
          </w:tcPr>
          <w:p>
            <w:pPr>
              <w:pStyle w:val="TableContents"/>
              <w:spacing w:before="0" w:after="0"/>
              <w:ind w:left="0" w:right="0" w:hanging="0"/>
              <w:rPr>
                <w:rFonts w:ascii="times new roman;times" w:hAnsi="times new roman;times"/>
                <w:i/>
                <w:sz w:val="20"/>
              </w:rPr>
            </w:pPr>
            <w:r>
              <w:rPr>
                <w:rFonts w:ascii="times new roman;times" w:hAnsi="times new roman;times"/>
                <w:i/>
                <w:sz w:val="20"/>
              </w:rPr>
              <w:t>/s/ TANNER LLC</w:t>
            </w:r>
          </w:p>
        </w:tc>
        <w:tc>
          <w:tcPr>
            <w:tcW w:w="745" w:type="dxa"/>
            <w:tcBorders/>
            <w:shd w:fill="auto" w:val="clear"/>
            <w:vAlign w:val="center"/>
          </w:tcPr>
          <w:p>
            <w:pPr>
              <w:pStyle w:val="TableContents"/>
              <w:spacing w:before="0" w:after="0"/>
              <w:ind w:left="0" w:right="0" w:hanging="0"/>
              <w:rPr/>
            </w:pPr>
            <w:r>
              <w:rPr/>
              <w:t> </w:t>
            </w:r>
          </w:p>
        </w:tc>
      </w:tr>
      <w:tr>
        <w:trPr/>
        <w:tc>
          <w:tcPr>
            <w:tcW w:w="9460" w:type="dxa"/>
            <w:tcBorders/>
            <w:shd w:fill="auto" w:val="clear"/>
            <w:vAlign w:val="center"/>
          </w:tcPr>
          <w:p>
            <w:pPr>
              <w:pStyle w:val="TableContents"/>
              <w:spacing w:before="0" w:after="0"/>
              <w:ind w:left="0" w:right="0" w:hanging="0"/>
              <w:rPr/>
            </w:pPr>
            <w:r>
              <w:rPr/>
              <w:t> </w:t>
            </w:r>
          </w:p>
        </w:tc>
        <w:tc>
          <w:tcPr>
            <w:tcW w:w="745" w:type="dxa"/>
            <w:tcBorders/>
            <w:shd w:fill="auto" w:val="clear"/>
            <w:vAlign w:val="center"/>
          </w:tcPr>
          <w:p>
            <w:pPr>
              <w:pStyle w:val="TableContents"/>
              <w:spacing w:before="0" w:after="0"/>
              <w:ind w:left="0" w:right="0" w:hanging="0"/>
              <w:rPr/>
            </w:pPr>
            <w:r>
              <w:rPr/>
              <w:t> </w:t>
            </w:r>
          </w:p>
        </w:tc>
      </w:tr>
      <w:tr>
        <w:trPr/>
        <w:tc>
          <w:tcPr>
            <w:tcW w:w="9460"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Salt Lake City, Utah</w:t>
            </w:r>
          </w:p>
        </w:tc>
        <w:tc>
          <w:tcPr>
            <w:tcW w:w="745" w:type="dxa"/>
            <w:tcBorders/>
            <w:shd w:fill="auto" w:val="clear"/>
            <w:vAlign w:val="center"/>
          </w:tcPr>
          <w:p>
            <w:pPr>
              <w:pStyle w:val="TableContents"/>
              <w:spacing w:before="0" w:after="0"/>
              <w:ind w:left="0" w:right="0" w:hanging="0"/>
              <w:rPr/>
            </w:pPr>
            <w:r>
              <w:rPr/>
              <w:t> </w:t>
            </w:r>
          </w:p>
        </w:tc>
      </w:tr>
      <w:tr>
        <w:trPr/>
        <w:tc>
          <w:tcPr>
            <w:tcW w:w="9460" w:type="dxa"/>
            <w:tcBorders/>
            <w:shd w:fill="auto" w:val="clear"/>
            <w:vAlign w:val="center"/>
          </w:tcPr>
          <w:p>
            <w:pPr>
              <w:pStyle w:val="TableContents"/>
              <w:spacing w:before="0" w:after="0"/>
              <w:ind w:left="0" w:right="0" w:hanging="0"/>
              <w:rPr>
                <w:rFonts w:ascii="times new roman;times" w:hAnsi="times new roman;times"/>
                <w:sz w:val="20"/>
              </w:rPr>
            </w:pPr>
            <w:r>
              <w:rPr>
                <w:rFonts w:ascii="times new roman;times" w:hAnsi="times new roman;times"/>
                <w:sz w:val="20"/>
              </w:rPr>
              <w:t>March 31, 2023</w:t>
            </w:r>
          </w:p>
        </w:tc>
        <w:tc>
          <w:tcPr>
            <w:tcW w:w="745" w:type="dxa"/>
            <w:tcBorders/>
            <w:shd w:fill="auto" w:val="clear"/>
            <w:vAlign w:val="center"/>
          </w:tcPr>
          <w:p>
            <w:pPr>
              <w:pStyle w:val="TableContents"/>
              <w:spacing w:before="0" w:after="0"/>
              <w:ind w:left="0" w:right="0" w:hanging="0"/>
              <w:rPr/>
            </w:pPr>
            <w:r>
              <w:rPr/>
              <w:t> </w:t>
            </w:r>
          </w:p>
        </w:tc>
      </w:tr>
    </w:tbl>
    <w:p>
      <w:pPr>
        <w:pStyle w:val="TextBody"/>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have served as the Company’s auditor since October 14, 2015.</w:t>
      </w:r>
    </w:p>
    <w:p>
      <w:pPr>
        <w:pStyle w:val="TextBody"/>
        <w:spacing w:lineRule="auto" w:line="240" w:before="0" w:after="0"/>
        <w:ind w:left="0" w:right="0" w:hanging="0"/>
        <w:jc w:val="left"/>
        <w:rPr>
          <w:rFonts w:ascii="Times New Roman" w:hAnsi="Times New Roman"/>
          <w:sz w:val="20"/>
        </w:rPr>
      </w:pPr>
      <w:r>
        <w:rPr>
          <w:rFonts w:ascii="Times New Roman" w:hAnsi="Times New Roman"/>
          <w:sz w:val="20"/>
        </w:rPr>
      </w: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F-2 |</w:t>
            </w:r>
          </w:p>
        </w:tc>
      </w:tr>
    </w:tbl>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ind w:left="0" w:right="0" w:hanging="0"/>
        <w:jc w:val="center"/>
        <w:rPr/>
      </w:pPr>
      <w:hyperlink r:id="rId42">
        <w:bookmarkStart w:id="104" w:name="BBS_LV6K39C84G00000000000000000000"/>
        <w:bookmarkEnd w:id="104"/>
        <w:r>
          <w:rPr>
            <w:rStyle w:val="VisitedInternetLink"/>
            <w:rFonts w:ascii="Times New Roman" w:hAnsi="Times New Roman"/>
            <w:b/>
            <w:strike w:val="false"/>
            <w:dstrike w:val="false"/>
            <w:color w:val="000000"/>
            <w:sz w:val="20"/>
            <w:u w:val="none"/>
            <w:effect w:val="none"/>
          </w:rPr>
          <w:t>CONSOLIDATED BALANCE SHEETS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par value)</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7782"/>
        <w:gridCol w:w="202"/>
        <w:gridCol w:w="788"/>
        <w:gridCol w:w="139"/>
        <w:gridCol w:w="124"/>
        <w:gridCol w:w="207"/>
        <w:gridCol w:w="771"/>
        <w:gridCol w:w="192"/>
      </w:tblGrid>
      <w:tr>
        <w:trPr/>
        <w:tc>
          <w:tcPr>
            <w:tcW w:w="7782" w:type="dxa"/>
            <w:tcBorders/>
            <w:shd w:fill="auto" w:val="clear"/>
            <w:vAlign w:val="center"/>
          </w:tcPr>
          <w:p>
            <w:pPr>
              <w:pStyle w:val="TableContents"/>
              <w:spacing w:before="0" w:after="0"/>
              <w:ind w:left="0" w:right="0" w:hanging="0"/>
              <w:rPr/>
            </w:pPr>
            <w:r>
              <w:rPr/>
              <w:t xml:space="preserve">  </w:t>
            </w:r>
          </w:p>
        </w:tc>
        <w:tc>
          <w:tcPr>
            <w:tcW w:w="99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sz w:val="18"/>
              </w:rPr>
            </w:pPr>
            <w:r>
              <w:rPr>
                <w:rFonts w:ascii="Times New Roman" w:hAnsi="Times New Roman"/>
                <w:b/>
                <w:sz w:val="18"/>
              </w:rPr>
              <w:t>December 31,</w:t>
            </w:r>
            <w:r>
              <w:rPr>
                <w:sz w:val="18"/>
              </w:rPr>
              <w:br/>
            </w:r>
            <w:r>
              <w:rPr>
                <w:rFonts w:ascii="Times New Roman" w:hAnsi="Times New Roman"/>
                <w:b/>
                <w:sz w:val="18"/>
              </w:rPr>
              <w:t>2022</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97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sz w:val="18"/>
              </w:rPr>
            </w:pPr>
            <w:r>
              <w:rPr>
                <w:rFonts w:ascii="Times New Roman" w:hAnsi="Times New Roman"/>
                <w:b/>
                <w:sz w:val="18"/>
              </w:rPr>
              <w:t>December 31,</w:t>
            </w:r>
            <w:r>
              <w:rPr>
                <w:sz w:val="18"/>
              </w:rPr>
              <w:br/>
            </w:r>
            <w:r>
              <w:rPr>
                <w:rFonts w:ascii="Times New Roman" w:hAnsi="Times New Roman"/>
                <w:b/>
                <w:sz w:val="18"/>
              </w:rPr>
              <w:t>2021</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center"/>
              <w:rPr/>
            </w:pPr>
            <w:r>
              <w:rPr/>
              <w:t xml:space="preserve">  </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center"/>
              <w:rPr/>
            </w:pPr>
            <w:r>
              <w:rPr/>
              <w:t xml:space="preserve">  </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assets: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rPr/>
            </w:pPr>
            <w:r>
              <w:rPr/>
              <w:t xml:space="preserve">  </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rPr/>
            </w:pPr>
            <w:r>
              <w:rPr/>
              <w:t xml:space="preserve">  </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and cash equivalents </w:t>
            </w:r>
          </w:p>
        </w:tc>
        <w:tc>
          <w:tcPr>
            <w:tcW w:w="20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984</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1,071</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Marketable securities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pPr>
            <w:r>
              <w:rPr/>
              <w:t>—</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1,790</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283"/>
              <w:rPr/>
            </w:pPr>
            <w:r>
              <w:rPr/>
              <w:t>Legal settlement receivable</w:t>
            </w:r>
          </w:p>
        </w:tc>
        <w:tc>
          <w:tcPr>
            <w:tcW w:w="202" w:type="dxa"/>
            <w:tcBorders/>
            <w:shd w:fill="CCEEFF" w:val="clear"/>
            <w:vAlign w:val="center"/>
          </w:tcPr>
          <w:p>
            <w:pPr>
              <w:pStyle w:val="TableContents"/>
              <w:spacing w:before="0" w:after="283"/>
              <w:rPr/>
            </w:pPr>
            <w:r>
              <w:rPr/>
            </w:r>
          </w:p>
        </w:tc>
        <w:tc>
          <w:tcPr>
            <w:tcW w:w="788" w:type="dxa"/>
            <w:tcBorders/>
            <w:shd w:fill="CCEEFF" w:val="clear"/>
            <w:vAlign w:val="center"/>
          </w:tcPr>
          <w:p>
            <w:pPr>
              <w:pStyle w:val="TableContents"/>
              <w:spacing w:before="0" w:after="283"/>
              <w:jc w:val="right"/>
              <w:rPr/>
            </w:pPr>
            <w:r>
              <w:rPr/>
              <w:t>55,000</w:t>
            </w:r>
          </w:p>
        </w:tc>
        <w:tc>
          <w:tcPr>
            <w:tcW w:w="139" w:type="dxa"/>
            <w:tcBorders/>
            <w:shd w:fill="CCEEFF" w:val="clear"/>
            <w:vAlign w:val="center"/>
          </w:tcPr>
          <w:p>
            <w:pPr>
              <w:pStyle w:val="TableContents"/>
              <w:spacing w:before="0" w:after="283"/>
              <w:rPr/>
            </w:pPr>
            <w:r>
              <w:rPr/>
            </w:r>
          </w:p>
        </w:tc>
        <w:tc>
          <w:tcPr>
            <w:tcW w:w="124" w:type="dxa"/>
            <w:tcBorders/>
            <w:shd w:fill="CCEEFF" w:val="clear"/>
            <w:vAlign w:val="center"/>
          </w:tcPr>
          <w:p>
            <w:pPr>
              <w:pStyle w:val="TableContents"/>
              <w:spacing w:before="0" w:after="283"/>
              <w:rPr/>
            </w:pPr>
            <w:r>
              <w:rPr/>
            </w:r>
          </w:p>
        </w:tc>
        <w:tc>
          <w:tcPr>
            <w:tcW w:w="207" w:type="dxa"/>
            <w:tcBorders/>
            <w:shd w:fill="CCEEFF" w:val="clear"/>
            <w:vAlign w:val="center"/>
          </w:tcPr>
          <w:p>
            <w:pPr>
              <w:pStyle w:val="TableContents"/>
              <w:spacing w:before="0" w:after="283"/>
              <w:rPr/>
            </w:pPr>
            <w:r>
              <w:rPr/>
            </w:r>
          </w:p>
        </w:tc>
        <w:tc>
          <w:tcPr>
            <w:tcW w:w="771" w:type="dxa"/>
            <w:tcBorders/>
            <w:shd w:fill="CCEEFF" w:val="clear"/>
            <w:vAlign w:val="center"/>
          </w:tcPr>
          <w:p>
            <w:pPr>
              <w:pStyle w:val="TableContents"/>
              <w:spacing w:before="0" w:after="283"/>
              <w:jc w:val="right"/>
              <w:rPr/>
            </w:pPr>
            <w:r>
              <w:rPr/>
              <w:t>—</w:t>
            </w:r>
          </w:p>
        </w:tc>
        <w:tc>
          <w:tcPr>
            <w:tcW w:w="192" w:type="dxa"/>
            <w:tcBorders/>
            <w:shd w:fill="CCEEFF" w:val="clear"/>
            <w:vAlign w:val="center"/>
          </w:tcPr>
          <w:p>
            <w:pPr>
              <w:pStyle w:val="TableContents"/>
              <w:spacing w:before="0" w:after="283"/>
              <w:rPr/>
            </w:pPr>
            <w:r>
              <w:rPr/>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Receivables, net of allowance for doubtful accounts of $326</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3,603</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4,991</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Inventories, net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8,961</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10,033</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283"/>
              <w:rPr/>
            </w:pPr>
            <w:r>
              <w:rPr/>
              <w:t>Income tax receivable</w:t>
            </w:r>
          </w:p>
        </w:tc>
        <w:tc>
          <w:tcPr>
            <w:tcW w:w="202" w:type="dxa"/>
            <w:tcBorders/>
            <w:shd w:fill="auto" w:val="clear"/>
            <w:vAlign w:val="center"/>
          </w:tcPr>
          <w:p>
            <w:pPr>
              <w:pStyle w:val="TableContents"/>
              <w:spacing w:before="0" w:after="283"/>
              <w:rPr/>
            </w:pPr>
            <w:r>
              <w:rPr/>
            </w:r>
          </w:p>
        </w:tc>
        <w:tc>
          <w:tcPr>
            <w:tcW w:w="788" w:type="dxa"/>
            <w:tcBorders/>
            <w:shd w:fill="auto" w:val="clear"/>
            <w:vAlign w:val="center"/>
          </w:tcPr>
          <w:p>
            <w:pPr>
              <w:pStyle w:val="TableContents"/>
              <w:spacing w:before="0" w:after="283"/>
              <w:jc w:val="right"/>
              <w:rPr/>
            </w:pPr>
            <w:r>
              <w:rPr/>
              <w:t>1,071</w:t>
            </w:r>
          </w:p>
        </w:tc>
        <w:tc>
          <w:tcPr>
            <w:tcW w:w="139" w:type="dxa"/>
            <w:tcBorders/>
            <w:shd w:fill="auto" w:val="clear"/>
            <w:vAlign w:val="center"/>
          </w:tcPr>
          <w:p>
            <w:pPr>
              <w:pStyle w:val="TableContents"/>
              <w:spacing w:before="0" w:after="283"/>
              <w:rPr/>
            </w:pPr>
            <w:r>
              <w:rPr/>
            </w:r>
          </w:p>
        </w:tc>
        <w:tc>
          <w:tcPr>
            <w:tcW w:w="124" w:type="dxa"/>
            <w:tcBorders/>
            <w:shd w:fill="auto" w:val="clear"/>
            <w:vAlign w:val="center"/>
          </w:tcPr>
          <w:p>
            <w:pPr>
              <w:pStyle w:val="TableContents"/>
              <w:spacing w:before="0" w:after="283"/>
              <w:rPr/>
            </w:pPr>
            <w:r>
              <w:rPr/>
            </w:r>
          </w:p>
        </w:tc>
        <w:tc>
          <w:tcPr>
            <w:tcW w:w="207" w:type="dxa"/>
            <w:tcBorders/>
            <w:shd w:fill="auto" w:val="clear"/>
            <w:vAlign w:val="center"/>
          </w:tcPr>
          <w:p>
            <w:pPr>
              <w:pStyle w:val="TableContents"/>
              <w:spacing w:before="0" w:after="283"/>
              <w:rPr/>
            </w:pPr>
            <w:r>
              <w:rPr/>
            </w:r>
          </w:p>
        </w:tc>
        <w:tc>
          <w:tcPr>
            <w:tcW w:w="771" w:type="dxa"/>
            <w:tcBorders/>
            <w:shd w:fill="auto" w:val="clear"/>
            <w:vAlign w:val="center"/>
          </w:tcPr>
          <w:p>
            <w:pPr>
              <w:pStyle w:val="TableContents"/>
              <w:spacing w:before="0" w:after="283"/>
              <w:jc w:val="right"/>
              <w:rPr/>
            </w:pPr>
            <w:r>
              <w:rPr/>
              <w:t>7,535</w:t>
            </w:r>
          </w:p>
        </w:tc>
        <w:tc>
          <w:tcPr>
            <w:tcW w:w="192" w:type="dxa"/>
            <w:tcBorders/>
            <w:shd w:fill="auto" w:val="clear"/>
            <w:vAlign w:val="center"/>
          </w:tcPr>
          <w:p>
            <w:pPr>
              <w:pStyle w:val="TableContents"/>
              <w:spacing w:before="0" w:after="283"/>
              <w:rPr/>
            </w:pPr>
            <w:r>
              <w:rPr/>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Prepaid expenses and other assets </w:t>
            </w:r>
          </w:p>
        </w:tc>
        <w:tc>
          <w:tcPr>
            <w:tcW w:w="202"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88"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7,808</w:t>
            </w:r>
          </w:p>
        </w:tc>
        <w:tc>
          <w:tcPr>
            <w:tcW w:w="139" w:type="dxa"/>
            <w:tcBorders/>
            <w:shd w:fill="CCEEFF" w:val="clear"/>
            <w:vAlign w:val="center"/>
          </w:tcPr>
          <w:p>
            <w:pPr>
              <w:pStyle w:val="TableContents"/>
              <w:spacing w:before="0" w:after="0"/>
              <w:ind w:left="0" w:right="0" w:hanging="0"/>
              <w:jc w:val="right"/>
              <w:rPr/>
            </w:pPr>
            <w:r>
              <w:rPr/>
              <w:t xml:space="preserve">  </w:t>
            </w:r>
          </w:p>
        </w:tc>
        <w:tc>
          <w:tcPr>
            <w:tcW w:w="124" w:type="dxa"/>
            <w:tcBorders/>
            <w:shd w:fill="CCEEFF" w:val="clear"/>
            <w:vAlign w:val="center"/>
          </w:tcPr>
          <w:p>
            <w:pPr>
              <w:pStyle w:val="TableContents"/>
              <w:spacing w:before="0" w:after="0"/>
              <w:ind w:left="0" w:right="0" w:hanging="0"/>
              <w:jc w:val="right"/>
              <w:rPr/>
            </w:pPr>
            <w:r>
              <w:rPr/>
              <w:t xml:space="preserve">  </w:t>
            </w:r>
          </w:p>
        </w:tc>
        <w:tc>
          <w:tcPr>
            <w:tcW w:w="207"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 xml:space="preserve">  </w:t>
            </w:r>
          </w:p>
        </w:tc>
        <w:tc>
          <w:tcPr>
            <w:tcW w:w="771"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4,021</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current assets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77,427</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29,441</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Long-term marketable securities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right"/>
              <w:rPr/>
            </w:pPr>
            <w:r>
              <w:rPr/>
              <w:t>—</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1,220</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Long-term inventories, net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2,707</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3,567</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Property and equipment, net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383</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744</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lease – right of use assets, net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1,047</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1,537</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Intangibles, net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2,071</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25,086</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assets </w:t>
            </w:r>
          </w:p>
        </w:tc>
        <w:tc>
          <w:tcPr>
            <w:tcW w:w="20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8"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115</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71"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4,597</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assets </w:t>
            </w:r>
          </w:p>
        </w:tc>
        <w:tc>
          <w:tcPr>
            <w:tcW w:w="20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83,750</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66,192</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LIABILITIES AND SHAREHOLDERS’ EQUITY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center"/>
              <w:rPr/>
            </w:pPr>
            <w:r>
              <w:rPr/>
              <w:t xml:space="preserve">  </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center"/>
              <w:rPr/>
            </w:pPr>
            <w:r>
              <w:rPr/>
              <w:t xml:space="preserve">  </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liabilities: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rPr/>
            </w:pPr>
            <w:r>
              <w:rPr/>
              <w:t xml:space="preserve">  </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rPr/>
            </w:pPr>
            <w:r>
              <w:rPr/>
              <w:t xml:space="preserve">  </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Accounts payable </w:t>
            </w:r>
          </w:p>
        </w:tc>
        <w:tc>
          <w:tcPr>
            <w:tcW w:w="20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1,284</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5,388</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Accrued liabilities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3,041</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2,549</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product revenue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283"/>
              <w:rPr/>
            </w:pPr>
            <w:r>
              <w:rPr/>
              <w:t>Short-term debt</w:t>
            </w:r>
          </w:p>
        </w:tc>
        <w:tc>
          <w:tcPr>
            <w:tcW w:w="202" w:type="dxa"/>
            <w:tcBorders>
              <w:bottom w:val="single" w:sz="2" w:space="0" w:color="000000"/>
            </w:tcBorders>
            <w:shd w:fill="CCEEFF" w:val="clear"/>
            <w:tcMar>
              <w:bottom w:w="28" w:type="dxa"/>
            </w:tcMar>
            <w:vAlign w:val="center"/>
          </w:tcPr>
          <w:p>
            <w:pPr>
              <w:pStyle w:val="TableContents"/>
              <w:spacing w:before="0" w:after="283"/>
              <w:rPr/>
            </w:pPr>
            <w:r>
              <w:rPr/>
            </w:r>
          </w:p>
        </w:tc>
        <w:tc>
          <w:tcPr>
            <w:tcW w:w="788" w:type="dxa"/>
            <w:tcBorders>
              <w:bottom w:val="single" w:sz="2" w:space="0" w:color="000000"/>
            </w:tcBorders>
            <w:shd w:fill="CCEEFF" w:val="clear"/>
            <w:tcMar>
              <w:bottom w:w="28" w:type="dxa"/>
            </w:tcMar>
            <w:vAlign w:val="center"/>
          </w:tcPr>
          <w:p>
            <w:pPr>
              <w:pStyle w:val="TableContents"/>
              <w:spacing w:before="0" w:after="283"/>
              <w:jc w:val="right"/>
              <w:rPr/>
            </w:pPr>
            <w:r>
              <w:rPr/>
              <w:t>3,732</w:t>
            </w:r>
          </w:p>
        </w:tc>
        <w:tc>
          <w:tcPr>
            <w:tcW w:w="139" w:type="dxa"/>
            <w:tcBorders/>
            <w:shd w:fill="CCEEFF" w:val="clear"/>
            <w:vAlign w:val="center"/>
          </w:tcPr>
          <w:p>
            <w:pPr>
              <w:pStyle w:val="TableContents"/>
              <w:spacing w:before="0" w:after="283"/>
              <w:rPr/>
            </w:pPr>
            <w:r>
              <w:rPr/>
            </w:r>
          </w:p>
        </w:tc>
        <w:tc>
          <w:tcPr>
            <w:tcW w:w="124" w:type="dxa"/>
            <w:tcBorders/>
            <w:shd w:fill="CCEEFF" w:val="clear"/>
            <w:vAlign w:val="center"/>
          </w:tcPr>
          <w:p>
            <w:pPr>
              <w:pStyle w:val="TableContents"/>
              <w:spacing w:before="0" w:after="283"/>
              <w:rPr/>
            </w:pPr>
            <w:r>
              <w:rPr/>
            </w:r>
          </w:p>
        </w:tc>
        <w:tc>
          <w:tcPr>
            <w:tcW w:w="207" w:type="dxa"/>
            <w:tcBorders>
              <w:bottom w:val="single" w:sz="2" w:space="0" w:color="000000"/>
            </w:tcBorders>
            <w:shd w:fill="CCEEFF" w:val="clear"/>
            <w:tcMar>
              <w:bottom w:w="28" w:type="dxa"/>
            </w:tcMar>
            <w:vAlign w:val="center"/>
          </w:tcPr>
          <w:p>
            <w:pPr>
              <w:pStyle w:val="TableContents"/>
              <w:spacing w:before="0" w:after="283"/>
              <w:rPr/>
            </w:pPr>
            <w:r>
              <w:rPr/>
            </w:r>
          </w:p>
        </w:tc>
        <w:tc>
          <w:tcPr>
            <w:tcW w:w="771" w:type="dxa"/>
            <w:tcBorders>
              <w:bottom w:val="single" w:sz="2" w:space="0" w:color="000000"/>
            </w:tcBorders>
            <w:shd w:fill="CCEEFF" w:val="clear"/>
            <w:tcMar>
              <w:bottom w:w="28" w:type="dxa"/>
            </w:tcMar>
            <w:vAlign w:val="center"/>
          </w:tcPr>
          <w:p>
            <w:pPr>
              <w:pStyle w:val="TableContents"/>
              <w:spacing w:before="0" w:after="283"/>
              <w:jc w:val="right"/>
              <w:rPr/>
            </w:pPr>
            <w:r>
              <w:rPr/>
              <w:t>3,481</w:t>
            </w:r>
          </w:p>
        </w:tc>
        <w:tc>
          <w:tcPr>
            <w:tcW w:w="192" w:type="dxa"/>
            <w:tcBorders/>
            <w:shd w:fill="CCEEFF" w:val="clear"/>
            <w:vAlign w:val="center"/>
          </w:tcPr>
          <w:p>
            <w:pPr>
              <w:pStyle w:val="TableContents"/>
              <w:spacing w:before="0" w:after="283"/>
              <w:rPr/>
            </w:pPr>
            <w:r>
              <w:rPr/>
            </w:r>
          </w:p>
        </w:tc>
      </w:tr>
      <w:tr>
        <w:trPr/>
        <w:tc>
          <w:tcPr>
            <w:tcW w:w="7782"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current liabilities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8,120</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11,472</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283"/>
              <w:rPr/>
            </w:pPr>
            <w:r>
              <w:rPr/>
              <w:t>Long-term debt</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right"/>
              <w:rPr/>
            </w:pPr>
            <w:r>
              <w:rPr/>
              <w:t>—</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1,535</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283"/>
              <w:rPr/>
            </w:pPr>
            <w:r>
              <w:rPr/>
              <w:t>Operating lease liability, net of current</w:t>
            </w:r>
          </w:p>
        </w:tc>
        <w:tc>
          <w:tcPr>
            <w:tcW w:w="202" w:type="dxa"/>
            <w:tcBorders/>
            <w:shd w:fill="auto" w:val="clear"/>
            <w:vAlign w:val="center"/>
          </w:tcPr>
          <w:p>
            <w:pPr>
              <w:pStyle w:val="TableContents"/>
              <w:spacing w:before="0" w:after="283"/>
              <w:rPr/>
            </w:pPr>
            <w:r>
              <w:rPr/>
            </w:r>
          </w:p>
        </w:tc>
        <w:tc>
          <w:tcPr>
            <w:tcW w:w="788" w:type="dxa"/>
            <w:tcBorders/>
            <w:shd w:fill="auto" w:val="clear"/>
            <w:vAlign w:val="center"/>
          </w:tcPr>
          <w:p>
            <w:pPr>
              <w:pStyle w:val="TableContents"/>
              <w:spacing w:before="0" w:after="283"/>
              <w:jc w:val="right"/>
              <w:rPr/>
            </w:pPr>
            <w:r>
              <w:rPr/>
              <w:t>492</w:t>
            </w:r>
          </w:p>
        </w:tc>
        <w:tc>
          <w:tcPr>
            <w:tcW w:w="139" w:type="dxa"/>
            <w:tcBorders/>
            <w:shd w:fill="auto" w:val="clear"/>
            <w:vAlign w:val="center"/>
          </w:tcPr>
          <w:p>
            <w:pPr>
              <w:pStyle w:val="TableContents"/>
              <w:spacing w:before="0" w:after="283"/>
              <w:rPr/>
            </w:pPr>
            <w:r>
              <w:rPr/>
            </w:r>
          </w:p>
        </w:tc>
        <w:tc>
          <w:tcPr>
            <w:tcW w:w="124" w:type="dxa"/>
            <w:tcBorders/>
            <w:shd w:fill="auto" w:val="clear"/>
            <w:vAlign w:val="center"/>
          </w:tcPr>
          <w:p>
            <w:pPr>
              <w:pStyle w:val="TableContents"/>
              <w:spacing w:before="0" w:after="283"/>
              <w:rPr/>
            </w:pPr>
            <w:r>
              <w:rPr/>
            </w:r>
          </w:p>
        </w:tc>
        <w:tc>
          <w:tcPr>
            <w:tcW w:w="207" w:type="dxa"/>
            <w:tcBorders/>
            <w:shd w:fill="auto" w:val="clear"/>
            <w:vAlign w:val="center"/>
          </w:tcPr>
          <w:p>
            <w:pPr>
              <w:pStyle w:val="TableContents"/>
              <w:spacing w:before="0" w:after="283"/>
              <w:rPr/>
            </w:pPr>
            <w:r>
              <w:rPr/>
            </w:r>
          </w:p>
        </w:tc>
        <w:tc>
          <w:tcPr>
            <w:tcW w:w="771" w:type="dxa"/>
            <w:tcBorders/>
            <w:shd w:fill="auto" w:val="clear"/>
            <w:vAlign w:val="center"/>
          </w:tcPr>
          <w:p>
            <w:pPr>
              <w:pStyle w:val="TableContents"/>
              <w:spacing w:before="0" w:after="283"/>
              <w:jc w:val="right"/>
              <w:rPr/>
            </w:pPr>
            <w:r>
              <w:rPr/>
              <w:t>1,026</w:t>
            </w:r>
          </w:p>
        </w:tc>
        <w:tc>
          <w:tcPr>
            <w:tcW w:w="192" w:type="dxa"/>
            <w:tcBorders/>
            <w:shd w:fill="auto" w:val="clear"/>
            <w:vAlign w:val="center"/>
          </w:tcPr>
          <w:p>
            <w:pPr>
              <w:pStyle w:val="TableContents"/>
              <w:spacing w:before="0" w:after="283"/>
              <w:rPr/>
            </w:pPr>
            <w:r>
              <w:rPr/>
            </w:r>
          </w:p>
        </w:tc>
      </w:tr>
      <w:tr>
        <w:trPr/>
        <w:tc>
          <w:tcPr>
            <w:tcW w:w="7782" w:type="dxa"/>
            <w:tcBorders/>
            <w:shd w:fill="CCEEFF" w:val="clear"/>
            <w:vAlign w:val="center"/>
          </w:tcPr>
          <w:p>
            <w:pPr>
              <w:pStyle w:val="TableContents"/>
              <w:spacing w:before="0" w:after="0"/>
              <w:ind w:left="0" w:right="0" w:hanging="0"/>
              <w:rPr/>
            </w:pPr>
            <w:r>
              <w:rPr/>
              <w:t xml:space="preserve">Other long-term liabilities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1,008</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bottom w:val="single" w:sz="8"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655</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liabilities </w:t>
            </w:r>
          </w:p>
        </w:tc>
        <w:tc>
          <w:tcPr>
            <w:tcW w:w="202" w:type="dxa"/>
            <w:tcBorders>
              <w:top w:val="single" w:sz="4" w:space="0" w:color="000000"/>
              <w:bottom w:val="single" w:sz="6" w:space="0" w:color="000000"/>
            </w:tcBorders>
            <w:shd w:fill="auto" w:val="clear"/>
            <w:tcMar>
              <w:top w:w="28" w:type="dxa"/>
              <w:bottom w:w="28" w:type="dxa"/>
            </w:tcMar>
            <w:vAlign w:val="center"/>
          </w:tcPr>
          <w:p>
            <w:pPr>
              <w:pStyle w:val="TableContents"/>
              <w:spacing w:before="0" w:after="0"/>
              <w:ind w:left="0" w:right="0" w:hanging="0"/>
              <w:rPr/>
            </w:pPr>
            <w:r>
              <w:rPr/>
              <w:t xml:space="preserve">  </w:t>
            </w:r>
          </w:p>
        </w:tc>
        <w:tc>
          <w:tcPr>
            <w:tcW w:w="788" w:type="dxa"/>
            <w:tcBorders>
              <w:top w:val="single" w:sz="4" w:space="0" w:color="000000"/>
              <w:bottom w:val="sing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9,620</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71" w:type="dxa"/>
            <w:tcBorders>
              <w:top w:val="single" w:sz="4" w:space="0" w:color="000000"/>
              <w:bottom w:val="single" w:sz="6"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14,688</w:t>
            </w:r>
          </w:p>
        </w:tc>
        <w:tc>
          <w:tcPr>
            <w:tcW w:w="192" w:type="dxa"/>
            <w:tcBorders>
              <w:top w:val="single" w:sz="4" w:space="0" w:color="000000"/>
            </w:tcBorders>
            <w:shd w:fill="auto" w:val="clear"/>
            <w:tcMar>
              <w:top w:w="28" w:type="dxa"/>
            </w:tcM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Shareholders’ equity: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rPr/>
            </w:pPr>
            <w:r>
              <w:rPr/>
              <w:t xml:space="preserve">  </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rPr/>
            </w:pPr>
            <w:r>
              <w:rPr/>
              <w:t xml:space="preserve">  </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widowControl/>
              <w:spacing w:before="0" w:after="0"/>
              <w:ind w:left="0" w:right="0" w:hanging="0"/>
              <w:rPr/>
            </w:pPr>
            <w:r>
              <w:rPr>
                <w:rFonts w:ascii="Times New Roman" w:hAnsi="Times New Roman"/>
                <w:sz w:val="20"/>
              </w:rPr>
              <w:t>Common stock, par val</w:t>
            </w:r>
            <w:r>
              <w:rPr/>
              <w:t>ue $0.001, 50,000,000 shares authorized, 23,955,767 and 22,410,126 shares i</w:t>
            </w:r>
            <w:r>
              <w:rPr>
                <w:rFonts w:ascii="Times New Roman" w:hAnsi="Times New Roman"/>
                <w:b w:val="false"/>
                <w:i w:val="false"/>
                <w:caps w:val="false"/>
                <w:smallCaps w:val="false"/>
                <w:color w:val="000000"/>
                <w:spacing w:val="0"/>
                <w:sz w:val="20"/>
              </w:rPr>
              <w:t>ssued</w:t>
            </w:r>
            <w:r>
              <w:rPr>
                <w:rFonts w:ascii="Times New Roman" w:hAnsi="Times New Roman"/>
                <w:sz w:val="20"/>
              </w:rPr>
              <w:t xml:space="preserve"> and </w:t>
            </w:r>
            <w:r>
              <w:rPr>
                <w:rFonts w:ascii="Times New Roman" w:hAnsi="Times New Roman"/>
                <w:b w:val="false"/>
                <w:i w:val="false"/>
                <w:caps w:val="false"/>
                <w:smallCaps w:val="false"/>
                <w:color w:val="000000"/>
                <w:spacing w:val="0"/>
                <w:sz w:val="20"/>
              </w:rPr>
              <w:t>outstanding</w:t>
            </w:r>
            <w:r>
              <w:rPr>
                <w:rFonts w:ascii="Times New Roman" w:hAnsi="Times New Roman"/>
                <w:sz w:val="20"/>
              </w:rPr>
              <w:t xml:space="preserve">, respectively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c>
          <w:tcPr>
            <w:tcW w:w="139" w:type="dxa"/>
            <w:tcBorders/>
            <w:shd w:fill="auto" w:val="clear"/>
            <w:vAlign w:val="cente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22</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0" w:right="0" w:hanging="0"/>
              <w:rPr/>
            </w:pPr>
            <w:r>
              <w:rPr/>
              <w:t xml:space="preserve">Additional paid-in capital </w:t>
            </w:r>
          </w:p>
        </w:tc>
        <w:tc>
          <w:tcPr>
            <w:tcW w:w="202" w:type="dxa"/>
            <w:tcBorders/>
            <w:shd w:fill="CCEEFF" w:val="clear"/>
            <w:vAlign w:val="center"/>
          </w:tcPr>
          <w:p>
            <w:pPr>
              <w:pStyle w:val="TableContents"/>
              <w:spacing w:before="0" w:after="0"/>
              <w:ind w:left="0" w:right="0" w:hanging="0"/>
              <w:rPr/>
            </w:pPr>
            <w:r>
              <w:rPr/>
              <w:t xml:space="preserve">  </w:t>
            </w:r>
          </w:p>
        </w:tc>
        <w:tc>
          <w:tcPr>
            <w:tcW w:w="78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74,910</w:t>
            </w:r>
          </w:p>
        </w:tc>
        <w:tc>
          <w:tcPr>
            <w:tcW w:w="139" w:type="dxa"/>
            <w:tcBorders/>
            <w:shd w:fill="CCEEFF" w:val="clear"/>
            <w:vAlign w:val="center"/>
          </w:tcPr>
          <w:p>
            <w:pPr>
              <w:pStyle w:val="TableContents"/>
              <w:spacing w:before="0" w:after="0"/>
              <w:ind w:left="0" w:right="0" w:hanging="0"/>
              <w:rPr/>
            </w:pPr>
            <w:r>
              <w:rPr/>
              <w:t xml:space="preserve">  </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c>
          <w:tcPr>
            <w:tcW w:w="7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72,795</w:t>
            </w:r>
          </w:p>
        </w:tc>
        <w:tc>
          <w:tcPr>
            <w:tcW w:w="192" w:type="dxa"/>
            <w:tcBorders/>
            <w:shd w:fill="CCEEFF" w:val="clear"/>
            <w:vAlign w:val="center"/>
          </w:tcPr>
          <w:p>
            <w:pPr>
              <w:pStyle w:val="TableContents"/>
              <w:spacing w:before="0" w:after="0"/>
              <w:ind w:left="0" w:right="0" w:hanging="0"/>
              <w:rPr/>
            </w:pPr>
            <w:r>
              <w:rPr/>
              <w:t xml:space="preserve">  </w:t>
            </w:r>
          </w:p>
        </w:tc>
      </w:tr>
      <w:tr>
        <w:trPr/>
        <w:tc>
          <w:tcPr>
            <w:tcW w:w="778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Accumulated other comprehensive loss </w:t>
            </w:r>
          </w:p>
        </w:tc>
        <w:tc>
          <w:tcPr>
            <w:tcW w:w="202" w:type="dxa"/>
            <w:tcBorders/>
            <w:shd w:fill="auto" w:val="clear"/>
            <w:vAlign w:val="center"/>
          </w:tcPr>
          <w:p>
            <w:pPr>
              <w:pStyle w:val="TableContents"/>
              <w:spacing w:before="0" w:after="0"/>
              <w:ind w:left="0" w:right="0" w:hanging="0"/>
              <w:rPr/>
            </w:pPr>
            <w:r>
              <w:rPr/>
              <w:t xml:space="preserve">  </w:t>
            </w:r>
          </w:p>
        </w:tc>
        <w:tc>
          <w:tcPr>
            <w:tcW w:w="78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(288</w:t>
            </w:r>
          </w:p>
        </w:tc>
        <w:tc>
          <w:tcPr>
            <w:tcW w:w="139" w:type="dxa"/>
            <w:tcBorders/>
            <w:shd w:fill="auto" w:val="clear"/>
            <w:vAlign w:val="center"/>
          </w:tcPr>
          <w:p>
            <w:pPr>
              <w:pStyle w:val="TableContents"/>
              <w:spacing w:before="0" w:after="283"/>
              <w:rPr/>
            </w:pPr>
            <w:r>
              <w:rPr/>
              <w:t>)</w:t>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c>
          <w:tcPr>
            <w:tcW w:w="77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(241</w:t>
            </w:r>
          </w:p>
        </w:tc>
        <w:tc>
          <w:tcPr>
            <w:tcW w:w="192" w:type="dxa"/>
            <w:tcBorders/>
            <w:shd w:fill="auto" w:val="clear"/>
            <w:vAlign w:val="center"/>
          </w:tcPr>
          <w:p>
            <w:pPr>
              <w:pStyle w:val="TableContents"/>
              <w:spacing w:before="0" w:after="283"/>
              <w:rPr/>
            </w:pPr>
            <w:r>
              <w:rPr/>
              <w:t>)</w:t>
            </w:r>
          </w:p>
        </w:tc>
      </w:tr>
      <w:tr>
        <w:trPr/>
        <w:tc>
          <w:tcPr>
            <w:tcW w:w="77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Accumulated deficit </w:t>
            </w:r>
          </w:p>
        </w:tc>
        <w:tc>
          <w:tcPr>
            <w:tcW w:w="202"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88"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(516</w:t>
            </w:r>
          </w:p>
        </w:tc>
        <w:tc>
          <w:tcPr>
            <w:tcW w:w="139" w:type="dxa"/>
            <w:tcBorders/>
            <w:shd w:fill="CCEEFF" w:val="clear"/>
            <w:vAlign w:val="center"/>
          </w:tcPr>
          <w:p>
            <w:pPr>
              <w:pStyle w:val="TableContents"/>
              <w:spacing w:before="0" w:after="283"/>
              <w:rPr/>
            </w:pPr>
            <w:r>
              <w:rPr/>
              <w:t>)</w:t>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71"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(21,072</w:t>
            </w:r>
          </w:p>
        </w:tc>
        <w:tc>
          <w:tcPr>
            <w:tcW w:w="192" w:type="dxa"/>
            <w:tcBorders/>
            <w:shd w:fill="CCEEFF" w:val="clear"/>
            <w:vAlign w:val="bottom"/>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7782"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shareholders’ equity </w:t>
            </w:r>
          </w:p>
        </w:tc>
        <w:tc>
          <w:tcPr>
            <w:tcW w:w="20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88"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74,130</w:t>
            </w:r>
          </w:p>
        </w:tc>
        <w:tc>
          <w:tcPr>
            <w:tcW w:w="13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71"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51,504</w:t>
            </w:r>
          </w:p>
        </w:tc>
        <w:tc>
          <w:tcPr>
            <w:tcW w:w="192" w:type="dxa"/>
            <w:tcBorders/>
            <w:shd w:fill="auto" w:val="clear"/>
            <w:vAlign w:val="center"/>
          </w:tcPr>
          <w:p>
            <w:pPr>
              <w:pStyle w:val="TableContents"/>
              <w:spacing w:before="0" w:after="0"/>
              <w:ind w:left="0" w:right="0" w:hanging="0"/>
              <w:rPr/>
            </w:pPr>
            <w:r>
              <w:rPr/>
              <w:t xml:space="preserve">  </w:t>
            </w:r>
          </w:p>
        </w:tc>
      </w:tr>
      <w:tr>
        <w:trPr/>
        <w:tc>
          <w:tcPr>
            <w:tcW w:w="7782"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liabilities and shareholders’ equity </w:t>
            </w:r>
          </w:p>
        </w:tc>
        <w:tc>
          <w:tcPr>
            <w:tcW w:w="20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83,750</w:t>
            </w:r>
          </w:p>
        </w:tc>
        <w:tc>
          <w:tcPr>
            <w:tcW w:w="139" w:type="dxa"/>
            <w:tcBorders/>
            <w:shd w:fill="CCEEFF" w:val="clear"/>
            <w:vAlign w:val="center"/>
          </w:tcPr>
          <w:p>
            <w:pPr>
              <w:pStyle w:val="TableContents"/>
              <w:spacing w:before="0" w:after="283"/>
              <w:rPr>
                <w:sz w:val="4"/>
                <w:szCs w:val="4"/>
              </w:rPr>
            </w:pPr>
            <w:r>
              <w:rPr>
                <w:sz w:val="4"/>
                <w:szCs w:val="4"/>
              </w:rPr>
            </w:r>
          </w:p>
        </w:tc>
        <w:tc>
          <w:tcPr>
            <w:tcW w:w="124" w:type="dxa"/>
            <w:tcBorders/>
            <w:shd w:fill="CCEEFF" w:val="clear"/>
            <w:vAlign w:val="center"/>
          </w:tcPr>
          <w:p>
            <w:pPr>
              <w:pStyle w:val="TableContents"/>
              <w:spacing w:before="0" w:after="0"/>
              <w:ind w:left="0" w:right="0" w:hanging="0"/>
              <w:rPr/>
            </w:pPr>
            <w:r>
              <w:rPr/>
              <w:t xml:space="preserve">  </w:t>
            </w:r>
          </w:p>
        </w:tc>
        <w:tc>
          <w:tcPr>
            <w:tcW w:w="20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66,192</w:t>
            </w:r>
          </w:p>
        </w:tc>
        <w:tc>
          <w:tcPr>
            <w:tcW w:w="192" w:type="dxa"/>
            <w:tcBorders/>
            <w:shd w:fill="CCEEFF" w:val="clear"/>
            <w:vAlign w:val="center"/>
          </w:tcPr>
          <w:p>
            <w:pPr>
              <w:pStyle w:val="TableContents"/>
              <w:spacing w:before="0" w:after="0"/>
              <w:ind w:left="0" w:right="0" w:hanging="0"/>
              <w:rPr/>
            </w:pPr>
            <w:r>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F-3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ind w:left="0" w:right="0" w:hanging="0"/>
        <w:jc w:val="center"/>
        <w:rPr/>
      </w:pPr>
      <w:hyperlink r:id="rId43">
        <w:bookmarkStart w:id="105" w:name="BCOMP_AYDW9YHYTS00000000000000000000"/>
        <w:bookmarkStart w:id="106" w:name="BCOMP_0OY4LB7DDS00000000000000000000"/>
        <w:bookmarkEnd w:id="105"/>
        <w:bookmarkEnd w:id="106"/>
        <w:r>
          <w:rPr>
            <w:rStyle w:val="VisitedInternetLink"/>
            <w:rFonts w:ascii="times new roman;times" w:hAnsi="times new roman;times"/>
            <w:b/>
            <w:strike w:val="false"/>
            <w:dstrike w:val="false"/>
            <w:color w:val="000000"/>
            <w:sz w:val="20"/>
            <w:u w:val="none"/>
            <w:effect w:val="none"/>
          </w:rPr>
          <w:t>CONSOLIDATED STATEMENTS OF OPERATIONS AND COMPREHENSIVE INCOME (LOSS)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per share amounts)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6236"/>
        <w:gridCol w:w="198"/>
        <w:gridCol w:w="264"/>
        <w:gridCol w:w="1292"/>
        <w:gridCol w:w="197"/>
        <w:gridCol w:w="198"/>
        <w:gridCol w:w="264"/>
        <w:gridCol w:w="1292"/>
        <w:gridCol w:w="264"/>
      </w:tblGrid>
      <w:tr>
        <w:trPr/>
        <w:tc>
          <w:tcPr>
            <w:tcW w:w="6236"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3507"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264" w:type="dxa"/>
            <w:tcBorders/>
            <w:shd w:fill="auto" w:val="clear"/>
            <w:vAlign w:val="center"/>
          </w:tcPr>
          <w:p>
            <w:pPr>
              <w:pStyle w:val="TableContents"/>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15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197"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15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264" w:type="dxa"/>
            <w:tcBorders/>
            <w:shd w:fill="auto" w:val="clear"/>
            <w:vAlign w:val="center"/>
          </w:tcPr>
          <w:p>
            <w:pPr>
              <w:pStyle w:val="TableContents"/>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Revenue</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25,205</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28,967</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Cost of goods sold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bottom w:val="single" w:sz="2" w:space="0" w:color="000000"/>
            </w:tcBorders>
            <w:shd w:fill="auto" w:val="clear"/>
            <w:tcMar>
              <w:bottom w:w="28" w:type="dxa"/>
            </w:tcMar>
            <w:vAlign w:val="center"/>
          </w:tcPr>
          <w:p>
            <w:pPr>
              <w:pStyle w:val="TableContents"/>
              <w:spacing w:before="0" w:after="0"/>
              <w:ind w:left="0" w:right="0" w:hanging="0"/>
              <w:rPr/>
            </w:pPr>
            <w:r>
              <w:rPr/>
              <w:t xml:space="preserve">  </w:t>
            </w:r>
          </w:p>
        </w:tc>
        <w:tc>
          <w:tcPr>
            <w:tcW w:w="1292" w:type="dxa"/>
            <w:tcBorders>
              <w:bottom w:val="single" w:sz="2"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15,748</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bottom w:val="single" w:sz="2"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1292" w:type="dxa"/>
            <w:tcBorders>
              <w:bottom w:val="single" w:sz="2"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17,051</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Gross profit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292" w:type="dxa"/>
            <w:tcBorders>
              <w:bottom w:val="single" w:sz="2"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9,457</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bottom w:val="single" w:sz="2" w:space="0" w:color="000000"/>
            </w:tcBorders>
            <w:shd w:fill="CCEEFF" w:val="clear"/>
            <w:tcMar>
              <w:bottom w:w="28" w:type="dxa"/>
            </w:tcMar>
            <w:vAlign w:val="center"/>
          </w:tcPr>
          <w:p>
            <w:pPr>
              <w:pStyle w:val="TableContents"/>
              <w:pBdr/>
              <w:spacing w:before="0" w:after="0"/>
              <w:ind w:left="0" w:right="0" w:hanging="0"/>
              <w:rPr/>
            </w:pPr>
            <w:r>
              <w:rPr/>
              <w:t xml:space="preserve">  </w:t>
            </w:r>
          </w:p>
        </w:tc>
        <w:tc>
          <w:tcPr>
            <w:tcW w:w="1292" w:type="dxa"/>
            <w:tcBorders>
              <w:bottom w:val="single" w:sz="2"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11,916</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expenses: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rPr/>
            </w:pPr>
            <w:r>
              <w:rPr/>
              <w:t xml:space="preserve">  </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Sales and marketing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5,517</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6,736</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Research and product development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4,390</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5,794</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General and administrative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bottom w:val="single" w:sz="2" w:space="0" w:color="000000"/>
            </w:tcBorders>
            <w:shd w:fill="auto" w:val="clear"/>
            <w:tcMar>
              <w:bottom w:w="28" w:type="dxa"/>
            </w:tcMar>
            <w:vAlign w:val="center"/>
          </w:tcPr>
          <w:p>
            <w:pPr>
              <w:pStyle w:val="TableContents"/>
              <w:spacing w:before="0" w:after="0"/>
              <w:ind w:left="0" w:right="0" w:hanging="0"/>
              <w:rPr/>
            </w:pPr>
            <w:r>
              <w:rPr/>
              <w:t xml:space="preserve">  </w:t>
            </w:r>
          </w:p>
        </w:tc>
        <w:tc>
          <w:tcPr>
            <w:tcW w:w="1292" w:type="dxa"/>
            <w:tcBorders>
              <w:bottom w:val="single" w:sz="2"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6,772</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bottom w:val="single" w:sz="2"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1292" w:type="dxa"/>
            <w:tcBorders>
              <w:bottom w:val="single" w:sz="2"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6,881</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operating expenses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top w:val="single" w:sz="4"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 xml:space="preserve">  </w:t>
            </w:r>
          </w:p>
        </w:tc>
        <w:tc>
          <w:tcPr>
            <w:tcW w:w="1292" w:type="dxa"/>
            <w:tcBorders>
              <w:top w:val="single" w:sz="4" w:space="0" w:color="000000"/>
              <w:bottom w:val="single" w:sz="2" w:space="0" w:color="000000"/>
            </w:tcBorders>
            <w:shd w:fill="CCEEFF"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16,679</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top w:val="single" w:sz="4" w:space="0" w:color="000000"/>
              <w:bottom w:val="single" w:sz="2" w:space="0" w:color="000000"/>
            </w:tcBorders>
            <w:shd w:fill="CCEEFF" w:val="clear"/>
            <w:tcMar>
              <w:top w:w="28" w:type="dxa"/>
              <w:bottom w:w="28" w:type="dxa"/>
            </w:tcMar>
            <w:vAlign w:val="center"/>
          </w:tcPr>
          <w:p>
            <w:pPr>
              <w:pStyle w:val="TableContents"/>
              <w:pBdr/>
              <w:spacing w:before="0" w:after="0"/>
              <w:ind w:left="0" w:right="0" w:hanging="0"/>
              <w:rPr/>
            </w:pPr>
            <w:r>
              <w:rPr/>
              <w:t xml:space="preserve">  </w:t>
            </w:r>
          </w:p>
        </w:tc>
        <w:tc>
          <w:tcPr>
            <w:tcW w:w="1292" w:type="dxa"/>
            <w:tcBorders>
              <w:top w:val="single" w:sz="4" w:space="0" w:color="000000"/>
              <w:bottom w:val="single" w:sz="2" w:space="0" w:color="000000"/>
            </w:tcBorders>
            <w:shd w:fill="CCEEFF"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19,411</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loss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(7,222</w:t>
            </w:r>
          </w:p>
        </w:tc>
        <w:tc>
          <w:tcPr>
            <w:tcW w:w="197" w:type="dxa"/>
            <w:tcBorders/>
            <w:shd w:fill="CCEEFF" w:val="clear"/>
            <w:vAlign w:val="center"/>
          </w:tcPr>
          <w:p>
            <w:pPr>
              <w:pStyle w:val="TableContents"/>
              <w:spacing w:before="0" w:after="0"/>
              <w:ind w:left="0" w:right="0" w:hanging="0"/>
              <w:rPr/>
            </w:pPr>
            <w:r>
              <w:rPr/>
              <w:t>)</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(7,495</w:t>
            </w:r>
          </w:p>
        </w:tc>
        <w:tc>
          <w:tcPr>
            <w:tcW w:w="264" w:type="dxa"/>
            <w:tcBorders/>
            <w:shd w:fill="CCEEFF"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r>
      <w:tr>
        <w:trPr/>
        <w:tc>
          <w:tcPr>
            <w:tcW w:w="6236" w:type="dxa"/>
            <w:tcBorders/>
            <w:shd w:fill="auto" w:val="clear"/>
            <w:vAlign w:val="center"/>
          </w:tcPr>
          <w:p>
            <w:pPr>
              <w:pStyle w:val="TableContents"/>
              <w:spacing w:before="0" w:after="283"/>
              <w:rPr/>
            </w:pPr>
            <w:r>
              <w:rPr/>
              <w:t>Interest expense</w:t>
            </w:r>
          </w:p>
        </w:tc>
        <w:tc>
          <w:tcPr>
            <w:tcW w:w="198" w:type="dxa"/>
            <w:tcBorders/>
            <w:shd w:fill="auto" w:val="clear"/>
            <w:vAlign w:val="center"/>
          </w:tcPr>
          <w:p>
            <w:pPr>
              <w:pStyle w:val="TableContents"/>
              <w:spacing w:before="0" w:after="283"/>
              <w:rPr/>
            </w:pPr>
            <w:r>
              <w:rPr/>
            </w:r>
          </w:p>
        </w:tc>
        <w:tc>
          <w:tcPr>
            <w:tcW w:w="264" w:type="dxa"/>
            <w:tcBorders/>
            <w:shd w:fill="auto" w:val="clear"/>
            <w:vAlign w:val="center"/>
          </w:tcPr>
          <w:p>
            <w:pPr>
              <w:pStyle w:val="TableContents"/>
              <w:spacing w:before="0" w:after="283"/>
              <w:ind w:left="0" w:right="0" w:hanging="0"/>
              <w:rPr/>
            </w:pPr>
            <w:r>
              <w:rPr/>
            </w:r>
          </w:p>
        </w:tc>
        <w:tc>
          <w:tcPr>
            <w:tcW w:w="1292" w:type="dxa"/>
            <w:tcBorders/>
            <w:shd w:fill="auto" w:val="clear"/>
            <w:vAlign w:val="center"/>
          </w:tcPr>
          <w:p>
            <w:pPr>
              <w:pStyle w:val="TableContents"/>
              <w:spacing w:before="0" w:after="0"/>
              <w:ind w:left="0" w:right="0" w:hanging="0"/>
              <w:jc w:val="right"/>
              <w:rPr/>
            </w:pPr>
            <w:r>
              <w:rPr/>
              <w:t>(420</w:t>
            </w:r>
          </w:p>
        </w:tc>
        <w:tc>
          <w:tcPr>
            <w:tcW w:w="197" w:type="dxa"/>
            <w:tcBorders/>
            <w:shd w:fill="auto" w:val="clear"/>
            <w:vAlign w:val="center"/>
          </w:tcPr>
          <w:p>
            <w:pPr>
              <w:pStyle w:val="TableContents"/>
              <w:spacing w:before="0" w:after="0"/>
              <w:ind w:left="0" w:right="0" w:hanging="0"/>
              <w:rPr/>
            </w:pPr>
            <w:r>
              <w:rPr/>
              <w:t>)</w:t>
            </w:r>
          </w:p>
        </w:tc>
        <w:tc>
          <w:tcPr>
            <w:tcW w:w="198" w:type="dxa"/>
            <w:tcBorders/>
            <w:shd w:fill="auto" w:val="clear"/>
            <w:vAlign w:val="center"/>
          </w:tcPr>
          <w:p>
            <w:pPr>
              <w:pStyle w:val="TableContents"/>
              <w:spacing w:before="0" w:after="283"/>
              <w:ind w:left="0" w:right="0" w:hanging="0"/>
              <w:rPr/>
            </w:pPr>
            <w:r>
              <w:rPr/>
            </w:r>
          </w:p>
        </w:tc>
        <w:tc>
          <w:tcPr>
            <w:tcW w:w="264" w:type="dxa"/>
            <w:tcBorders/>
            <w:shd w:fill="auto" w:val="clear"/>
            <w:vAlign w:val="center"/>
          </w:tcPr>
          <w:p>
            <w:pPr>
              <w:pStyle w:val="TableContents"/>
              <w:spacing w:before="0" w:after="283"/>
              <w:ind w:left="0" w:right="0" w:hanging="0"/>
              <w:rPr/>
            </w:pPr>
            <w:r>
              <w:rPr/>
            </w:r>
          </w:p>
        </w:tc>
        <w:tc>
          <w:tcPr>
            <w:tcW w:w="1292" w:type="dxa"/>
            <w:tcBorders/>
            <w:shd w:fill="auto" w:val="clear"/>
            <w:vAlign w:val="center"/>
          </w:tcPr>
          <w:p>
            <w:pPr>
              <w:pStyle w:val="TableContents"/>
              <w:spacing w:before="0" w:after="0"/>
              <w:ind w:left="0" w:right="0" w:hanging="0"/>
              <w:jc w:val="right"/>
              <w:rPr/>
            </w:pPr>
            <w:r>
              <w:rPr/>
              <w:t>(514</w:t>
            </w:r>
          </w:p>
        </w:tc>
        <w:tc>
          <w:tcPr>
            <w:tcW w:w="264" w:type="dxa"/>
            <w:tcBorders/>
            <w:shd w:fill="auto" w:val="clear"/>
            <w:vAlign w:val="center"/>
          </w:tcPr>
          <w:p>
            <w:pPr>
              <w:pStyle w:val="TableContents"/>
              <w:spacing w:before="0" w:after="0"/>
              <w:rPr/>
            </w:pPr>
            <w:r>
              <w:rPr/>
              <w:t>)</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income, net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292" w:type="dxa"/>
            <w:tcBorders>
              <w:bottom w:val="single" w:sz="2"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35,102</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c>
          <w:tcPr>
            <w:tcW w:w="1292" w:type="dxa"/>
            <w:tcBorders>
              <w:bottom w:val="single" w:sz="2"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32</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Income (loss) before income taxes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top w:val="single" w:sz="2" w:space="0" w:color="000000"/>
            </w:tcBorders>
            <w:shd w:fill="auto" w:val="clear"/>
            <w:tcMar>
              <w:top w:w="28" w:type="dxa"/>
            </w:tcMar>
            <w:vAlign w:val="center"/>
          </w:tcPr>
          <w:p>
            <w:pPr>
              <w:pStyle w:val="TableContents"/>
              <w:spacing w:before="0" w:after="0"/>
              <w:ind w:left="0" w:right="0" w:hanging="0"/>
              <w:rPr/>
            </w:pPr>
            <w:r>
              <w:rPr/>
              <w:t xml:space="preserve">  </w:t>
            </w:r>
          </w:p>
        </w:tc>
        <w:tc>
          <w:tcPr>
            <w:tcW w:w="1292" w:type="dxa"/>
            <w:tcBorders>
              <w:top w:val="single" w:sz="2" w:space="0" w:color="000000"/>
            </w:tcBorders>
            <w:shd w:fill="auto" w:val="clear"/>
            <w:tcMar>
              <w:top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27,460</w:t>
            </w:r>
          </w:p>
        </w:tc>
        <w:tc>
          <w:tcPr>
            <w:tcW w:w="197" w:type="dxa"/>
            <w:tcBorders/>
            <w:shd w:fill="auto" w:val="clear"/>
            <w:vAlign w:val="center"/>
          </w:tcPr>
          <w:p>
            <w:pPr>
              <w:pStyle w:val="TableContents"/>
              <w:spacing w:before="0" w:after="283"/>
              <w:ind w:left="0" w:right="0" w:hanging="0"/>
              <w:rPr>
                <w:sz w:val="4"/>
                <w:szCs w:val="4"/>
              </w:rPr>
            </w:pPr>
            <w:r>
              <w:rPr>
                <w:sz w:val="4"/>
                <w:szCs w:val="4"/>
              </w:rPr>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top w:val="single" w:sz="2" w:space="0" w:color="000000"/>
            </w:tcBorders>
            <w:shd w:fill="auto" w:val="clear"/>
            <w:tcMar>
              <w:top w:w="28" w:type="dxa"/>
            </w:tcMar>
            <w:vAlign w:val="center"/>
          </w:tcPr>
          <w:p>
            <w:pPr>
              <w:pStyle w:val="TableContents"/>
              <w:pBdr/>
              <w:spacing w:before="0" w:after="0"/>
              <w:ind w:left="0" w:right="0" w:hanging="0"/>
              <w:rPr/>
            </w:pPr>
            <w:r>
              <w:rPr/>
              <w:t xml:space="preserve">  </w:t>
            </w:r>
          </w:p>
        </w:tc>
        <w:tc>
          <w:tcPr>
            <w:tcW w:w="1292" w:type="dxa"/>
            <w:tcBorders>
              <w:top w:val="single" w:sz="2" w:space="0" w:color="000000"/>
            </w:tcBorders>
            <w:shd w:fill="auto" w:val="clear"/>
            <w:tcMar>
              <w:top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(7,977</w:t>
            </w:r>
          </w:p>
        </w:tc>
        <w:tc>
          <w:tcPr>
            <w:tcW w:w="264" w:type="dxa"/>
            <w:tcBorders/>
            <w:shd w:fill="auto" w:val="clear"/>
            <w:vAlign w:val="center"/>
          </w:tcPr>
          <w:p>
            <w:pPr>
              <w:pStyle w:val="TableContents"/>
              <w:spacing w:before="0" w:after="0"/>
              <w:rPr/>
            </w:pPr>
            <w:r>
              <w:rPr/>
              <w:t>)</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Provision for (benefit from) income taxes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bottom w:val="single" w:sz="2"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292" w:type="dxa"/>
            <w:tcBorders>
              <w:bottom w:val="single" w:sz="2"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6,904</w:t>
            </w:r>
          </w:p>
        </w:tc>
        <w:tc>
          <w:tcPr>
            <w:tcW w:w="197" w:type="dxa"/>
            <w:tcBorders/>
            <w:shd w:fill="CCEEFF" w:val="clear"/>
            <w:vAlign w:val="center"/>
          </w:tcPr>
          <w:p>
            <w:pPr>
              <w:pStyle w:val="TableContents"/>
              <w:spacing w:before="0" w:after="283"/>
              <w:ind w:left="0" w:right="0" w:hanging="0"/>
              <w:rPr>
                <w:sz w:val="4"/>
                <w:szCs w:val="4"/>
              </w:rPr>
            </w:pPr>
            <w:r>
              <w:rPr>
                <w:sz w:val="4"/>
                <w:szCs w:val="4"/>
              </w:rPr>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bottom w:val="single" w:sz="2" w:space="0" w:color="000000"/>
            </w:tcBorders>
            <w:shd w:fill="CCEEFF" w:val="clear"/>
            <w:tcMar>
              <w:bottom w:w="28" w:type="dxa"/>
            </w:tcMar>
            <w:vAlign w:val="center"/>
          </w:tcPr>
          <w:p>
            <w:pPr>
              <w:pStyle w:val="TableContents"/>
              <w:pBdr/>
              <w:spacing w:before="0" w:after="0"/>
              <w:ind w:left="0" w:right="0" w:hanging="0"/>
              <w:rPr/>
            </w:pPr>
            <w:r>
              <w:rPr/>
              <w:t xml:space="preserve">  </w:t>
            </w:r>
          </w:p>
        </w:tc>
        <w:tc>
          <w:tcPr>
            <w:tcW w:w="1292" w:type="dxa"/>
            <w:tcBorders>
              <w:bottom w:val="single" w:sz="2"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(283</w:t>
            </w:r>
          </w:p>
        </w:tc>
        <w:tc>
          <w:tcPr>
            <w:tcW w:w="264" w:type="dxa"/>
            <w:tcBorders/>
            <w:shd w:fill="CCEEFF" w:val="clear"/>
            <w:vAlign w:val="center"/>
          </w:tcPr>
          <w:p>
            <w:pPr>
              <w:pStyle w:val="TableContents"/>
              <w:spacing w:before="0" w:after="0"/>
              <w:rPr/>
            </w:pPr>
            <w:r>
              <w:rPr/>
              <w:t>)</w:t>
            </w:r>
          </w:p>
        </w:tc>
      </w:tr>
      <w:tr>
        <w:trPr/>
        <w:tc>
          <w:tcPr>
            <w:tcW w:w="6236"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Net income (loss)</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bottom w:val="doub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20,556</w:t>
            </w:r>
          </w:p>
        </w:tc>
        <w:tc>
          <w:tcPr>
            <w:tcW w:w="197" w:type="dxa"/>
            <w:tcBorders/>
            <w:shd w:fill="auto" w:val="clear"/>
            <w:vAlign w:val="center"/>
          </w:tcPr>
          <w:p>
            <w:pPr>
              <w:pStyle w:val="TableContents"/>
              <w:spacing w:before="0" w:after="283"/>
              <w:ind w:left="0" w:right="0" w:hanging="0"/>
              <w:rPr>
                <w:sz w:val="4"/>
                <w:szCs w:val="4"/>
              </w:rPr>
            </w:pPr>
            <w:r>
              <w:rPr>
                <w:sz w:val="4"/>
                <w:szCs w:val="4"/>
              </w:rPr>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bottom w:val="double" w:sz="6" w:space="0" w:color="000000"/>
            </w:tcBorders>
            <w:shd w:fill="auto" w:val="clear"/>
            <w:tcMar>
              <w:bottom w:w="28" w:type="dxa"/>
            </w:tcM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bottom w:val="doub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(7,694</w:t>
            </w:r>
          </w:p>
        </w:tc>
        <w:tc>
          <w:tcPr>
            <w:tcW w:w="264" w:type="dxa"/>
            <w:tcBorders/>
            <w:shd w:fill="auto" w:val="clear"/>
            <w:vAlign w:val="center"/>
          </w:tcPr>
          <w:p>
            <w:pPr>
              <w:pStyle w:val="TableContents"/>
              <w:spacing w:before="0" w:after="0"/>
              <w:rPr/>
            </w:pPr>
            <w:r>
              <w:rPr/>
              <w:t>)</w:t>
            </w:r>
          </w:p>
        </w:tc>
      </w:tr>
      <w:tr>
        <w:trPr/>
        <w:tc>
          <w:tcPr>
            <w:tcW w:w="6236" w:type="dxa"/>
            <w:tcBorders/>
            <w:shd w:fill="CCEEFF" w:val="clear"/>
            <w:vAlign w:val="center"/>
          </w:tcPr>
          <w:p>
            <w:pPr>
              <w:pStyle w:val="TableContents"/>
              <w:spacing w:before="0" w:after="0"/>
              <w:ind w:left="0" w:right="0" w:hanging="0"/>
              <w:rPr/>
            </w:pPr>
            <w:r>
              <w:rPr/>
              <w:t xml:space="preserve">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rPr/>
            </w:pPr>
            <w:r>
              <w:rPr/>
              <w:t xml:space="preserve">  </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Basic income (loss) per common share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0.86</w:t>
            </w:r>
          </w:p>
        </w:tc>
        <w:tc>
          <w:tcPr>
            <w:tcW w:w="197" w:type="dxa"/>
            <w:tcBorders/>
            <w:shd w:fill="auto" w:val="clear"/>
            <w:vAlign w:val="center"/>
          </w:tcPr>
          <w:p>
            <w:pPr>
              <w:pStyle w:val="TableContents"/>
              <w:spacing w:before="0" w:after="283"/>
              <w:ind w:left="0" w:right="0" w:hanging="0"/>
              <w:rPr>
                <w:sz w:val="4"/>
                <w:szCs w:val="4"/>
              </w:rPr>
            </w:pPr>
            <w:r>
              <w:rPr>
                <w:sz w:val="4"/>
                <w:szCs w:val="4"/>
              </w:rPr>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(0.39</w:t>
            </w:r>
          </w:p>
        </w:tc>
        <w:tc>
          <w:tcPr>
            <w:tcW w:w="264" w:type="dxa"/>
            <w:tcBorders/>
            <w:shd w:fill="auto" w:val="clear"/>
            <w:vAlign w:val="center"/>
          </w:tcPr>
          <w:p>
            <w:pPr>
              <w:pStyle w:val="TableContents"/>
              <w:spacing w:before="0" w:after="0"/>
              <w:rPr/>
            </w:pPr>
            <w:r>
              <w:rPr/>
              <w:t>)</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Diluted income (loss) per common share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0.83</w:t>
            </w:r>
          </w:p>
        </w:tc>
        <w:tc>
          <w:tcPr>
            <w:tcW w:w="197" w:type="dxa"/>
            <w:tcBorders/>
            <w:shd w:fill="CCEEFF" w:val="clear"/>
            <w:vAlign w:val="center"/>
          </w:tcPr>
          <w:p>
            <w:pPr>
              <w:pStyle w:val="TableContents"/>
              <w:spacing w:before="0" w:after="283"/>
              <w:ind w:left="0" w:right="0" w:hanging="0"/>
              <w:rPr>
                <w:sz w:val="4"/>
                <w:szCs w:val="4"/>
              </w:rPr>
            </w:pPr>
            <w:r>
              <w:rPr>
                <w:sz w:val="4"/>
                <w:szCs w:val="4"/>
              </w:rPr>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(0.39</w:t>
            </w:r>
          </w:p>
        </w:tc>
        <w:tc>
          <w:tcPr>
            <w:tcW w:w="264" w:type="dxa"/>
            <w:tcBorders/>
            <w:shd w:fill="CCEEFF" w:val="clear"/>
            <w:vAlign w:val="center"/>
          </w:tcPr>
          <w:p>
            <w:pPr>
              <w:pStyle w:val="TableContents"/>
              <w:spacing w:before="0" w:after="0"/>
              <w:rPr/>
            </w:pPr>
            <w:r>
              <w:rPr/>
              <w:t>)</w:t>
            </w:r>
          </w:p>
        </w:tc>
      </w:tr>
      <w:tr>
        <w:trPr/>
        <w:tc>
          <w:tcPr>
            <w:tcW w:w="6236"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Basic weighted average shares outstanding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23,937,962</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19,859,817</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Diluted weighted average shares outstanding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25,189,147</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19,859,817</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0" w:right="0" w:hanging="0"/>
              <w:rPr/>
            </w:pPr>
            <w:r>
              <w:rPr/>
              <w:t xml:space="preserve">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rPr/>
            </w:pPr>
            <w:r>
              <w:rPr/>
              <w:t xml:space="preserve">  </w:t>
            </w:r>
          </w:p>
        </w:tc>
        <w:tc>
          <w:tcPr>
            <w:tcW w:w="197" w:type="dxa"/>
            <w:tcBorders/>
            <w:shd w:fill="CCEEFF" w:val="clear"/>
            <w:vAlign w:val="center"/>
          </w:tcPr>
          <w:p>
            <w:pPr>
              <w:pStyle w:val="TableContents"/>
              <w:pBdr/>
              <w:spacing w:before="0" w:after="0"/>
              <w:ind w:left="0" w:right="0" w:hanging="0"/>
              <w:rPr/>
            </w:pPr>
            <w:r>
              <w:rPr/>
              <w:t xml:space="preserve">  </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r>
      <w:tr>
        <w:trPr/>
        <w:tc>
          <w:tcPr>
            <w:tcW w:w="62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Comprehensive income (loss):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 (loss)</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20,556</w:t>
            </w:r>
          </w:p>
        </w:tc>
        <w:tc>
          <w:tcPr>
            <w:tcW w:w="197" w:type="dxa"/>
            <w:tcBorders/>
            <w:shd w:fill="CCEEFF" w:val="clear"/>
            <w:vAlign w:val="center"/>
          </w:tcPr>
          <w:p>
            <w:pPr>
              <w:pStyle w:val="TableContents"/>
              <w:spacing w:before="0" w:after="283"/>
              <w:ind w:left="0" w:right="0" w:hanging="0"/>
              <w:rPr>
                <w:sz w:val="4"/>
                <w:szCs w:val="4"/>
              </w:rPr>
            </w:pPr>
            <w:r>
              <w:rPr>
                <w:sz w:val="4"/>
                <w:szCs w:val="4"/>
              </w:rPr>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(7,694</w:t>
            </w:r>
          </w:p>
        </w:tc>
        <w:tc>
          <w:tcPr>
            <w:tcW w:w="264" w:type="dxa"/>
            <w:tcBorders/>
            <w:shd w:fill="CCEEFF" w:val="clear"/>
            <w:vAlign w:val="center"/>
          </w:tcPr>
          <w:p>
            <w:pPr>
              <w:pStyle w:val="TableContents"/>
              <w:spacing w:before="0" w:after="0"/>
              <w:rPr/>
            </w:pPr>
            <w:r>
              <w:rPr/>
              <w:t>)</w:t>
            </w:r>
          </w:p>
        </w:tc>
      </w:tr>
      <w:tr>
        <w:trPr/>
        <w:tc>
          <w:tcPr>
            <w:tcW w:w="62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comprehensive income (loss):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197" w:type="dxa"/>
            <w:tcBorders/>
            <w:shd w:fill="auto" w:val="clear"/>
            <w:vAlign w:val="center"/>
          </w:tcPr>
          <w:p>
            <w:pPr>
              <w:pStyle w:val="TableContents"/>
              <w:pBdr/>
              <w:spacing w:before="0" w:after="0"/>
              <w:ind w:left="0" w:right="0" w:hanging="0"/>
              <w:rPr/>
            </w:pPr>
            <w:r>
              <w:rPr/>
              <w:t xml:space="preserve">  </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c>
          <w:tcPr>
            <w:tcW w:w="1292" w:type="dxa"/>
            <w:tcBorders/>
            <w:shd w:fill="auto" w:val="clear"/>
            <w:vAlign w:val="center"/>
          </w:tcPr>
          <w:p>
            <w:pPr>
              <w:pStyle w:val="TableContents"/>
              <w:pBdr/>
              <w:spacing w:before="0" w:after="0"/>
              <w:ind w:left="0" w:right="0" w:hanging="0"/>
              <w:rPr/>
            </w:pPr>
            <w:r>
              <w:rPr/>
              <w:t xml:space="preserve">  </w:t>
            </w:r>
          </w:p>
        </w:tc>
        <w:tc>
          <w:tcPr>
            <w:tcW w:w="264" w:type="dxa"/>
            <w:tcBorders/>
            <w:shd w:fill="auto" w:val="clear"/>
            <w:vAlign w:val="center"/>
          </w:tcPr>
          <w:p>
            <w:pPr>
              <w:pStyle w:val="TableContents"/>
              <w:pBdr/>
              <w:spacing w:before="0" w:after="0"/>
              <w:ind w:left="0" w:right="0" w:hanging="0"/>
              <w:rPr/>
            </w:pPr>
            <w:r>
              <w:rPr/>
              <w:t xml:space="preserve">  </w:t>
            </w:r>
          </w:p>
        </w:tc>
      </w:tr>
      <w:tr>
        <w:trPr/>
        <w:tc>
          <w:tcPr>
            <w:tcW w:w="6236"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Unrealized loss on available-for-sale securities, net of tax </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w:t>
            </w:r>
          </w:p>
        </w:tc>
        <w:tc>
          <w:tcPr>
            <w:tcW w:w="197" w:type="dxa"/>
            <w:tcBorders/>
            <w:shd w:fill="CCEEFF" w:val="clear"/>
            <w:vAlign w:val="center"/>
          </w:tcPr>
          <w:p>
            <w:pPr>
              <w:pStyle w:val="TableContents"/>
              <w:spacing w:before="0" w:after="0"/>
              <w:ind w:left="0" w:right="0" w:hanging="0"/>
              <w:rPr/>
            </w:pPr>
            <w:r>
              <w:rPr/>
              <w:t>)</w:t>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shd w:fill="CCEEFF" w:val="clear"/>
            <w:vAlign w:val="center"/>
          </w:tcPr>
          <w:p>
            <w:pPr>
              <w:pStyle w:val="TableContents"/>
              <w:pBdr/>
              <w:spacing w:before="0" w:after="0"/>
              <w:ind w:left="0" w:right="0" w:hanging="0"/>
              <w:rPr/>
            </w:pPr>
            <w:r>
              <w:rPr/>
              <w:t xml:space="preserve">  </w:t>
            </w:r>
          </w:p>
        </w:tc>
        <w:tc>
          <w:tcPr>
            <w:tcW w:w="129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(28</w:t>
            </w:r>
          </w:p>
        </w:tc>
        <w:tc>
          <w:tcPr>
            <w:tcW w:w="264" w:type="dxa"/>
            <w:tcBorders/>
            <w:shd w:fill="CCEEFF" w:val="clear"/>
            <w:vAlign w:val="center"/>
          </w:tcPr>
          <w:p>
            <w:pPr>
              <w:pStyle w:val="TableContents"/>
              <w:spacing w:before="0" w:after="0"/>
              <w:rPr/>
            </w:pPr>
            <w:r>
              <w:rPr/>
              <w:t>)</w:t>
            </w:r>
          </w:p>
        </w:tc>
      </w:tr>
      <w:tr>
        <w:trPr/>
        <w:tc>
          <w:tcPr>
            <w:tcW w:w="6236"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Change in foreign currency translation adjustment </w:t>
            </w:r>
          </w:p>
        </w:tc>
        <w:tc>
          <w:tcPr>
            <w:tcW w:w="198" w:type="dxa"/>
            <w:tcBorders/>
            <w:shd w:fill="auto" w:val="clear"/>
            <w:vAlign w:val="center"/>
          </w:tcPr>
          <w:p>
            <w:pPr>
              <w:pStyle w:val="TableContents"/>
              <w:spacing w:before="0" w:after="0"/>
              <w:ind w:left="0" w:right="0" w:hanging="0"/>
              <w:rPr/>
            </w:pPr>
            <w:r>
              <w:rPr/>
              <w:t xml:space="preserve">  </w:t>
            </w:r>
          </w:p>
        </w:tc>
        <w:tc>
          <w:tcPr>
            <w:tcW w:w="264"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292"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(45</w:t>
            </w:r>
          </w:p>
        </w:tc>
        <w:tc>
          <w:tcPr>
            <w:tcW w:w="197" w:type="dxa"/>
            <w:tcBorders/>
            <w:shd w:fill="auto" w:val="clear"/>
            <w:vAlign w:val="center"/>
          </w:tcPr>
          <w:p>
            <w:pPr>
              <w:pStyle w:val="TableContents"/>
              <w:spacing w:before="0" w:after="0"/>
              <w:ind w:left="0" w:right="0" w:hanging="0"/>
              <w:rPr/>
            </w:pPr>
            <w:r>
              <w:rPr/>
              <w:t>)</w:t>
            </w:r>
          </w:p>
        </w:tc>
        <w:tc>
          <w:tcPr>
            <w:tcW w:w="198" w:type="dxa"/>
            <w:tcBorders/>
            <w:shd w:fill="auto" w:val="clear"/>
            <w:vAlign w:val="center"/>
          </w:tcPr>
          <w:p>
            <w:pPr>
              <w:pStyle w:val="TableContents"/>
              <w:pBdr/>
              <w:spacing w:before="0" w:after="0"/>
              <w:ind w:left="0" w:right="0" w:hanging="0"/>
              <w:rPr/>
            </w:pPr>
            <w:r>
              <w:rPr/>
              <w:t xml:space="preserve">  </w:t>
            </w:r>
          </w:p>
        </w:tc>
        <w:tc>
          <w:tcPr>
            <w:tcW w:w="264"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1292"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(27</w:t>
            </w:r>
          </w:p>
        </w:tc>
        <w:tc>
          <w:tcPr>
            <w:tcW w:w="264" w:type="dxa"/>
            <w:tcBorders/>
            <w:shd w:fill="auto" w:val="clear"/>
            <w:vAlign w:val="center"/>
          </w:tcPr>
          <w:p>
            <w:pPr>
              <w:pStyle w:val="TableContents"/>
              <w:spacing w:before="0" w:after="0"/>
              <w:rPr/>
            </w:pPr>
            <w:r>
              <w:rPr/>
              <w:t>)</w:t>
            </w:r>
          </w:p>
        </w:tc>
      </w:tr>
      <w:tr>
        <w:trPr/>
        <w:tc>
          <w:tcPr>
            <w:tcW w:w="62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Comprehensive income (loss)</w:t>
            </w:r>
          </w:p>
        </w:tc>
        <w:tc>
          <w:tcPr>
            <w:tcW w:w="198" w:type="dxa"/>
            <w:tcBorders/>
            <w:shd w:fill="CCEEFF" w:val="clear"/>
            <w:vAlign w:val="center"/>
          </w:tcPr>
          <w:p>
            <w:pPr>
              <w:pStyle w:val="TableContents"/>
              <w:spacing w:before="0" w:after="0"/>
              <w:ind w:left="0" w:right="0" w:hanging="0"/>
              <w:rPr/>
            </w:pPr>
            <w:r>
              <w:rPr/>
              <w:t xml:space="preserve">  </w:t>
            </w:r>
          </w:p>
        </w:tc>
        <w:tc>
          <w:tcPr>
            <w:tcW w:w="26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bottom w:val="double" w:sz="6"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20,509</w:t>
            </w:r>
          </w:p>
        </w:tc>
        <w:tc>
          <w:tcPr>
            <w:tcW w:w="197" w:type="dxa"/>
            <w:tcBorders/>
            <w:shd w:fill="CCEEFF" w:val="clear"/>
            <w:vAlign w:val="center"/>
          </w:tcPr>
          <w:p>
            <w:pPr>
              <w:pStyle w:val="TableContents"/>
              <w:spacing w:before="0" w:after="283"/>
              <w:ind w:left="0" w:right="0" w:hanging="0"/>
              <w:rPr>
                <w:sz w:val="4"/>
                <w:szCs w:val="4"/>
              </w:rPr>
            </w:pPr>
            <w:r>
              <w:rPr>
                <w:sz w:val="4"/>
                <w:szCs w:val="4"/>
              </w:rPr>
            </w:r>
          </w:p>
        </w:tc>
        <w:tc>
          <w:tcPr>
            <w:tcW w:w="198" w:type="dxa"/>
            <w:tcBorders/>
            <w:shd w:fill="CCEEFF" w:val="clear"/>
            <w:vAlign w:val="center"/>
          </w:tcPr>
          <w:p>
            <w:pPr>
              <w:pStyle w:val="TableContents"/>
              <w:pBdr/>
              <w:spacing w:before="0" w:after="0"/>
              <w:ind w:left="0" w:right="0" w:hanging="0"/>
              <w:rPr/>
            </w:pPr>
            <w:r>
              <w:rPr/>
              <w:t xml:space="preserve">  </w:t>
            </w:r>
          </w:p>
        </w:tc>
        <w:tc>
          <w:tcPr>
            <w:tcW w:w="264" w:type="dxa"/>
            <w:tcBorders>
              <w:bottom w:val="double" w:sz="6" w:space="0" w:color="000000"/>
            </w:tcBorders>
            <w:shd w:fill="CCEEFF" w:val="clear"/>
            <w:tcMar>
              <w:bottom w:w="28" w:type="dxa"/>
            </w:tcM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1292" w:type="dxa"/>
            <w:tcBorders>
              <w:bottom w:val="double" w:sz="6"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(7,749</w:t>
            </w:r>
          </w:p>
        </w:tc>
        <w:tc>
          <w:tcPr>
            <w:tcW w:w="264" w:type="dxa"/>
            <w:tcBorders/>
            <w:shd w:fill="CCEEFF" w:val="clear"/>
            <w:vAlign w:val="center"/>
          </w:tcPr>
          <w:p>
            <w:pPr>
              <w:pStyle w:val="TableContents"/>
              <w:spacing w:before="0" w:after="0"/>
              <w:rPr/>
            </w:pPr>
            <w:r>
              <w:rPr/>
              <w:t>)</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F-4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ind w:left="144" w:right="144" w:hanging="0"/>
        <w:jc w:val="center"/>
        <w:rPr/>
      </w:pPr>
      <w:hyperlink r:id="rId44">
        <w:bookmarkStart w:id="107" w:name="BEQUITY_VYFYECGK8G00000000000000000000"/>
        <w:bookmarkEnd w:id="107"/>
        <w:r>
          <w:rPr>
            <w:rStyle w:val="VisitedInternetLink"/>
            <w:rFonts w:ascii="Times New Roman" w:hAnsi="Times New Roman"/>
            <w:b/>
            <w:strike w:val="false"/>
            <w:dstrike w:val="false"/>
            <w:color w:val="000000"/>
            <w:sz w:val="20"/>
            <w:u w:val="none"/>
            <w:effect w:val="none"/>
          </w:rPr>
          <w:t>CONSOLIDATED STATEMENTS OF SHAREHOLDERS’ EQUITY</w:t>
        </w:r>
      </w:hyperlink>
    </w:p>
    <w:p>
      <w:pPr>
        <w:pStyle w:val="TextBody"/>
        <w:spacing w:before="0" w:after="0"/>
        <w:ind w:left="144" w:right="144" w:hanging="0"/>
        <w:jc w:val="center"/>
        <w:rPr>
          <w:rFonts w:ascii="Times New Roman" w:hAnsi="Times New Roman"/>
          <w:b/>
          <w:sz w:val="20"/>
        </w:rPr>
      </w:pPr>
      <w:r>
        <w:rPr>
          <w:rFonts w:ascii="Times New Roman" w:hAnsi="Times New Roman"/>
          <w:b/>
          <w:sz w:val="20"/>
        </w:rPr>
        <w:t>(Dollars in thousands)</w:t>
      </w:r>
    </w:p>
    <w:p>
      <w:pPr>
        <w:pStyle w:val="TextBody"/>
        <w:spacing w:before="0" w:after="0"/>
        <w:ind w:left="144" w:right="144" w:hanging="0"/>
        <w:jc w:val="center"/>
        <w:rPr/>
      </w:pPr>
      <w:r>
        <w:rPr/>
        <w:t> </w:t>
      </w:r>
    </w:p>
    <w:tbl>
      <w:tblPr>
        <w:tblW w:w="5000" w:type="pct"/>
        <w:jc w:val="left"/>
        <w:tblInd w:w="0" w:type="dxa"/>
        <w:tblCellMar>
          <w:top w:w="0" w:type="dxa"/>
          <w:left w:w="0" w:type="dxa"/>
          <w:bottom w:w="0" w:type="dxa"/>
          <w:right w:w="0" w:type="dxa"/>
        </w:tblCellMar>
      </w:tblPr>
      <w:tblGrid>
        <w:gridCol w:w="5768"/>
        <w:gridCol w:w="189"/>
        <w:gridCol w:w="1817"/>
        <w:gridCol w:w="153"/>
        <w:gridCol w:w="64"/>
        <w:gridCol w:w="189"/>
        <w:gridCol w:w="1817"/>
        <w:gridCol w:w="208"/>
      </w:tblGrid>
      <w:tr>
        <w:trPr/>
        <w:tc>
          <w:tcPr>
            <w:tcW w:w="5768" w:type="dxa"/>
            <w:tcBorders/>
            <w:shd w:fill="auto" w:val="clear"/>
            <w:vAlign w:val="center"/>
          </w:tcPr>
          <w:p>
            <w:pPr>
              <w:pStyle w:val="TableContents"/>
              <w:spacing w:before="0" w:after="0"/>
              <w:ind w:left="0" w:right="0" w:hanging="0"/>
              <w:rPr/>
            </w:pPr>
            <w:r>
              <w:rPr/>
              <w:t> </w:t>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jc w:val="center"/>
              <w:rPr/>
            </w:pPr>
            <w:r>
              <w:rPr>
                <w:rFonts w:ascii="Times New Roman" w:hAnsi="Times New Roman"/>
                <w:b/>
                <w:sz w:val="18"/>
              </w:rPr>
              <w:t xml:space="preserve">Year ended </w:t>
            </w:r>
            <w:r>
              <w:rPr/>
              <w:br/>
            </w:r>
            <w:r>
              <w:rPr>
                <w:rFonts w:ascii="Times New Roman" w:hAnsi="Times New Roman"/>
                <w:b/>
                <w:sz w:val="18"/>
              </w:rPr>
              <w:t>December 31, 2022</w:t>
            </w:r>
          </w:p>
        </w:tc>
        <w:tc>
          <w:tcPr>
            <w:tcW w:w="153" w:type="dxa"/>
            <w:tcBorders/>
            <w:shd w:fill="auto" w:val="clear"/>
            <w:vAlign w:val="center"/>
          </w:tcPr>
          <w:p>
            <w:pPr>
              <w:pStyle w:val="TableContents"/>
              <w:spacing w:before="0" w:after="283"/>
              <w:ind w:left="0" w:right="0" w:hanging="0"/>
              <w:rPr/>
            </w:pPr>
            <w:r>
              <w:rPr/>
            </w:r>
          </w:p>
        </w:tc>
        <w:tc>
          <w:tcPr>
            <w:tcW w:w="64" w:type="dxa"/>
            <w:tcBorders/>
            <w:shd w:fill="auto" w:val="clear"/>
            <w:vAlign w:val="center"/>
          </w:tcPr>
          <w:p>
            <w:pPr>
              <w:pStyle w:val="TableContents"/>
              <w:spacing w:before="0" w:after="283"/>
              <w:ind w:left="0" w:right="0" w:hanging="0"/>
              <w:rPr/>
            </w:pPr>
            <w:r>
              <w:rPr/>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jc w:val="center"/>
              <w:rPr/>
            </w:pPr>
            <w:r>
              <w:rPr>
                <w:rFonts w:ascii="Times New Roman" w:hAnsi="Times New Roman"/>
                <w:b/>
                <w:sz w:val="18"/>
              </w:rPr>
              <w:t xml:space="preserve">Year ended </w:t>
            </w:r>
            <w:r>
              <w:rPr/>
              <w:br/>
            </w:r>
            <w:r>
              <w:rPr>
                <w:rFonts w:ascii="Times New Roman" w:hAnsi="Times New Roman"/>
                <w:b/>
                <w:sz w:val="18"/>
              </w:rPr>
              <w:t>December 31, 2021</w:t>
            </w:r>
          </w:p>
        </w:tc>
        <w:tc>
          <w:tcPr>
            <w:tcW w:w="208" w:type="dxa"/>
            <w:tcBorders/>
            <w:shd w:fill="auto" w:val="clear"/>
            <w:vAlign w:val="center"/>
          </w:tcPr>
          <w:p>
            <w:pPr>
              <w:pStyle w:val="TableContents"/>
              <w:spacing w:before="0" w:after="283"/>
              <w:rPr/>
            </w:pPr>
            <w:r>
              <w:rPr/>
            </w:r>
          </w:p>
        </w:tc>
      </w:tr>
      <w:tr>
        <w:trPr/>
        <w:tc>
          <w:tcPr>
            <w:tcW w:w="5768" w:type="dxa"/>
            <w:tcBorders/>
            <w:shd w:fill="CCEEFF"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Common stock and paid-in capital </w:t>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rPr/>
            </w:pPr>
            <w:r>
              <w:rPr/>
            </w:r>
          </w:p>
        </w:tc>
        <w:tc>
          <w:tcPr>
            <w:tcW w:w="153" w:type="dxa"/>
            <w:tcBorders/>
            <w:shd w:fill="CCEEFF" w:val="clear"/>
            <w:vAlign w:val="center"/>
          </w:tcPr>
          <w:p>
            <w:pPr>
              <w:pStyle w:val="TableContents"/>
              <w:spacing w:before="0" w:after="283"/>
              <w:ind w:left="0" w:right="0" w:hanging="0"/>
              <w:rPr/>
            </w:pPr>
            <w:r>
              <w:rPr/>
            </w:r>
          </w:p>
        </w:tc>
        <w:tc>
          <w:tcPr>
            <w:tcW w:w="64" w:type="dxa"/>
            <w:tcBorders/>
            <w:shd w:fill="CCEEFF" w:val="clear"/>
            <w:vAlign w:val="center"/>
          </w:tcPr>
          <w:p>
            <w:pPr>
              <w:pStyle w:val="TableContents"/>
              <w:spacing w:before="0" w:after="283"/>
              <w:ind w:left="0" w:right="0" w:hanging="0"/>
              <w:rPr/>
            </w:pPr>
            <w:r>
              <w:rPr/>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rPr/>
            </w:pPr>
            <w:r>
              <w:rPr/>
            </w:r>
          </w:p>
        </w:tc>
        <w:tc>
          <w:tcPr>
            <w:tcW w:w="208" w:type="dxa"/>
            <w:tcBorders/>
            <w:shd w:fill="CCEEFF" w:val="clear"/>
            <w:vAlign w:val="center"/>
          </w:tcPr>
          <w:p>
            <w:pPr>
              <w:pStyle w:val="TableContents"/>
              <w:spacing w:before="0" w:after="283"/>
              <w:rPr/>
            </w:pPr>
            <w:r>
              <w:rPr/>
            </w:r>
          </w:p>
        </w:tc>
      </w:tr>
      <w:tr>
        <w:trPr/>
        <w:tc>
          <w:tcPr>
            <w:tcW w:w="576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beginning of year</w:t>
            </w:r>
          </w:p>
        </w:tc>
        <w:tc>
          <w:tcPr>
            <w:tcW w:w="189"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72,817</w:t>
            </w:r>
          </w:p>
        </w:tc>
        <w:tc>
          <w:tcPr>
            <w:tcW w:w="153" w:type="dxa"/>
            <w:tcBorders/>
            <w:shd w:fill="auto" w:val="clear"/>
            <w:vAlign w:val="center"/>
          </w:tcPr>
          <w:p>
            <w:pPr>
              <w:pStyle w:val="TableContents"/>
              <w:spacing w:before="0" w:after="283"/>
              <w:ind w:left="0" w:right="0" w:hanging="0"/>
              <w:rPr/>
            </w:pPr>
            <w:r>
              <w:rPr/>
            </w:r>
          </w:p>
        </w:tc>
        <w:tc>
          <w:tcPr>
            <w:tcW w:w="64" w:type="dxa"/>
            <w:tcBorders/>
            <w:shd w:fill="auto" w:val="clear"/>
            <w:vAlign w:val="center"/>
          </w:tcPr>
          <w:p>
            <w:pPr>
              <w:pStyle w:val="TableContents"/>
              <w:spacing w:before="0" w:after="283"/>
              <w:ind w:left="0" w:right="0" w:hanging="0"/>
              <w:rPr/>
            </w:pPr>
            <w:r>
              <w:rPr/>
            </w:r>
          </w:p>
        </w:tc>
        <w:tc>
          <w:tcPr>
            <w:tcW w:w="189" w:type="dxa"/>
            <w:tcBorders/>
            <w:shd w:fill="auto"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63,378</w:t>
            </w:r>
          </w:p>
        </w:tc>
        <w:tc>
          <w:tcPr>
            <w:tcW w:w="208" w:type="dxa"/>
            <w:tcBorders/>
            <w:shd w:fill="auto" w:val="clear"/>
            <w:vAlign w:val="center"/>
          </w:tcPr>
          <w:p>
            <w:pPr>
              <w:pStyle w:val="TableContents"/>
              <w:spacing w:before="0" w:after="283"/>
              <w:rPr/>
            </w:pPr>
            <w:r>
              <w:rPr/>
            </w:r>
          </w:p>
        </w:tc>
      </w:tr>
      <w:tr>
        <w:trPr/>
        <w:tc>
          <w:tcPr>
            <w:tcW w:w="57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Issuance of common stock </w:t>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2,000</w:t>
            </w:r>
          </w:p>
        </w:tc>
        <w:tc>
          <w:tcPr>
            <w:tcW w:w="153" w:type="dxa"/>
            <w:tcBorders/>
            <w:shd w:fill="CCEEFF" w:val="clear"/>
            <w:vAlign w:val="center"/>
          </w:tcPr>
          <w:p>
            <w:pPr>
              <w:pStyle w:val="TableContents"/>
              <w:spacing w:before="0" w:after="283"/>
              <w:ind w:left="0" w:right="0" w:hanging="0"/>
              <w:rPr/>
            </w:pPr>
            <w:r>
              <w:rPr/>
            </w:r>
          </w:p>
        </w:tc>
        <w:tc>
          <w:tcPr>
            <w:tcW w:w="64" w:type="dxa"/>
            <w:tcBorders/>
            <w:shd w:fill="CCEEFF" w:val="clear"/>
            <w:vAlign w:val="center"/>
          </w:tcPr>
          <w:p>
            <w:pPr>
              <w:pStyle w:val="TableContents"/>
              <w:spacing w:before="0" w:after="283"/>
              <w:ind w:left="0" w:right="0" w:hanging="0"/>
              <w:rPr/>
            </w:pPr>
            <w:r>
              <w:rPr/>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9,288</w:t>
            </w:r>
          </w:p>
        </w:tc>
        <w:tc>
          <w:tcPr>
            <w:tcW w:w="208" w:type="dxa"/>
            <w:tcBorders/>
            <w:shd w:fill="CCEEFF" w:val="clear"/>
            <w:vAlign w:val="center"/>
          </w:tcPr>
          <w:p>
            <w:pPr>
              <w:pStyle w:val="TableContents"/>
              <w:spacing w:before="0" w:after="283"/>
              <w:rPr/>
            </w:pPr>
            <w:r>
              <w:rPr/>
            </w:r>
          </w:p>
        </w:tc>
      </w:tr>
      <w:tr>
        <w:trPr/>
        <w:tc>
          <w:tcPr>
            <w:tcW w:w="576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Share-based compensation expense </w:t>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113</w:t>
            </w:r>
          </w:p>
        </w:tc>
        <w:tc>
          <w:tcPr>
            <w:tcW w:w="153" w:type="dxa"/>
            <w:tcBorders/>
            <w:shd w:fill="auto" w:val="clear"/>
            <w:vAlign w:val="center"/>
          </w:tcPr>
          <w:p>
            <w:pPr>
              <w:pStyle w:val="TableContents"/>
              <w:spacing w:before="0" w:after="283"/>
              <w:ind w:left="0" w:right="0" w:hanging="0"/>
              <w:rPr/>
            </w:pPr>
            <w:r>
              <w:rPr/>
            </w:r>
          </w:p>
        </w:tc>
        <w:tc>
          <w:tcPr>
            <w:tcW w:w="64" w:type="dxa"/>
            <w:tcBorders/>
            <w:shd w:fill="auto" w:val="clear"/>
            <w:vAlign w:val="center"/>
          </w:tcPr>
          <w:p>
            <w:pPr>
              <w:pStyle w:val="TableContents"/>
              <w:spacing w:before="0" w:after="283"/>
              <w:ind w:left="0" w:right="0" w:hanging="0"/>
              <w:rPr/>
            </w:pPr>
            <w:r>
              <w:rPr/>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136</w:t>
            </w:r>
          </w:p>
        </w:tc>
        <w:tc>
          <w:tcPr>
            <w:tcW w:w="208" w:type="dxa"/>
            <w:tcBorders/>
            <w:shd w:fill="auto" w:val="clear"/>
            <w:vAlign w:val="center"/>
          </w:tcPr>
          <w:p>
            <w:pPr>
              <w:pStyle w:val="TableContents"/>
              <w:spacing w:before="0" w:after="283"/>
              <w:rPr/>
            </w:pPr>
            <w:r>
              <w:rPr/>
            </w:r>
          </w:p>
        </w:tc>
      </w:tr>
      <w:tr>
        <w:trPr/>
        <w:tc>
          <w:tcPr>
            <w:tcW w:w="57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Proceeds from employee stock purchase plan </w:t>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w:t>
            </w:r>
          </w:p>
        </w:tc>
        <w:tc>
          <w:tcPr>
            <w:tcW w:w="153" w:type="dxa"/>
            <w:tcBorders/>
            <w:shd w:fill="CCEEFF" w:val="clear"/>
            <w:vAlign w:val="center"/>
          </w:tcPr>
          <w:p>
            <w:pPr>
              <w:pStyle w:val="TableContents"/>
              <w:spacing w:before="0" w:after="283"/>
              <w:ind w:left="0" w:right="0" w:hanging="0"/>
              <w:rPr/>
            </w:pPr>
            <w:r>
              <w:rPr/>
            </w:r>
          </w:p>
        </w:tc>
        <w:tc>
          <w:tcPr>
            <w:tcW w:w="64" w:type="dxa"/>
            <w:tcBorders/>
            <w:shd w:fill="CCEEFF" w:val="clear"/>
            <w:vAlign w:val="center"/>
          </w:tcPr>
          <w:p>
            <w:pPr>
              <w:pStyle w:val="TableContents"/>
              <w:spacing w:before="0" w:after="283"/>
              <w:ind w:left="0" w:right="0" w:hanging="0"/>
              <w:rPr/>
            </w:pPr>
            <w:r>
              <w:rPr/>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15</w:t>
            </w:r>
          </w:p>
        </w:tc>
        <w:tc>
          <w:tcPr>
            <w:tcW w:w="208" w:type="dxa"/>
            <w:tcBorders/>
            <w:shd w:fill="CCEEFF" w:val="clear"/>
            <w:vAlign w:val="center"/>
          </w:tcPr>
          <w:p>
            <w:pPr>
              <w:pStyle w:val="TableContents"/>
              <w:spacing w:before="0" w:after="283"/>
              <w:rPr/>
            </w:pPr>
            <w:r>
              <w:rPr/>
            </w:r>
          </w:p>
        </w:tc>
      </w:tr>
      <w:tr>
        <w:trPr/>
        <w:tc>
          <w:tcPr>
            <w:tcW w:w="576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end of year</w:t>
            </w:r>
          </w:p>
        </w:tc>
        <w:tc>
          <w:tcPr>
            <w:tcW w:w="189" w:type="dxa"/>
            <w:tcBorders>
              <w:top w:val="single" w:sz="2" w:space="0" w:color="000000"/>
              <w:bottom w:val="single" w:sz="2" w:space="0" w:color="000000"/>
            </w:tcBorders>
            <w:shd w:fill="auto"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top w:val="single" w:sz="2" w:space="0" w:color="000000"/>
              <w:bottom w:val="single" w:sz="2" w:space="0" w:color="000000"/>
            </w:tcBorders>
            <w:shd w:fill="auto"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74,934</w:t>
            </w:r>
          </w:p>
        </w:tc>
        <w:tc>
          <w:tcPr>
            <w:tcW w:w="153" w:type="dxa"/>
            <w:tcBorders/>
            <w:shd w:fill="auto" w:val="clear"/>
            <w:vAlign w:val="center"/>
          </w:tcPr>
          <w:p>
            <w:pPr>
              <w:pStyle w:val="TableContents"/>
              <w:spacing w:before="0" w:after="283"/>
              <w:ind w:left="0" w:right="0" w:hanging="0"/>
              <w:rPr/>
            </w:pPr>
            <w:r>
              <w:rPr/>
            </w:r>
          </w:p>
        </w:tc>
        <w:tc>
          <w:tcPr>
            <w:tcW w:w="64" w:type="dxa"/>
            <w:tcBorders/>
            <w:shd w:fill="auto" w:val="clear"/>
            <w:vAlign w:val="center"/>
          </w:tcPr>
          <w:p>
            <w:pPr>
              <w:pStyle w:val="TableContents"/>
              <w:spacing w:before="0" w:after="283"/>
              <w:ind w:left="0" w:right="0" w:hanging="0"/>
              <w:rPr/>
            </w:pPr>
            <w:r>
              <w:rPr/>
            </w:r>
          </w:p>
        </w:tc>
        <w:tc>
          <w:tcPr>
            <w:tcW w:w="189" w:type="dxa"/>
            <w:tcBorders>
              <w:top w:val="single" w:sz="2" w:space="0" w:color="000000"/>
              <w:bottom w:val="single" w:sz="2" w:space="0" w:color="000000"/>
            </w:tcBorders>
            <w:shd w:fill="auto"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top w:val="single" w:sz="2" w:space="0" w:color="000000"/>
              <w:bottom w:val="single" w:sz="2" w:space="0" w:color="000000"/>
            </w:tcBorders>
            <w:shd w:fill="auto"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72,817</w:t>
            </w:r>
          </w:p>
        </w:tc>
        <w:tc>
          <w:tcPr>
            <w:tcW w:w="208" w:type="dxa"/>
            <w:tcBorders/>
            <w:shd w:fill="auto" w:val="clear"/>
            <w:vAlign w:val="center"/>
          </w:tcPr>
          <w:p>
            <w:pPr>
              <w:pStyle w:val="TableContents"/>
              <w:spacing w:before="0" w:after="283"/>
              <w:rPr/>
            </w:pPr>
            <w:r>
              <w:rPr/>
            </w:r>
          </w:p>
        </w:tc>
      </w:tr>
      <w:tr>
        <w:trPr/>
        <w:tc>
          <w:tcPr>
            <w:tcW w:w="5768" w:type="dxa"/>
            <w:tcBorders/>
            <w:shd w:fill="CCEEFF" w:val="clear"/>
            <w:vAlign w:val="center"/>
          </w:tcPr>
          <w:p>
            <w:pPr>
              <w:pStyle w:val="TableContents"/>
              <w:spacing w:before="0" w:after="0"/>
              <w:ind w:left="0" w:right="0" w:hanging="0"/>
              <w:rPr/>
            </w:pPr>
            <w:r>
              <w:rPr/>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rPr/>
            </w:pPr>
            <w:r>
              <w:rPr/>
            </w:r>
          </w:p>
        </w:tc>
        <w:tc>
          <w:tcPr>
            <w:tcW w:w="153" w:type="dxa"/>
            <w:tcBorders/>
            <w:shd w:fill="CCEEFF" w:val="clear"/>
            <w:vAlign w:val="center"/>
          </w:tcPr>
          <w:p>
            <w:pPr>
              <w:pStyle w:val="TableContents"/>
              <w:spacing w:before="0" w:after="283"/>
              <w:ind w:left="0" w:right="0" w:hanging="0"/>
              <w:rPr/>
            </w:pPr>
            <w:r>
              <w:rPr/>
            </w:r>
          </w:p>
        </w:tc>
        <w:tc>
          <w:tcPr>
            <w:tcW w:w="64" w:type="dxa"/>
            <w:tcBorders/>
            <w:shd w:fill="CCEEFF" w:val="clear"/>
            <w:vAlign w:val="center"/>
          </w:tcPr>
          <w:p>
            <w:pPr>
              <w:pStyle w:val="TableContents"/>
              <w:spacing w:before="0" w:after="283"/>
              <w:ind w:left="0" w:right="0" w:hanging="0"/>
              <w:rPr/>
            </w:pPr>
            <w:r>
              <w:rPr/>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rPr/>
            </w:pPr>
            <w:r>
              <w:rPr/>
            </w:r>
          </w:p>
        </w:tc>
        <w:tc>
          <w:tcPr>
            <w:tcW w:w="208" w:type="dxa"/>
            <w:tcBorders/>
            <w:shd w:fill="CCEEFF" w:val="clear"/>
            <w:vAlign w:val="center"/>
          </w:tcPr>
          <w:p>
            <w:pPr>
              <w:pStyle w:val="TableContents"/>
              <w:spacing w:before="0" w:after="283"/>
              <w:rPr/>
            </w:pPr>
            <w:r>
              <w:rPr/>
            </w:r>
          </w:p>
        </w:tc>
      </w:tr>
      <w:tr>
        <w:trPr/>
        <w:tc>
          <w:tcPr>
            <w:tcW w:w="5768"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 xml:space="preserve">Accumulated other comprehensive loss </w:t>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rPr/>
            </w:pPr>
            <w:r>
              <w:rPr/>
            </w:r>
          </w:p>
        </w:tc>
        <w:tc>
          <w:tcPr>
            <w:tcW w:w="153" w:type="dxa"/>
            <w:tcBorders/>
            <w:shd w:fill="auto" w:val="clear"/>
            <w:vAlign w:val="center"/>
          </w:tcPr>
          <w:p>
            <w:pPr>
              <w:pStyle w:val="TableContents"/>
              <w:spacing w:before="0" w:after="283"/>
              <w:ind w:left="0" w:right="0" w:hanging="0"/>
              <w:rPr/>
            </w:pPr>
            <w:r>
              <w:rPr/>
            </w:r>
          </w:p>
        </w:tc>
        <w:tc>
          <w:tcPr>
            <w:tcW w:w="64" w:type="dxa"/>
            <w:tcBorders/>
            <w:shd w:fill="auto" w:val="clear"/>
            <w:vAlign w:val="center"/>
          </w:tcPr>
          <w:p>
            <w:pPr>
              <w:pStyle w:val="TableContents"/>
              <w:spacing w:before="0" w:after="283"/>
              <w:ind w:left="0" w:right="0" w:hanging="0"/>
              <w:rPr/>
            </w:pPr>
            <w:r>
              <w:rPr/>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rPr/>
            </w:pPr>
            <w:r>
              <w:rPr/>
            </w:r>
          </w:p>
        </w:tc>
        <w:tc>
          <w:tcPr>
            <w:tcW w:w="208" w:type="dxa"/>
            <w:tcBorders/>
            <w:shd w:fill="auto" w:val="clear"/>
            <w:vAlign w:val="center"/>
          </w:tcPr>
          <w:p>
            <w:pPr>
              <w:pStyle w:val="TableContents"/>
              <w:spacing w:before="0" w:after="283"/>
              <w:rPr/>
            </w:pPr>
            <w:r>
              <w:rPr/>
            </w:r>
          </w:p>
        </w:tc>
      </w:tr>
      <w:tr>
        <w:trPr/>
        <w:tc>
          <w:tcPr>
            <w:tcW w:w="57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beginning of year</w:t>
            </w:r>
          </w:p>
        </w:tc>
        <w:tc>
          <w:tcPr>
            <w:tcW w:w="189"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(241</w:t>
            </w:r>
          </w:p>
        </w:tc>
        <w:tc>
          <w:tcPr>
            <w:tcW w:w="153" w:type="dxa"/>
            <w:tcBorders/>
            <w:shd w:fill="CCEEFF" w:val="clear"/>
            <w:vAlign w:val="center"/>
          </w:tcPr>
          <w:p>
            <w:pPr>
              <w:pStyle w:val="TableContents"/>
              <w:spacing w:before="0" w:after="0"/>
              <w:ind w:left="0" w:right="0" w:hanging="0"/>
              <w:jc w:val="left"/>
              <w:rPr/>
            </w:pPr>
            <w:r>
              <w:rPr/>
              <w:t>)</w:t>
            </w:r>
          </w:p>
        </w:tc>
        <w:tc>
          <w:tcPr>
            <w:tcW w:w="64" w:type="dxa"/>
            <w:tcBorders/>
            <w:shd w:fill="CCEEFF" w:val="clear"/>
            <w:vAlign w:val="center"/>
          </w:tcPr>
          <w:p>
            <w:pPr>
              <w:pStyle w:val="TableContents"/>
              <w:spacing w:before="0" w:after="283"/>
              <w:ind w:left="0" w:right="0" w:hanging="0"/>
              <w:rPr/>
            </w:pPr>
            <w:r>
              <w:rPr/>
            </w:r>
          </w:p>
        </w:tc>
        <w:tc>
          <w:tcPr>
            <w:tcW w:w="189"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(186</w:t>
            </w:r>
          </w:p>
        </w:tc>
        <w:tc>
          <w:tcPr>
            <w:tcW w:w="208" w:type="dxa"/>
            <w:tcBorders/>
            <w:shd w:fill="CCEEFF" w:val="clear"/>
            <w:vAlign w:val="center"/>
          </w:tcPr>
          <w:p>
            <w:pPr>
              <w:pStyle w:val="TableContents"/>
              <w:spacing w:before="0" w:after="0"/>
              <w:jc w:val="left"/>
              <w:rPr/>
            </w:pPr>
            <w:r>
              <w:rPr/>
              <w:t>)</w:t>
            </w:r>
          </w:p>
        </w:tc>
      </w:tr>
      <w:tr>
        <w:trPr/>
        <w:tc>
          <w:tcPr>
            <w:tcW w:w="576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Unrealized loss on available-for-sale securities, net of tax </w:t>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w:t>
            </w:r>
          </w:p>
        </w:tc>
        <w:tc>
          <w:tcPr>
            <w:tcW w:w="153" w:type="dxa"/>
            <w:tcBorders/>
            <w:shd w:fill="auto" w:val="clear"/>
            <w:vAlign w:val="center"/>
          </w:tcPr>
          <w:p>
            <w:pPr>
              <w:pStyle w:val="TableContents"/>
              <w:spacing w:before="0" w:after="0"/>
              <w:ind w:left="0" w:right="0" w:hanging="0"/>
              <w:jc w:val="left"/>
              <w:rPr/>
            </w:pPr>
            <w:r>
              <w:rPr/>
              <w:t>)</w:t>
            </w:r>
          </w:p>
        </w:tc>
        <w:tc>
          <w:tcPr>
            <w:tcW w:w="64" w:type="dxa"/>
            <w:tcBorders/>
            <w:shd w:fill="auto" w:val="clear"/>
            <w:vAlign w:val="center"/>
          </w:tcPr>
          <w:p>
            <w:pPr>
              <w:pStyle w:val="TableContents"/>
              <w:spacing w:before="0" w:after="283"/>
              <w:ind w:left="0" w:right="0" w:hanging="0"/>
              <w:rPr/>
            </w:pPr>
            <w:r>
              <w:rPr/>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(28</w:t>
            </w:r>
          </w:p>
        </w:tc>
        <w:tc>
          <w:tcPr>
            <w:tcW w:w="208" w:type="dxa"/>
            <w:tcBorders/>
            <w:shd w:fill="auto" w:val="clear"/>
            <w:vAlign w:val="center"/>
          </w:tcPr>
          <w:p>
            <w:pPr>
              <w:pStyle w:val="TableContents"/>
              <w:spacing w:before="0" w:after="0"/>
              <w:jc w:val="left"/>
              <w:rPr/>
            </w:pPr>
            <w:r>
              <w:rPr/>
              <w:t>)</w:t>
            </w:r>
          </w:p>
        </w:tc>
      </w:tr>
      <w:tr>
        <w:trPr/>
        <w:tc>
          <w:tcPr>
            <w:tcW w:w="57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Foreign currency translation adjustment </w:t>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(45</w:t>
            </w:r>
          </w:p>
        </w:tc>
        <w:tc>
          <w:tcPr>
            <w:tcW w:w="153" w:type="dxa"/>
            <w:tcBorders/>
            <w:shd w:fill="CCEEFF" w:val="clear"/>
            <w:vAlign w:val="center"/>
          </w:tcPr>
          <w:p>
            <w:pPr>
              <w:pStyle w:val="TableContents"/>
              <w:spacing w:before="0" w:after="0"/>
              <w:ind w:left="0" w:right="0" w:hanging="0"/>
              <w:jc w:val="left"/>
              <w:rPr/>
            </w:pPr>
            <w:r>
              <w:rPr/>
              <w:t>)</w:t>
            </w:r>
          </w:p>
        </w:tc>
        <w:tc>
          <w:tcPr>
            <w:tcW w:w="64" w:type="dxa"/>
            <w:tcBorders/>
            <w:shd w:fill="CCEEFF" w:val="clear"/>
            <w:vAlign w:val="center"/>
          </w:tcPr>
          <w:p>
            <w:pPr>
              <w:pStyle w:val="TableContents"/>
              <w:spacing w:before="0" w:after="283"/>
              <w:ind w:left="0" w:right="0" w:hanging="0"/>
              <w:rPr/>
            </w:pPr>
            <w:r>
              <w:rPr/>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(27</w:t>
            </w:r>
          </w:p>
        </w:tc>
        <w:tc>
          <w:tcPr>
            <w:tcW w:w="208" w:type="dxa"/>
            <w:tcBorders/>
            <w:shd w:fill="CCEEFF" w:val="clear"/>
            <w:vAlign w:val="center"/>
          </w:tcPr>
          <w:p>
            <w:pPr>
              <w:pStyle w:val="TableContents"/>
              <w:spacing w:before="0" w:after="0"/>
              <w:jc w:val="left"/>
              <w:rPr/>
            </w:pPr>
            <w:r>
              <w:rPr/>
              <w:t>)</w:t>
            </w:r>
          </w:p>
        </w:tc>
      </w:tr>
      <w:tr>
        <w:trPr/>
        <w:tc>
          <w:tcPr>
            <w:tcW w:w="576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end of year</w:t>
            </w:r>
          </w:p>
        </w:tc>
        <w:tc>
          <w:tcPr>
            <w:tcW w:w="189" w:type="dxa"/>
            <w:tcBorders>
              <w:top w:val="single" w:sz="2" w:space="0" w:color="000000"/>
              <w:bottom w:val="single" w:sz="2" w:space="0" w:color="000000"/>
            </w:tcBorders>
            <w:shd w:fill="auto"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top w:val="single" w:sz="2" w:space="0" w:color="000000"/>
              <w:bottom w:val="single" w:sz="2" w:space="0" w:color="000000"/>
            </w:tcBorders>
            <w:shd w:fill="auto"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(288</w:t>
            </w:r>
          </w:p>
        </w:tc>
        <w:tc>
          <w:tcPr>
            <w:tcW w:w="153" w:type="dxa"/>
            <w:tcBorders/>
            <w:shd w:fill="auto" w:val="clear"/>
            <w:vAlign w:val="center"/>
          </w:tcPr>
          <w:p>
            <w:pPr>
              <w:pStyle w:val="TableContents"/>
              <w:spacing w:before="0" w:after="0"/>
              <w:ind w:left="0" w:right="0" w:hanging="0"/>
              <w:jc w:val="left"/>
              <w:rPr/>
            </w:pPr>
            <w:r>
              <w:rPr/>
              <w:t>)</w:t>
            </w:r>
          </w:p>
        </w:tc>
        <w:tc>
          <w:tcPr>
            <w:tcW w:w="64" w:type="dxa"/>
            <w:tcBorders/>
            <w:shd w:fill="auto" w:val="clear"/>
            <w:vAlign w:val="center"/>
          </w:tcPr>
          <w:p>
            <w:pPr>
              <w:pStyle w:val="TableContents"/>
              <w:spacing w:before="0" w:after="283"/>
              <w:ind w:left="0" w:right="0" w:hanging="0"/>
              <w:rPr/>
            </w:pPr>
            <w:r>
              <w:rPr/>
            </w:r>
          </w:p>
        </w:tc>
        <w:tc>
          <w:tcPr>
            <w:tcW w:w="189" w:type="dxa"/>
            <w:tcBorders>
              <w:top w:val="single" w:sz="2" w:space="0" w:color="000000"/>
              <w:bottom w:val="single" w:sz="2" w:space="0" w:color="000000"/>
            </w:tcBorders>
            <w:shd w:fill="auto"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top w:val="single" w:sz="2" w:space="0" w:color="000000"/>
              <w:bottom w:val="single" w:sz="2" w:space="0" w:color="000000"/>
            </w:tcBorders>
            <w:shd w:fill="auto"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(241</w:t>
            </w:r>
          </w:p>
        </w:tc>
        <w:tc>
          <w:tcPr>
            <w:tcW w:w="208" w:type="dxa"/>
            <w:tcBorders/>
            <w:shd w:fill="auto" w:val="clear"/>
            <w:vAlign w:val="bottom"/>
          </w:tcPr>
          <w:p>
            <w:pPr>
              <w:pStyle w:val="TableContents"/>
              <w:spacing w:before="0" w:after="0"/>
              <w:jc w:val="left"/>
              <w:rPr/>
            </w:pPr>
            <w:r>
              <w:rPr/>
              <w:t>)</w:t>
            </w:r>
          </w:p>
        </w:tc>
      </w:tr>
      <w:tr>
        <w:trPr/>
        <w:tc>
          <w:tcPr>
            <w:tcW w:w="5768" w:type="dxa"/>
            <w:tcBorders/>
            <w:shd w:fill="CCEEFF" w:val="clear"/>
            <w:vAlign w:val="center"/>
          </w:tcPr>
          <w:p>
            <w:pPr>
              <w:pStyle w:val="TableContents"/>
              <w:spacing w:before="0" w:after="0"/>
              <w:ind w:left="0" w:right="0" w:hanging="0"/>
              <w:rPr/>
            </w:pPr>
            <w:r>
              <w:rPr/>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rPr/>
            </w:pPr>
            <w:r>
              <w:rPr/>
            </w:r>
          </w:p>
        </w:tc>
        <w:tc>
          <w:tcPr>
            <w:tcW w:w="153" w:type="dxa"/>
            <w:tcBorders/>
            <w:shd w:fill="CCEEFF" w:val="clear"/>
            <w:vAlign w:val="center"/>
          </w:tcPr>
          <w:p>
            <w:pPr>
              <w:pStyle w:val="TableContents"/>
              <w:spacing w:before="0" w:after="283"/>
              <w:ind w:left="0" w:right="0" w:hanging="0"/>
              <w:rPr/>
            </w:pPr>
            <w:r>
              <w:rPr/>
            </w:r>
          </w:p>
        </w:tc>
        <w:tc>
          <w:tcPr>
            <w:tcW w:w="64" w:type="dxa"/>
            <w:tcBorders/>
            <w:shd w:fill="CCEEFF" w:val="clear"/>
            <w:vAlign w:val="center"/>
          </w:tcPr>
          <w:p>
            <w:pPr>
              <w:pStyle w:val="TableContents"/>
              <w:spacing w:before="0" w:after="283"/>
              <w:ind w:left="0" w:right="0" w:hanging="0"/>
              <w:rPr/>
            </w:pPr>
            <w:r>
              <w:rPr/>
            </w:r>
          </w:p>
        </w:tc>
        <w:tc>
          <w:tcPr>
            <w:tcW w:w="189" w:type="dxa"/>
            <w:tcBorders/>
            <w:shd w:fill="CCEEFF" w:val="clear"/>
            <w:vAlign w:val="center"/>
          </w:tcPr>
          <w:p>
            <w:pPr>
              <w:pStyle w:val="TableContents"/>
              <w:spacing w:before="0" w:after="283"/>
              <w:ind w:left="0" w:right="0" w:hanging="0"/>
              <w:rPr/>
            </w:pPr>
            <w:r>
              <w:rPr/>
            </w:r>
          </w:p>
        </w:tc>
        <w:tc>
          <w:tcPr>
            <w:tcW w:w="1817" w:type="dxa"/>
            <w:tcBorders/>
            <w:shd w:fill="CCEEFF" w:val="clear"/>
            <w:vAlign w:val="center"/>
          </w:tcPr>
          <w:p>
            <w:pPr>
              <w:pStyle w:val="TableContents"/>
              <w:pBdr/>
              <w:spacing w:before="0" w:after="0"/>
              <w:ind w:left="0" w:right="0" w:hanging="0"/>
              <w:rPr/>
            </w:pPr>
            <w:r>
              <w:rPr/>
            </w:r>
          </w:p>
        </w:tc>
        <w:tc>
          <w:tcPr>
            <w:tcW w:w="208" w:type="dxa"/>
            <w:tcBorders/>
            <w:shd w:fill="CCEEFF" w:val="clear"/>
            <w:vAlign w:val="center"/>
          </w:tcPr>
          <w:p>
            <w:pPr>
              <w:pStyle w:val="TableContents"/>
              <w:spacing w:before="0" w:after="283"/>
              <w:rPr/>
            </w:pPr>
            <w:r>
              <w:rPr/>
            </w:r>
          </w:p>
        </w:tc>
      </w:tr>
      <w:tr>
        <w:trPr/>
        <w:tc>
          <w:tcPr>
            <w:tcW w:w="5768"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Accumulated deficit</w:t>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rPr/>
            </w:pPr>
            <w:r>
              <w:rPr/>
            </w:r>
          </w:p>
        </w:tc>
        <w:tc>
          <w:tcPr>
            <w:tcW w:w="153" w:type="dxa"/>
            <w:tcBorders/>
            <w:shd w:fill="auto" w:val="clear"/>
            <w:vAlign w:val="center"/>
          </w:tcPr>
          <w:p>
            <w:pPr>
              <w:pStyle w:val="TableContents"/>
              <w:spacing w:before="0" w:after="283"/>
              <w:ind w:left="0" w:right="0" w:hanging="0"/>
              <w:rPr/>
            </w:pPr>
            <w:r>
              <w:rPr/>
            </w:r>
          </w:p>
        </w:tc>
        <w:tc>
          <w:tcPr>
            <w:tcW w:w="64" w:type="dxa"/>
            <w:tcBorders/>
            <w:shd w:fill="auto" w:val="clear"/>
            <w:vAlign w:val="center"/>
          </w:tcPr>
          <w:p>
            <w:pPr>
              <w:pStyle w:val="TableContents"/>
              <w:spacing w:before="0" w:after="283"/>
              <w:ind w:left="0" w:right="0" w:hanging="0"/>
              <w:rPr/>
            </w:pPr>
            <w:r>
              <w:rPr/>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rPr/>
            </w:pPr>
            <w:r>
              <w:rPr/>
            </w:r>
          </w:p>
        </w:tc>
        <w:tc>
          <w:tcPr>
            <w:tcW w:w="208" w:type="dxa"/>
            <w:tcBorders/>
            <w:shd w:fill="auto" w:val="clear"/>
            <w:vAlign w:val="center"/>
          </w:tcPr>
          <w:p>
            <w:pPr>
              <w:pStyle w:val="TableContents"/>
              <w:spacing w:before="0" w:after="283"/>
              <w:rPr/>
            </w:pPr>
            <w:r>
              <w:rPr/>
            </w:r>
          </w:p>
        </w:tc>
      </w:tr>
      <w:tr>
        <w:trPr/>
        <w:tc>
          <w:tcPr>
            <w:tcW w:w="57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beginning of year</w:t>
            </w:r>
          </w:p>
        </w:tc>
        <w:tc>
          <w:tcPr>
            <w:tcW w:w="189"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(21,072</w:t>
            </w:r>
          </w:p>
        </w:tc>
        <w:tc>
          <w:tcPr>
            <w:tcW w:w="153" w:type="dxa"/>
            <w:tcBorders/>
            <w:shd w:fill="CCEEFF" w:val="clear"/>
            <w:vAlign w:val="center"/>
          </w:tcPr>
          <w:p>
            <w:pPr>
              <w:pStyle w:val="TableContents"/>
              <w:spacing w:before="0" w:after="0"/>
              <w:ind w:left="0" w:right="0" w:hanging="0"/>
              <w:jc w:val="left"/>
              <w:rPr/>
            </w:pPr>
            <w:r>
              <w:rPr/>
              <w:t>)</w:t>
            </w:r>
          </w:p>
        </w:tc>
        <w:tc>
          <w:tcPr>
            <w:tcW w:w="64" w:type="dxa"/>
            <w:tcBorders/>
            <w:shd w:fill="CCEEFF" w:val="clear"/>
            <w:vAlign w:val="center"/>
          </w:tcPr>
          <w:p>
            <w:pPr>
              <w:pStyle w:val="TableContents"/>
              <w:spacing w:before="0" w:after="283"/>
              <w:ind w:left="0" w:right="0" w:hanging="0"/>
              <w:rPr/>
            </w:pPr>
            <w:r>
              <w:rPr/>
            </w:r>
          </w:p>
        </w:tc>
        <w:tc>
          <w:tcPr>
            <w:tcW w:w="189" w:type="dxa"/>
            <w:tcBorders/>
            <w:shd w:fill="CCEEFF" w:val="cle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(13,378</w:t>
            </w:r>
          </w:p>
        </w:tc>
        <w:tc>
          <w:tcPr>
            <w:tcW w:w="208" w:type="dxa"/>
            <w:tcBorders/>
            <w:shd w:fill="CCEEFF" w:val="clear"/>
            <w:vAlign w:val="center"/>
          </w:tcPr>
          <w:p>
            <w:pPr>
              <w:pStyle w:val="TableContents"/>
              <w:spacing w:before="0" w:after="0"/>
              <w:jc w:val="left"/>
              <w:rPr/>
            </w:pPr>
            <w:r>
              <w:rPr/>
              <w:t>)</w:t>
            </w:r>
          </w:p>
        </w:tc>
      </w:tr>
      <w:tr>
        <w:trPr/>
        <w:tc>
          <w:tcPr>
            <w:tcW w:w="576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income (loss)</w:t>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20,556</w:t>
            </w:r>
          </w:p>
        </w:tc>
        <w:tc>
          <w:tcPr>
            <w:tcW w:w="153" w:type="dxa"/>
            <w:tcBorders/>
            <w:shd w:fill="auto" w:val="clear"/>
            <w:vAlign w:val="center"/>
          </w:tcPr>
          <w:p>
            <w:pPr>
              <w:pStyle w:val="TableContents"/>
              <w:spacing w:before="0" w:after="283"/>
              <w:ind w:left="0" w:right="0" w:hanging="0"/>
              <w:rPr>
                <w:sz w:val="4"/>
                <w:szCs w:val="4"/>
              </w:rPr>
            </w:pPr>
            <w:r>
              <w:rPr>
                <w:sz w:val="4"/>
                <w:szCs w:val="4"/>
              </w:rPr>
            </w:r>
          </w:p>
        </w:tc>
        <w:tc>
          <w:tcPr>
            <w:tcW w:w="64" w:type="dxa"/>
            <w:tcBorders/>
            <w:shd w:fill="auto" w:val="clear"/>
            <w:vAlign w:val="center"/>
          </w:tcPr>
          <w:p>
            <w:pPr>
              <w:pStyle w:val="TableContents"/>
              <w:spacing w:before="0" w:after="283"/>
              <w:ind w:left="0" w:right="0" w:hanging="0"/>
              <w:rPr/>
            </w:pPr>
            <w:r>
              <w:rPr/>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(7,694</w:t>
            </w:r>
          </w:p>
        </w:tc>
        <w:tc>
          <w:tcPr>
            <w:tcW w:w="208" w:type="dxa"/>
            <w:tcBorders/>
            <w:shd w:fill="auto" w:val="clear"/>
            <w:vAlign w:val="center"/>
          </w:tcPr>
          <w:p>
            <w:pPr>
              <w:pStyle w:val="TableContents"/>
              <w:spacing w:before="0" w:after="0"/>
              <w:jc w:val="left"/>
              <w:rPr/>
            </w:pPr>
            <w:r>
              <w:rPr/>
              <w:t>)</w:t>
            </w:r>
          </w:p>
        </w:tc>
      </w:tr>
      <w:tr>
        <w:trPr/>
        <w:tc>
          <w:tcPr>
            <w:tcW w:w="57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end of year</w:t>
            </w:r>
          </w:p>
        </w:tc>
        <w:tc>
          <w:tcPr>
            <w:tcW w:w="189" w:type="dxa"/>
            <w:tcBorders>
              <w:top w:val="single" w:sz="8" w:space="0" w:color="000000"/>
              <w:bottom w:val="single" w:sz="2" w:space="0" w:color="000000"/>
            </w:tcBorders>
            <w:shd w:fill="CCEEFF"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top w:val="single" w:sz="2" w:space="0" w:color="000000"/>
              <w:bottom w:val="single" w:sz="2" w:space="0" w:color="000000"/>
            </w:tcBorders>
            <w:shd w:fill="CCEEFF"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(516</w:t>
            </w:r>
          </w:p>
        </w:tc>
        <w:tc>
          <w:tcPr>
            <w:tcW w:w="153" w:type="dxa"/>
            <w:tcBorders/>
            <w:shd w:fill="CCEEFF" w:val="clear"/>
            <w:vAlign w:val="center"/>
          </w:tcPr>
          <w:p>
            <w:pPr>
              <w:pStyle w:val="TableContents"/>
              <w:spacing w:before="0" w:after="0"/>
              <w:ind w:left="0" w:right="0" w:hanging="0"/>
              <w:jc w:val="left"/>
              <w:rPr/>
            </w:pPr>
            <w:r>
              <w:rPr/>
              <w:t>)</w:t>
            </w:r>
          </w:p>
        </w:tc>
        <w:tc>
          <w:tcPr>
            <w:tcW w:w="64" w:type="dxa"/>
            <w:tcBorders/>
            <w:shd w:fill="CCEEFF" w:val="clear"/>
            <w:vAlign w:val="center"/>
          </w:tcPr>
          <w:p>
            <w:pPr>
              <w:pStyle w:val="TableContents"/>
              <w:spacing w:before="0" w:after="283"/>
              <w:ind w:left="0" w:right="0" w:hanging="0"/>
              <w:rPr/>
            </w:pPr>
            <w:r>
              <w:rPr/>
            </w:r>
          </w:p>
        </w:tc>
        <w:tc>
          <w:tcPr>
            <w:tcW w:w="189" w:type="dxa"/>
            <w:tcBorders>
              <w:top w:val="single" w:sz="2" w:space="0" w:color="000000"/>
              <w:bottom w:val="single" w:sz="2" w:space="0" w:color="000000"/>
            </w:tcBorders>
            <w:shd w:fill="CCEEFF" w:val="clear"/>
            <w:tcMar>
              <w:top w:w="28" w:type="dxa"/>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top w:val="single" w:sz="2" w:space="0" w:color="000000"/>
              <w:bottom w:val="single" w:sz="2" w:space="0" w:color="000000"/>
            </w:tcBorders>
            <w:shd w:fill="CCEEFF"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(21,072</w:t>
            </w:r>
          </w:p>
        </w:tc>
        <w:tc>
          <w:tcPr>
            <w:tcW w:w="208" w:type="dxa"/>
            <w:tcBorders/>
            <w:shd w:fill="CCEEFF" w:val="clear"/>
            <w:vAlign w:val="center"/>
          </w:tcPr>
          <w:p>
            <w:pPr>
              <w:pStyle w:val="TableContents"/>
              <w:spacing w:before="0" w:after="0"/>
              <w:jc w:val="left"/>
              <w:rPr/>
            </w:pPr>
            <w:r>
              <w:rPr/>
              <w:t>)</w:t>
            </w:r>
          </w:p>
        </w:tc>
      </w:tr>
      <w:tr>
        <w:trPr/>
        <w:tc>
          <w:tcPr>
            <w:tcW w:w="5768" w:type="dxa"/>
            <w:tcBorders/>
            <w:shd w:fill="auto" w:val="clear"/>
            <w:vAlign w:val="center"/>
          </w:tcPr>
          <w:p>
            <w:pPr>
              <w:pStyle w:val="TableContents"/>
              <w:spacing w:before="0" w:after="0"/>
              <w:ind w:left="0" w:right="0" w:hanging="0"/>
              <w:rPr/>
            </w:pPr>
            <w:r>
              <w:rPr/>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rPr/>
            </w:pPr>
            <w:r>
              <w:rPr/>
            </w:r>
          </w:p>
        </w:tc>
        <w:tc>
          <w:tcPr>
            <w:tcW w:w="153" w:type="dxa"/>
            <w:tcBorders/>
            <w:shd w:fill="auto" w:val="clear"/>
            <w:vAlign w:val="center"/>
          </w:tcPr>
          <w:p>
            <w:pPr>
              <w:pStyle w:val="TableContents"/>
              <w:spacing w:before="0" w:after="283"/>
              <w:ind w:left="0" w:right="0" w:hanging="0"/>
              <w:rPr/>
            </w:pPr>
            <w:r>
              <w:rPr/>
            </w:r>
          </w:p>
        </w:tc>
        <w:tc>
          <w:tcPr>
            <w:tcW w:w="64" w:type="dxa"/>
            <w:tcBorders/>
            <w:shd w:fill="auto" w:val="clear"/>
            <w:vAlign w:val="center"/>
          </w:tcPr>
          <w:p>
            <w:pPr>
              <w:pStyle w:val="TableContents"/>
              <w:spacing w:before="0" w:after="283"/>
              <w:ind w:left="0" w:right="0" w:hanging="0"/>
              <w:rPr/>
            </w:pPr>
            <w:r>
              <w:rPr/>
            </w:r>
          </w:p>
        </w:tc>
        <w:tc>
          <w:tcPr>
            <w:tcW w:w="189" w:type="dxa"/>
            <w:tcBorders/>
            <w:shd w:fill="auto" w:val="clear"/>
            <w:vAlign w:val="center"/>
          </w:tcPr>
          <w:p>
            <w:pPr>
              <w:pStyle w:val="TableContents"/>
              <w:spacing w:before="0" w:after="283"/>
              <w:ind w:left="0" w:right="0" w:hanging="0"/>
              <w:rPr/>
            </w:pPr>
            <w:r>
              <w:rPr/>
            </w:r>
          </w:p>
        </w:tc>
        <w:tc>
          <w:tcPr>
            <w:tcW w:w="1817" w:type="dxa"/>
            <w:tcBorders/>
            <w:shd w:fill="auto" w:val="clear"/>
            <w:vAlign w:val="center"/>
          </w:tcPr>
          <w:p>
            <w:pPr>
              <w:pStyle w:val="TableContents"/>
              <w:pBdr/>
              <w:spacing w:before="0" w:after="0"/>
              <w:ind w:left="0" w:right="0" w:hanging="0"/>
              <w:rPr/>
            </w:pPr>
            <w:r>
              <w:rPr/>
            </w:r>
          </w:p>
        </w:tc>
        <w:tc>
          <w:tcPr>
            <w:tcW w:w="208" w:type="dxa"/>
            <w:tcBorders/>
            <w:shd w:fill="auto" w:val="clear"/>
            <w:vAlign w:val="center"/>
          </w:tcPr>
          <w:p>
            <w:pPr>
              <w:pStyle w:val="TableContents"/>
              <w:spacing w:before="0" w:after="283"/>
              <w:ind w:left="0" w:right="0" w:hanging="0"/>
              <w:rPr/>
            </w:pPr>
            <w:r>
              <w:rPr/>
            </w:r>
          </w:p>
        </w:tc>
      </w:tr>
      <w:tr>
        <w:trPr/>
        <w:tc>
          <w:tcPr>
            <w:tcW w:w="57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shareholders' equity</w:t>
            </w:r>
          </w:p>
        </w:tc>
        <w:tc>
          <w:tcPr>
            <w:tcW w:w="189" w:type="dxa"/>
            <w:tcBorders>
              <w:bottom w:val="double" w:sz="7" w:space="0" w:color="000000"/>
            </w:tcBorders>
            <w:shd w:fill="CCEEFF" w:val="clear"/>
            <w:tcMar>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bottom w:val="double" w:sz="7"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74,130</w:t>
            </w:r>
          </w:p>
        </w:tc>
        <w:tc>
          <w:tcPr>
            <w:tcW w:w="153" w:type="dxa"/>
            <w:tcBorders/>
            <w:shd w:fill="CCEEFF" w:val="clear"/>
            <w:vAlign w:val="center"/>
          </w:tcPr>
          <w:p>
            <w:pPr>
              <w:pStyle w:val="TableContents"/>
              <w:spacing w:before="0" w:after="283"/>
              <w:ind w:left="0" w:right="0" w:hanging="0"/>
              <w:rPr/>
            </w:pPr>
            <w:r>
              <w:rPr/>
            </w:r>
          </w:p>
        </w:tc>
        <w:tc>
          <w:tcPr>
            <w:tcW w:w="64" w:type="dxa"/>
            <w:tcBorders/>
            <w:shd w:fill="CCEEFF" w:val="clear"/>
            <w:vAlign w:val="center"/>
          </w:tcPr>
          <w:p>
            <w:pPr>
              <w:pStyle w:val="TableContents"/>
              <w:spacing w:before="0" w:after="283"/>
              <w:ind w:left="0" w:right="0" w:hanging="0"/>
              <w:rPr/>
            </w:pPr>
            <w:r>
              <w:rPr/>
            </w:r>
          </w:p>
        </w:tc>
        <w:tc>
          <w:tcPr>
            <w:tcW w:w="189" w:type="dxa"/>
            <w:tcBorders>
              <w:bottom w:val="double" w:sz="7" w:space="0" w:color="000000"/>
            </w:tcBorders>
            <w:shd w:fill="CCEEFF" w:val="clear"/>
            <w:tcMar>
              <w:bottom w:w="28" w:type="dxa"/>
            </w:tcMar>
            <w:vAlign w:val="center"/>
          </w:tcPr>
          <w:p>
            <w:pPr>
              <w:pStyle w:val="TableContents"/>
              <w:widowControl/>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17" w:type="dxa"/>
            <w:tcBorders>
              <w:bottom w:val="double" w:sz="7"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51,504</w:t>
            </w:r>
          </w:p>
        </w:tc>
        <w:tc>
          <w:tcPr>
            <w:tcW w:w="208" w:type="dxa"/>
            <w:tcBorders/>
            <w:shd w:fill="CCEEFF" w:val="clear"/>
            <w:vAlign w:val="center"/>
          </w:tcPr>
          <w:p>
            <w:pPr>
              <w:pStyle w:val="TableContents"/>
              <w:spacing w:before="0" w:after="283"/>
              <w:rPr/>
            </w:pPr>
            <w:r>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F-5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ind w:left="0" w:right="0" w:hanging="0"/>
        <w:jc w:val="center"/>
        <w:rPr/>
      </w:pPr>
      <w:hyperlink r:id="rId45">
        <w:bookmarkStart w:id="108" w:name="BCF_GMWSK9YHGG00000000000000000000"/>
        <w:bookmarkEnd w:id="108"/>
        <w:r>
          <w:rPr>
            <w:rStyle w:val="VisitedInternetLink"/>
            <w:rFonts w:ascii="Times New Roman" w:hAnsi="Times New Roman"/>
            <w:b/>
            <w:strike w:val="false"/>
            <w:dstrike w:val="false"/>
            <w:color w:val="000000"/>
            <w:sz w:val="20"/>
            <w:u w:val="none"/>
            <w:effect w:val="none"/>
          </w:rPr>
          <w:t>CONSOLIDATED STATEMENTS OF CASH FLOWS</w:t>
        </w:r>
      </w:hyperlink>
    </w:p>
    <w:p>
      <w:pPr>
        <w:pStyle w:val="TextBody"/>
        <w:spacing w:before="0" w:after="0"/>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7316"/>
        <w:gridCol w:w="206"/>
        <w:gridCol w:w="207"/>
        <w:gridCol w:w="785"/>
        <w:gridCol w:w="206"/>
        <w:gridCol w:w="206"/>
        <w:gridCol w:w="207"/>
        <w:gridCol w:w="665"/>
        <w:gridCol w:w="407"/>
      </w:tblGrid>
      <w:tr>
        <w:trPr/>
        <w:tc>
          <w:tcPr>
            <w:tcW w:w="7316" w:type="dxa"/>
            <w:tcBorders/>
            <w:shd w:fill="auto" w:val="clear"/>
            <w:vAlign w:val="center"/>
          </w:tcPr>
          <w:p>
            <w:pPr>
              <w:pStyle w:val="TableContents"/>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276" w:type="dxa"/>
            <w:gridSpan w:val="6"/>
            <w:tcBorders>
              <w:bottom w:val="single" w:sz="6" w:space="0" w:color="000000"/>
            </w:tcBorders>
            <w:shd w:fill="auto" w:val="clear"/>
            <w:tcMar>
              <w:bottom w:w="28" w:type="dxa"/>
            </w:tcMar>
            <w:vAlign w:val="center"/>
          </w:tcPr>
          <w:p>
            <w:pPr>
              <w:pStyle w:val="TableContents"/>
              <w:pBdr/>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992" w:type="dxa"/>
            <w:gridSpan w:val="2"/>
            <w:tcBorders>
              <w:bottom w:val="single" w:sz="6" w:space="0" w:color="000000"/>
            </w:tcBorders>
            <w:shd w:fill="auto" w:val="clear"/>
            <w:tcMar>
              <w:bottom w:w="28" w:type="dxa"/>
            </w:tcMar>
            <w:vAlign w:val="center"/>
          </w:tcPr>
          <w:p>
            <w:pPr>
              <w:pStyle w:val="TableContents"/>
              <w:pBdr/>
              <w:spacing w:before="0" w:after="0"/>
              <w:ind w:left="0" w:right="0" w:hanging="0"/>
              <w:jc w:val="center"/>
              <w:rPr>
                <w:rFonts w:ascii="Times New Roman" w:hAnsi="Times New Roman"/>
                <w:b/>
                <w:sz w:val="18"/>
              </w:rPr>
            </w:pPr>
            <w:r>
              <w:rPr>
                <w:rFonts w:ascii="Times New Roman" w:hAnsi="Times New Roman"/>
                <w:b/>
                <w:sz w:val="18"/>
              </w:rPr>
              <w:t>2022</w:t>
            </w:r>
          </w:p>
        </w:tc>
        <w:tc>
          <w:tcPr>
            <w:tcW w:w="206"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872" w:type="dxa"/>
            <w:gridSpan w:val="2"/>
            <w:tcBorders>
              <w:bottom w:val="single" w:sz="6" w:space="0" w:color="000000"/>
            </w:tcBorders>
            <w:shd w:fill="auto" w:val="clear"/>
            <w:tcMar>
              <w:bottom w:w="28" w:type="dxa"/>
            </w:tcMar>
            <w:vAlign w:val="center"/>
          </w:tcPr>
          <w:p>
            <w:pPr>
              <w:pStyle w:val="TableContents"/>
              <w:pBdr/>
              <w:spacing w:before="0" w:after="0"/>
              <w:ind w:left="0" w:right="0" w:hanging="0"/>
              <w:jc w:val="center"/>
              <w:rPr>
                <w:rFonts w:ascii="Times New Roman" w:hAnsi="Times New Roman"/>
                <w:b/>
                <w:sz w:val="18"/>
              </w:rPr>
            </w:pPr>
            <w:r>
              <w:rPr>
                <w:rFonts w:ascii="Times New Roman" w:hAnsi="Times New Roman"/>
                <w:b/>
                <w:sz w:val="18"/>
              </w:rPr>
              <w:t>2021</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flows from operating activities: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rPr/>
            </w:pPr>
            <w:r>
              <w:rPr/>
              <w:t xml:space="preserve">   </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income (loss)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20,556</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(7,694</w:t>
            </w:r>
          </w:p>
        </w:tc>
        <w:tc>
          <w:tcPr>
            <w:tcW w:w="407" w:type="dxa"/>
            <w:tcBorders/>
            <w:shd w:fill="auto" w:val="clear"/>
            <w:vAlign w:val="center"/>
          </w:tcPr>
          <w:p>
            <w:pPr>
              <w:pStyle w:val="TableContents"/>
              <w:spacing w:before="0" w:after="0"/>
              <w:rPr/>
            </w:pPr>
            <w:r>
              <w:rPr/>
              <w:t>)</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Adjustments to reconcile net income (loss) to net cash used in operating activities: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rPr/>
            </w:pPr>
            <w:r>
              <w:rPr/>
              <w:t xml:space="preserve">   </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Depreciation and amortization expense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2,970</w:t>
            </w:r>
          </w:p>
        </w:tc>
        <w:tc>
          <w:tcPr>
            <w:tcW w:w="206"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2,867</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Amortization of right of use of assets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597</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611</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Share-based compensation expense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113</w:t>
            </w:r>
          </w:p>
        </w:tc>
        <w:tc>
          <w:tcPr>
            <w:tcW w:w="206"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136</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Change of inventory to net realizable value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120</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850</w:t>
            </w:r>
          </w:p>
        </w:tc>
        <w:tc>
          <w:tcPr>
            <w:tcW w:w="407" w:type="dxa"/>
            <w:tcBorders/>
            <w:shd w:fill="CCEEFF" w:val="clear"/>
            <w:vAlign w:val="center"/>
          </w:tcPr>
          <w:p>
            <w:pPr>
              <w:pStyle w:val="TableContents"/>
              <w:pBdr/>
              <w:spacing w:before="0" w:after="0"/>
              <w:ind w:left="0" w:right="0" w:firstLine="150"/>
              <w:rPr/>
            </w:pPr>
            <w:r>
              <w:rPr/>
              <w:t xml:space="preserve">   </w:t>
            </w:r>
          </w:p>
        </w:tc>
      </w:tr>
      <w:tr>
        <w:trPr/>
        <w:tc>
          <w:tcPr>
            <w:tcW w:w="7316" w:type="dxa"/>
            <w:tcBorders/>
            <w:shd w:fill="auto" w:val="clear"/>
            <w:vAlign w:val="center"/>
          </w:tcPr>
          <w:p>
            <w:pPr>
              <w:pStyle w:val="TableContents"/>
              <w:widowControl/>
              <w:spacing w:before="0" w:after="283"/>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Loss on disposal of assets </w:t>
            </w:r>
          </w:p>
        </w:tc>
        <w:tc>
          <w:tcPr>
            <w:tcW w:w="206" w:type="dxa"/>
            <w:tcBorders/>
            <w:shd w:fill="auto" w:val="clear"/>
            <w:vAlign w:val="center"/>
          </w:tcPr>
          <w:p>
            <w:pPr>
              <w:pStyle w:val="TableContents"/>
              <w:spacing w:before="0" w:after="283"/>
              <w:ind w:left="0" w:right="0" w:hanging="0"/>
              <w:rPr/>
            </w:pPr>
            <w:r>
              <w:rPr/>
            </w:r>
          </w:p>
        </w:tc>
        <w:tc>
          <w:tcPr>
            <w:tcW w:w="207" w:type="dxa"/>
            <w:tcBorders/>
            <w:shd w:fill="auto" w:val="clear"/>
            <w:vAlign w:val="center"/>
          </w:tcPr>
          <w:p>
            <w:pPr>
              <w:pStyle w:val="TableContents"/>
              <w:spacing w:before="0" w:after="283"/>
              <w:ind w:left="0" w:right="0" w:hanging="0"/>
              <w:rPr/>
            </w:pPr>
            <w:r>
              <w:rPr/>
            </w:r>
          </w:p>
        </w:tc>
        <w:tc>
          <w:tcPr>
            <w:tcW w:w="785" w:type="dxa"/>
            <w:tcBorders/>
            <w:shd w:fill="auto" w:val="clear"/>
            <w:vAlign w:val="center"/>
          </w:tcPr>
          <w:p>
            <w:pPr>
              <w:pStyle w:val="TableContents"/>
              <w:spacing w:before="0" w:after="0"/>
              <w:ind w:left="0" w:right="0" w:hanging="0"/>
              <w:jc w:val="right"/>
              <w:rPr/>
            </w:pPr>
            <w:r>
              <w:rPr/>
              <w:t>146</w:t>
            </w:r>
          </w:p>
        </w:tc>
        <w:tc>
          <w:tcPr>
            <w:tcW w:w="206" w:type="dxa"/>
            <w:tcBorders/>
            <w:shd w:fill="auto" w:val="clear"/>
            <w:vAlign w:val="center"/>
          </w:tcPr>
          <w:p>
            <w:pPr>
              <w:pStyle w:val="TableContents"/>
              <w:spacing w:before="0" w:after="283"/>
              <w:ind w:left="0" w:right="0" w:hanging="0"/>
              <w:rPr/>
            </w:pPr>
            <w:r>
              <w:rPr/>
            </w:r>
          </w:p>
        </w:tc>
        <w:tc>
          <w:tcPr>
            <w:tcW w:w="206" w:type="dxa"/>
            <w:tcBorders/>
            <w:shd w:fill="auto" w:val="clear"/>
            <w:vAlign w:val="center"/>
          </w:tcPr>
          <w:p>
            <w:pPr>
              <w:pStyle w:val="TableContents"/>
              <w:spacing w:before="0" w:after="283"/>
              <w:ind w:left="0" w:right="0" w:hanging="0"/>
              <w:rPr/>
            </w:pPr>
            <w:r>
              <w:rPr/>
            </w:r>
          </w:p>
        </w:tc>
        <w:tc>
          <w:tcPr>
            <w:tcW w:w="207" w:type="dxa"/>
            <w:tcBorders/>
            <w:shd w:fill="auto" w:val="clear"/>
            <w:vAlign w:val="center"/>
          </w:tcPr>
          <w:p>
            <w:pPr>
              <w:pStyle w:val="TableContents"/>
              <w:spacing w:before="0" w:after="283"/>
              <w:ind w:left="0" w:right="0" w:hanging="0"/>
              <w:rPr/>
            </w:pPr>
            <w:r>
              <w:rPr/>
            </w:r>
          </w:p>
        </w:tc>
        <w:tc>
          <w:tcPr>
            <w:tcW w:w="665" w:type="dxa"/>
            <w:tcBorders/>
            <w:shd w:fill="auto" w:val="clear"/>
            <w:vAlign w:val="center"/>
          </w:tcPr>
          <w:p>
            <w:pPr>
              <w:pStyle w:val="TableContents"/>
              <w:spacing w:before="0" w:after="0"/>
              <w:ind w:left="0" w:right="0" w:hanging="0"/>
              <w:jc w:val="right"/>
              <w:rPr/>
            </w:pPr>
            <w:r>
              <w:rPr/>
              <w:t>—</w:t>
            </w:r>
          </w:p>
        </w:tc>
        <w:tc>
          <w:tcPr>
            <w:tcW w:w="407" w:type="dxa"/>
            <w:tcBorders/>
            <w:shd w:fill="auto" w:val="clear"/>
            <w:vAlign w:val="center"/>
          </w:tcPr>
          <w:p>
            <w:pPr>
              <w:pStyle w:val="TableContents"/>
              <w:spacing w:before="0" w:after="283"/>
              <w:ind w:left="0" w:right="0" w:firstLine="150"/>
              <w:rPr/>
            </w:pPr>
            <w:r>
              <w:rPr/>
            </w:r>
          </w:p>
        </w:tc>
      </w:tr>
      <w:tr>
        <w:trPr/>
        <w:tc>
          <w:tcPr>
            <w:tcW w:w="7316" w:type="dxa"/>
            <w:tcBorders/>
            <w:shd w:fill="CCEEFF" w:val="clear"/>
            <w:vAlign w:val="center"/>
          </w:tcPr>
          <w:p>
            <w:pPr>
              <w:pStyle w:val="TableContents"/>
              <w:widowControl/>
              <w:spacing w:before="0" w:after="283"/>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Gain recognized on Paycheck Protection Plan Loan forgiveness</w:t>
            </w:r>
          </w:p>
        </w:tc>
        <w:tc>
          <w:tcPr>
            <w:tcW w:w="206" w:type="dxa"/>
            <w:tcBorders/>
            <w:shd w:fill="CCEEFF" w:val="clear"/>
            <w:vAlign w:val="center"/>
          </w:tcPr>
          <w:p>
            <w:pPr>
              <w:pStyle w:val="TableContents"/>
              <w:spacing w:before="0" w:after="283"/>
              <w:ind w:left="0" w:right="0" w:hanging="0"/>
              <w:rPr/>
            </w:pPr>
            <w:r>
              <w:rPr/>
            </w:r>
          </w:p>
        </w:tc>
        <w:tc>
          <w:tcPr>
            <w:tcW w:w="207" w:type="dxa"/>
            <w:tcBorders/>
            <w:shd w:fill="CCEEFF" w:val="clear"/>
            <w:vAlign w:val="center"/>
          </w:tcPr>
          <w:p>
            <w:pPr>
              <w:pStyle w:val="TableContents"/>
              <w:spacing w:before="0" w:after="283"/>
              <w:ind w:left="0" w:right="0" w:hanging="0"/>
              <w:rPr/>
            </w:pPr>
            <w:r>
              <w:rPr/>
            </w:r>
          </w:p>
        </w:tc>
        <w:tc>
          <w:tcPr>
            <w:tcW w:w="785" w:type="dxa"/>
            <w:tcBorders/>
            <w:shd w:fill="CCEEFF" w:val="clear"/>
            <w:vAlign w:val="center"/>
          </w:tcPr>
          <w:p>
            <w:pPr>
              <w:pStyle w:val="TableContents"/>
              <w:spacing w:before="0" w:after="0"/>
              <w:ind w:left="0" w:right="0" w:hanging="0"/>
              <w:jc w:val="right"/>
              <w:rPr/>
            </w:pPr>
            <w:r>
              <w:rPr/>
              <w:t>(1,528</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283"/>
              <w:ind w:left="0" w:right="0" w:hanging="0"/>
              <w:rPr/>
            </w:pPr>
            <w:r>
              <w:rPr/>
            </w:r>
          </w:p>
        </w:tc>
        <w:tc>
          <w:tcPr>
            <w:tcW w:w="207" w:type="dxa"/>
            <w:tcBorders/>
            <w:shd w:fill="CCEEFF" w:val="clear"/>
            <w:vAlign w:val="center"/>
          </w:tcPr>
          <w:p>
            <w:pPr>
              <w:pStyle w:val="TableContents"/>
              <w:spacing w:before="0" w:after="283"/>
              <w:ind w:left="0" w:right="0" w:hanging="0"/>
              <w:rPr/>
            </w:pPr>
            <w:r>
              <w:rPr/>
            </w:r>
          </w:p>
        </w:tc>
        <w:tc>
          <w:tcPr>
            <w:tcW w:w="665" w:type="dxa"/>
            <w:tcBorders/>
            <w:shd w:fill="CCEEFF" w:val="clear"/>
            <w:vAlign w:val="center"/>
          </w:tcPr>
          <w:p>
            <w:pPr>
              <w:pStyle w:val="TableContents"/>
              <w:spacing w:before="0" w:after="0"/>
              <w:ind w:left="0" w:right="0" w:hanging="0"/>
              <w:jc w:val="right"/>
              <w:rPr/>
            </w:pPr>
            <w:r>
              <w:rPr/>
              <w:t>—</w:t>
            </w:r>
          </w:p>
        </w:tc>
        <w:tc>
          <w:tcPr>
            <w:tcW w:w="407" w:type="dxa"/>
            <w:tcBorders/>
            <w:shd w:fill="CCEEFF" w:val="clear"/>
            <w:vAlign w:val="center"/>
          </w:tcPr>
          <w:p>
            <w:pPr>
              <w:pStyle w:val="TableContents"/>
              <w:spacing w:before="0" w:after="283"/>
              <w:ind w:left="0" w:right="0" w:firstLine="150"/>
              <w:rPr/>
            </w:pPr>
            <w:r>
              <w:rPr/>
            </w:r>
          </w:p>
        </w:tc>
      </w:tr>
      <w:tr>
        <w:trPr/>
        <w:tc>
          <w:tcPr>
            <w:tcW w:w="7316" w:type="dxa"/>
            <w:tcBorders/>
            <w:shd w:fill="auto" w:val="clear"/>
            <w:vAlign w:val="center"/>
          </w:tcPr>
          <w:p>
            <w:pPr>
              <w:pStyle w:val="TableContents"/>
              <w:spacing w:before="0" w:after="283"/>
              <w:ind w:left="0" w:right="0" w:hanging="0"/>
              <w:rPr/>
            </w:pPr>
            <w:r>
              <w:rPr/>
              <w:t>Gain on legal settlement proceeds, net of capitalized legal costs less amortization</w:t>
            </w:r>
          </w:p>
        </w:tc>
        <w:tc>
          <w:tcPr>
            <w:tcW w:w="206" w:type="dxa"/>
            <w:tcBorders/>
            <w:shd w:fill="auto" w:val="clear"/>
            <w:vAlign w:val="center"/>
          </w:tcPr>
          <w:p>
            <w:pPr>
              <w:pStyle w:val="TableContents"/>
              <w:spacing w:before="0" w:after="283"/>
              <w:ind w:left="0" w:right="0" w:hanging="0"/>
              <w:rPr/>
            </w:pPr>
            <w:r>
              <w:rPr/>
            </w:r>
          </w:p>
        </w:tc>
        <w:tc>
          <w:tcPr>
            <w:tcW w:w="207" w:type="dxa"/>
            <w:tcBorders/>
            <w:shd w:fill="auto" w:val="clear"/>
            <w:vAlign w:val="center"/>
          </w:tcPr>
          <w:p>
            <w:pPr>
              <w:pStyle w:val="TableContents"/>
              <w:spacing w:before="0" w:after="283"/>
              <w:ind w:left="0" w:right="0" w:hanging="0"/>
              <w:rPr/>
            </w:pPr>
            <w:r>
              <w:rPr/>
            </w:r>
          </w:p>
        </w:tc>
        <w:tc>
          <w:tcPr>
            <w:tcW w:w="785" w:type="dxa"/>
            <w:tcBorders/>
            <w:shd w:fill="auto" w:val="clear"/>
            <w:vAlign w:val="center"/>
          </w:tcPr>
          <w:p>
            <w:pPr>
              <w:pStyle w:val="TableContents"/>
              <w:spacing w:before="0" w:after="0"/>
              <w:ind w:left="0" w:right="0" w:hanging="0"/>
              <w:jc w:val="right"/>
              <w:rPr/>
            </w:pPr>
            <w:r>
              <w:rPr/>
              <w:t>(33,623</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283"/>
              <w:ind w:left="0" w:right="0" w:hanging="0"/>
              <w:rPr/>
            </w:pPr>
            <w:r>
              <w:rPr/>
            </w:r>
          </w:p>
        </w:tc>
        <w:tc>
          <w:tcPr>
            <w:tcW w:w="207" w:type="dxa"/>
            <w:tcBorders/>
            <w:shd w:fill="auto" w:val="clear"/>
            <w:vAlign w:val="center"/>
          </w:tcPr>
          <w:p>
            <w:pPr>
              <w:pStyle w:val="TableContents"/>
              <w:spacing w:before="0" w:after="283"/>
              <w:ind w:left="0" w:right="0" w:hanging="0"/>
              <w:rPr/>
            </w:pPr>
            <w:r>
              <w:rPr/>
            </w:r>
          </w:p>
        </w:tc>
        <w:tc>
          <w:tcPr>
            <w:tcW w:w="665" w:type="dxa"/>
            <w:tcBorders/>
            <w:shd w:fill="auto" w:val="clear"/>
            <w:vAlign w:val="center"/>
          </w:tcPr>
          <w:p>
            <w:pPr>
              <w:pStyle w:val="TableContents"/>
              <w:spacing w:before="0" w:after="0"/>
              <w:ind w:left="0" w:right="0" w:hanging="0"/>
              <w:jc w:val="right"/>
              <w:rPr/>
            </w:pPr>
            <w:r>
              <w:rPr/>
              <w:t>—</w:t>
            </w:r>
          </w:p>
        </w:tc>
        <w:tc>
          <w:tcPr>
            <w:tcW w:w="407" w:type="dxa"/>
            <w:tcBorders/>
            <w:shd w:fill="auto" w:val="clear"/>
            <w:vAlign w:val="center"/>
          </w:tcPr>
          <w:p>
            <w:pPr>
              <w:pStyle w:val="TableContents"/>
              <w:spacing w:before="0" w:after="283"/>
              <w:rPr/>
            </w:pPr>
            <w:r>
              <w:rPr/>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Changes in operating assets and liabilities: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rPr/>
            </w:pPr>
            <w:r>
              <w:rPr/>
              <w:t xml:space="preserve">   </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Receivables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1,388</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203</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Inventories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1,812</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603</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Prepaid expenses and other assets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684</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(2,485</w:t>
            </w:r>
          </w:p>
        </w:tc>
        <w:tc>
          <w:tcPr>
            <w:tcW w:w="407" w:type="dxa"/>
            <w:tcBorders/>
            <w:shd w:fill="auto" w:val="clear"/>
            <w:vAlign w:val="center"/>
          </w:tcPr>
          <w:p>
            <w:pPr>
              <w:pStyle w:val="TableContents"/>
              <w:spacing w:before="0" w:after="0"/>
              <w:rPr/>
            </w:pPr>
            <w:r>
              <w:rPr/>
              <w:t>)</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Accounts payable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(4,104</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1,438</w:t>
            </w:r>
          </w:p>
        </w:tc>
        <w:tc>
          <w:tcPr>
            <w:tcW w:w="407" w:type="dxa"/>
            <w:tcBorders/>
            <w:shd w:fill="CCEEFF" w:val="clear"/>
            <w:vAlign w:val="center"/>
          </w:tcPr>
          <w:p>
            <w:pPr>
              <w:pStyle w:val="TableContents"/>
              <w:pBdr/>
              <w:spacing w:before="0" w:after="0"/>
              <w:ind w:left="0" w:right="0" w:hanging="0"/>
              <w:rPr/>
            </w:pPr>
            <w:r>
              <w:rPr/>
              <w:t>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Accrued liabilities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485</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166</w:t>
            </w:r>
          </w:p>
        </w:tc>
        <w:tc>
          <w:tcPr>
            <w:tcW w:w="407" w:type="dxa"/>
            <w:tcBorders/>
            <w:shd w:fill="auto" w:val="clear"/>
            <w:vAlign w:val="center"/>
          </w:tcPr>
          <w:p>
            <w:pPr>
              <w:pStyle w:val="TableContents"/>
              <w:spacing w:before="0" w:after="283"/>
              <w:rPr>
                <w:sz w:val="4"/>
                <w:szCs w:val="4"/>
              </w:rPr>
            </w:pPr>
            <w:r>
              <w:rPr>
                <w:sz w:val="4"/>
                <w:szCs w:val="4"/>
              </w:rPr>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Income taxes receivable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6,466</w:t>
            </w:r>
          </w:p>
        </w:tc>
        <w:tc>
          <w:tcPr>
            <w:tcW w:w="206" w:type="dxa"/>
            <w:tcBorders/>
            <w:shd w:fill="CCEEFF" w:val="clear"/>
            <w:vAlign w:val="center"/>
          </w:tcPr>
          <w:p>
            <w:pPr>
              <w:pStyle w:val="TableContents"/>
              <w:spacing w:before="0" w:after="283"/>
              <w:ind w:left="0" w:right="0" w:hanging="0"/>
              <w:rPr>
                <w:sz w:val="4"/>
                <w:szCs w:val="4"/>
              </w:rPr>
            </w:pPr>
            <w:r>
              <w:rPr>
                <w:sz w:val="4"/>
                <w:szCs w:val="4"/>
              </w:rPr>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(366</w:t>
            </w:r>
          </w:p>
        </w:tc>
        <w:tc>
          <w:tcPr>
            <w:tcW w:w="407" w:type="dxa"/>
            <w:tcBorders/>
            <w:shd w:fill="CCEEFF" w:val="clear"/>
            <w:vAlign w:val="center"/>
          </w:tcPr>
          <w:p>
            <w:pPr>
              <w:pStyle w:val="TableContents"/>
              <w:spacing w:before="0" w:after="0"/>
              <w:rPr/>
            </w:pPr>
            <w:r>
              <w:rPr/>
              <w:t>)</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product revenue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9</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(69</w:t>
            </w:r>
          </w:p>
        </w:tc>
        <w:tc>
          <w:tcPr>
            <w:tcW w:w="407" w:type="dxa"/>
            <w:tcBorders/>
            <w:shd w:fill="auto"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Operating lease liabilities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(623</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(631</w:t>
            </w:r>
          </w:p>
        </w:tc>
        <w:tc>
          <w:tcPr>
            <w:tcW w:w="407" w:type="dxa"/>
            <w:tcBorders/>
            <w:shd w:fill="CCEEFF" w:val="clear"/>
            <w:vAlign w:val="center"/>
          </w:tcPr>
          <w:p>
            <w:pPr>
              <w:pStyle w:val="TableContents"/>
              <w:spacing w:before="0" w:after="0"/>
              <w:rPr/>
            </w:pPr>
            <w:r>
              <w:rPr/>
              <w:t>)</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long-term liabilities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785"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353</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665"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(23</w:t>
            </w:r>
          </w:p>
        </w:tc>
        <w:tc>
          <w:tcPr>
            <w:tcW w:w="407" w:type="dxa"/>
            <w:tcBorders/>
            <w:shd w:fill="auto" w:val="clear"/>
            <w:vAlign w:val="center"/>
          </w:tcPr>
          <w:p>
            <w:pPr>
              <w:pStyle w:val="TableContents"/>
              <w:spacing w:before="0" w:after="0"/>
              <w:rPr/>
            </w:pPr>
            <w:r>
              <w:rPr/>
              <w:t>)</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cash used in operating activities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CCEEFF" w:val="clear"/>
            <w:tcMar>
              <w:bottom w:w="28" w:type="dxa"/>
            </w:tcMar>
            <w:vAlign w:val="center"/>
          </w:tcPr>
          <w:p>
            <w:pPr>
              <w:pStyle w:val="TableContents"/>
              <w:pBdr/>
              <w:spacing w:before="0" w:after="0"/>
              <w:ind w:left="0" w:right="0" w:hanging="0"/>
              <w:rPr/>
            </w:pPr>
            <w:r>
              <w:rPr/>
              <w:t xml:space="preserve">   </w:t>
            </w:r>
          </w:p>
        </w:tc>
        <w:tc>
          <w:tcPr>
            <w:tcW w:w="785" w:type="dxa"/>
            <w:tcBorders>
              <w:bottom w:val="single" w:sz="6"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(4,179</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CCEEFF" w:val="clear"/>
            <w:tcMar>
              <w:bottom w:w="28" w:type="dxa"/>
            </w:tcMar>
            <w:vAlign w:val="center"/>
          </w:tcPr>
          <w:p>
            <w:pPr>
              <w:pStyle w:val="TableContents"/>
              <w:pBdr/>
              <w:spacing w:before="0" w:after="0"/>
              <w:ind w:left="0" w:right="0" w:hanging="0"/>
              <w:rPr/>
            </w:pPr>
            <w:r>
              <w:rPr/>
              <w:t xml:space="preserve">   </w:t>
            </w:r>
          </w:p>
        </w:tc>
        <w:tc>
          <w:tcPr>
            <w:tcW w:w="665" w:type="dxa"/>
            <w:tcBorders>
              <w:bottom w:val="single" w:sz="6"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(4,394</w:t>
            </w:r>
          </w:p>
        </w:tc>
        <w:tc>
          <w:tcPr>
            <w:tcW w:w="407" w:type="dxa"/>
            <w:tcBorders/>
            <w:shd w:fill="CCEEFF" w:val="clear"/>
            <w:vAlign w:val="center"/>
          </w:tcPr>
          <w:p>
            <w:pPr>
              <w:pStyle w:val="TableContents"/>
              <w:spacing w:before="0" w:after="0"/>
              <w:rPr/>
            </w:pPr>
            <w:r>
              <w:rPr/>
              <w:t>)</w:t>
            </w:r>
          </w:p>
        </w:tc>
      </w:tr>
      <w:tr>
        <w:trPr/>
        <w:tc>
          <w:tcPr>
            <w:tcW w:w="7316" w:type="dxa"/>
            <w:tcBorders/>
            <w:shd w:fill="auto" w:val="clear"/>
            <w:vAlign w:val="center"/>
          </w:tcPr>
          <w:p>
            <w:pPr>
              <w:pStyle w:val="TableContents"/>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rPr/>
            </w:pPr>
            <w:r>
              <w:rPr/>
              <w:t xml:space="preserve">   </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flows from investing activities: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rPr/>
            </w:pPr>
            <w:r>
              <w:rPr/>
              <w:t xml:space="preserve">   </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Capitalized patent defense costs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(737</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(7,836</w:t>
            </w:r>
          </w:p>
        </w:tc>
        <w:tc>
          <w:tcPr>
            <w:tcW w:w="407" w:type="dxa"/>
            <w:tcBorders/>
            <w:shd w:fill="auto"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Purchase of property and equipment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(51</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(221</w:t>
            </w:r>
          </w:p>
        </w:tc>
        <w:tc>
          <w:tcPr>
            <w:tcW w:w="407" w:type="dxa"/>
            <w:tcBorders/>
            <w:shd w:fill="CCEEFF"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Purchase of intangibles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(137</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(290</w:t>
            </w:r>
          </w:p>
        </w:tc>
        <w:tc>
          <w:tcPr>
            <w:tcW w:w="407" w:type="dxa"/>
            <w:tcBorders/>
            <w:shd w:fill="auto"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Proceeds from maturities and sales of marketable securities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3,010</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4,004</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Purchase of marketable securities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785" w:type="dxa"/>
            <w:tcBorders>
              <w:bottom w:val="single" w:sz="6" w:space="0" w:color="000000"/>
            </w:tcBorders>
            <w:shd w:fill="auto" w:val="clear"/>
            <w:tcMar>
              <w:bottom w:w="28" w:type="dxa"/>
            </w:tcMar>
            <w:vAlign w:val="center"/>
          </w:tcPr>
          <w:p>
            <w:pPr>
              <w:pStyle w:val="TableContents"/>
              <w:pBdr/>
              <w:spacing w:before="0" w:after="0"/>
              <w:ind w:left="0" w:right="0" w:hanging="0"/>
              <w:jc w:val="right"/>
              <w:rPr/>
            </w:pPr>
            <w:r>
              <w:rPr/>
              <w:t>—</w:t>
            </w:r>
          </w:p>
        </w:tc>
        <w:tc>
          <w:tcPr>
            <w:tcW w:w="206" w:type="dxa"/>
            <w:tcBorders/>
            <w:shd w:fill="auto" w:val="clear"/>
            <w:vAlign w:val="center"/>
          </w:tcPr>
          <w:p>
            <w:pPr>
              <w:pStyle w:val="TableContents"/>
              <w:spacing w:before="0" w:after="283"/>
              <w:ind w:left="0" w:right="0" w:hanging="0"/>
              <w:rPr>
                <w:sz w:val="4"/>
                <w:szCs w:val="4"/>
              </w:rPr>
            </w:pPr>
            <w:r>
              <w:rPr>
                <w:sz w:val="4"/>
                <w:szCs w:val="4"/>
              </w:rPr>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665"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(4,164</w:t>
            </w:r>
          </w:p>
        </w:tc>
        <w:tc>
          <w:tcPr>
            <w:tcW w:w="407" w:type="dxa"/>
            <w:tcBorders/>
            <w:shd w:fill="auto"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cash provided by (used in) investing activities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CCEEFF" w:val="clear"/>
            <w:tcMar>
              <w:bottom w:w="28" w:type="dxa"/>
            </w:tcMar>
            <w:vAlign w:val="center"/>
          </w:tcPr>
          <w:p>
            <w:pPr>
              <w:pStyle w:val="TableContents"/>
              <w:pBdr/>
              <w:spacing w:before="0" w:after="0"/>
              <w:ind w:left="0" w:right="0" w:hanging="0"/>
              <w:rPr/>
            </w:pPr>
            <w:r>
              <w:rPr/>
              <w:t xml:space="preserve">   </w:t>
            </w:r>
          </w:p>
        </w:tc>
        <w:tc>
          <w:tcPr>
            <w:tcW w:w="785" w:type="dxa"/>
            <w:tcBorders>
              <w:bottom w:val="single" w:sz="6"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2,085</w:t>
            </w:r>
          </w:p>
        </w:tc>
        <w:tc>
          <w:tcPr>
            <w:tcW w:w="206" w:type="dxa"/>
            <w:tcBorders/>
            <w:shd w:fill="CCEEFF" w:val="clear"/>
            <w:vAlign w:val="center"/>
          </w:tcPr>
          <w:p>
            <w:pPr>
              <w:pStyle w:val="TableContents"/>
              <w:spacing w:before="0" w:after="283"/>
              <w:ind w:left="0" w:right="0" w:hanging="0"/>
              <w:rPr>
                <w:sz w:val="4"/>
                <w:szCs w:val="4"/>
              </w:rPr>
            </w:pPr>
            <w:r>
              <w:rPr>
                <w:sz w:val="4"/>
                <w:szCs w:val="4"/>
              </w:rPr>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CCEEFF" w:val="clear"/>
            <w:tcMar>
              <w:bottom w:w="28" w:type="dxa"/>
            </w:tcMar>
            <w:vAlign w:val="center"/>
          </w:tcPr>
          <w:p>
            <w:pPr>
              <w:pStyle w:val="TableContents"/>
              <w:pBdr/>
              <w:spacing w:before="0" w:after="0"/>
              <w:ind w:left="0" w:right="0" w:hanging="0"/>
              <w:rPr/>
            </w:pPr>
            <w:r>
              <w:rPr/>
              <w:t xml:space="preserve">   </w:t>
            </w:r>
          </w:p>
        </w:tc>
        <w:tc>
          <w:tcPr>
            <w:tcW w:w="665" w:type="dxa"/>
            <w:tcBorders>
              <w:bottom w:val="single" w:sz="6"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(8,507</w:t>
            </w:r>
          </w:p>
        </w:tc>
        <w:tc>
          <w:tcPr>
            <w:tcW w:w="407" w:type="dxa"/>
            <w:tcBorders/>
            <w:shd w:fill="CCEEFF" w:val="clear"/>
            <w:vAlign w:val="center"/>
          </w:tcPr>
          <w:p>
            <w:pPr>
              <w:pStyle w:val="TableContents"/>
              <w:spacing w:before="0" w:after="0"/>
              <w:rPr/>
            </w:pPr>
            <w:r>
              <w:rPr/>
              <w:t>)</w:t>
            </w:r>
          </w:p>
        </w:tc>
      </w:tr>
      <w:tr>
        <w:trPr/>
        <w:tc>
          <w:tcPr>
            <w:tcW w:w="7316" w:type="dxa"/>
            <w:tcBorders/>
            <w:shd w:fill="auto" w:val="clear"/>
            <w:vAlign w:val="center"/>
          </w:tcPr>
          <w:p>
            <w:pPr>
              <w:pStyle w:val="TableContents"/>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rPr/>
            </w:pPr>
            <w:r>
              <w:rPr/>
              <w:t xml:space="preserve">   </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flows from financing activities: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rPr/>
            </w:pPr>
            <w:r>
              <w:rPr/>
              <w:t xml:space="preserve">   </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Gross proceeds from issuance of common stock and warrants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785" w:type="dxa"/>
            <w:tcBorders/>
            <w:shd w:fill="auto" w:val="clear"/>
            <w:vAlign w:val="center"/>
          </w:tcPr>
          <w:p>
            <w:pPr>
              <w:pStyle w:val="TableContents"/>
              <w:pBdr/>
              <w:spacing w:before="0" w:after="0"/>
              <w:ind w:left="0" w:right="0" w:hanging="0"/>
              <w:jc w:val="right"/>
              <w:rPr/>
            </w:pPr>
            <w:r>
              <w:rPr/>
              <w:t>—</w:t>
            </w:r>
          </w:p>
        </w:tc>
        <w:tc>
          <w:tcPr>
            <w:tcW w:w="206"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shd w:fill="auto" w:val="clear"/>
            <w:vAlign w:val="center"/>
          </w:tcPr>
          <w:p>
            <w:pPr>
              <w:pStyle w:val="TableContents"/>
              <w:pBdr/>
              <w:spacing w:before="0" w:after="0"/>
              <w:ind w:left="0" w:right="0" w:hanging="0"/>
              <w:rPr/>
            </w:pPr>
            <w:r>
              <w:rPr/>
              <w:t xml:space="preserve">   </w:t>
            </w:r>
          </w:p>
        </w:tc>
        <w:tc>
          <w:tcPr>
            <w:tcW w:w="665" w:type="dxa"/>
            <w:tcBorders/>
            <w:shd w:fill="auto"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10,000</w:t>
            </w:r>
          </w:p>
        </w:tc>
        <w:tc>
          <w:tcPr>
            <w:tcW w:w="407" w:type="dxa"/>
            <w:tcBorders/>
            <w:shd w:fill="auto" w:val="clear"/>
            <w:vAlign w:val="center"/>
          </w:tcPr>
          <w:p>
            <w:pPr>
              <w:pStyle w:val="TableContents"/>
              <w:pBdr/>
              <w:spacing w:before="0" w:after="0"/>
              <w:ind w:left="180" w:right="0" w:hanging="0"/>
              <w:rPr/>
            </w:pPr>
            <w:r>
              <w:rPr/>
              <w:t xml:space="preserve">   </w:t>
            </w:r>
          </w:p>
        </w:tc>
      </w:tr>
      <w:tr>
        <w:trPr/>
        <w:tc>
          <w:tcPr>
            <w:tcW w:w="7316" w:type="dxa"/>
            <w:tcBorders/>
            <w:shd w:fill="CCEEFF" w:val="clear"/>
            <w:vAlign w:val="center"/>
          </w:tcPr>
          <w:p>
            <w:pPr>
              <w:pStyle w:val="TableContents"/>
              <w:widowControl/>
              <w:spacing w:before="0" w:after="0"/>
              <w:ind w:left="0" w:right="0" w:hanging="0"/>
              <w:rPr>
                <w:rFonts w:ascii="Times New Roman" w:hAnsi="Times New Roman"/>
                <w:b w:val="false"/>
                <w:i w:val="false"/>
                <w:caps w:val="false"/>
                <w:smallCaps w:val="false"/>
                <w:strike w:val="false"/>
                <w:dstrike w:val="false"/>
                <w:color w:val="000000"/>
                <w:spacing w:val="0"/>
                <w:sz w:val="20"/>
                <w:u w:val="none"/>
                <w:effect w:val="none"/>
              </w:rPr>
            </w:pPr>
            <w:r>
              <w:rPr>
                <w:rFonts w:ascii="Times New Roman" w:hAnsi="Times New Roman"/>
                <w:b w:val="false"/>
                <w:i w:val="false"/>
                <w:caps w:val="false"/>
                <w:smallCaps w:val="false"/>
                <w:strike w:val="false"/>
                <w:dstrike w:val="false"/>
                <w:color w:val="000000"/>
                <w:spacing w:val="0"/>
                <w:sz w:val="20"/>
                <w:u w:val="none"/>
                <w:effect w:val="none"/>
              </w:rPr>
              <w:t>Costs of issuance of common stock and warrants  </w:t>
            </w:r>
          </w:p>
        </w:tc>
        <w:tc>
          <w:tcPr>
            <w:tcW w:w="206" w:type="dxa"/>
            <w:tcBorders/>
            <w:shd w:fill="CCEEFF" w:val="clear"/>
            <w:vAlign w:val="center"/>
          </w:tcPr>
          <w:p>
            <w:pPr>
              <w:pStyle w:val="TableContents"/>
              <w:spacing w:before="0" w:after="283"/>
              <w:ind w:left="0" w:right="0" w:hanging="0"/>
              <w:rPr/>
            </w:pPr>
            <w:r>
              <w:rPr/>
            </w:r>
          </w:p>
        </w:tc>
        <w:tc>
          <w:tcPr>
            <w:tcW w:w="207" w:type="dxa"/>
            <w:tcBorders/>
            <w:shd w:fill="CCEEFF" w:val="clear"/>
            <w:vAlign w:val="center"/>
          </w:tcPr>
          <w:p>
            <w:pPr>
              <w:pStyle w:val="TableContents"/>
              <w:spacing w:before="0" w:after="283"/>
              <w:ind w:left="0" w:right="0" w:hanging="0"/>
              <w:rPr/>
            </w:pPr>
            <w:r>
              <w:rPr/>
            </w:r>
          </w:p>
        </w:tc>
        <w:tc>
          <w:tcPr>
            <w:tcW w:w="785"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283"/>
              <w:ind w:left="0" w:right="0" w:hanging="0"/>
              <w:rPr>
                <w:sz w:val="4"/>
                <w:szCs w:val="4"/>
              </w:rPr>
            </w:pPr>
            <w:r>
              <w:rPr>
                <w:sz w:val="4"/>
                <w:szCs w:val="4"/>
              </w:rPr>
            </w:r>
          </w:p>
        </w:tc>
        <w:tc>
          <w:tcPr>
            <w:tcW w:w="206" w:type="dxa"/>
            <w:tcBorders/>
            <w:shd w:fill="CCEEFF" w:val="clear"/>
            <w:vAlign w:val="center"/>
          </w:tcPr>
          <w:p>
            <w:pPr>
              <w:pStyle w:val="TableContents"/>
              <w:spacing w:before="0" w:after="283"/>
              <w:ind w:left="0" w:right="0" w:hanging="0"/>
              <w:rPr/>
            </w:pPr>
            <w:r>
              <w:rPr/>
            </w:r>
          </w:p>
        </w:tc>
        <w:tc>
          <w:tcPr>
            <w:tcW w:w="207" w:type="dxa"/>
            <w:tcBorders/>
            <w:shd w:fill="CCEEFF" w:val="clear"/>
            <w:vAlign w:val="center"/>
          </w:tcPr>
          <w:p>
            <w:pPr>
              <w:pStyle w:val="TableContents"/>
              <w:spacing w:before="0" w:after="283"/>
              <w:ind w:left="0" w:right="0" w:hanging="0"/>
              <w:rPr/>
            </w:pPr>
            <w:r>
              <w:rPr/>
            </w:r>
          </w:p>
        </w:tc>
        <w:tc>
          <w:tcPr>
            <w:tcW w:w="665" w:type="dxa"/>
            <w:tcBorders/>
            <w:shd w:fill="CCEEFF" w:val="clear"/>
            <w:vAlign w:val="center"/>
          </w:tcPr>
          <w:p>
            <w:pPr>
              <w:pStyle w:val="TableContents"/>
              <w:spacing w:before="0" w:after="0"/>
              <w:ind w:left="0" w:right="0" w:hanging="0"/>
              <w:jc w:val="right"/>
              <w:rPr/>
            </w:pPr>
            <w:r>
              <w:rPr/>
              <w:t>(712</w:t>
            </w:r>
          </w:p>
        </w:tc>
        <w:tc>
          <w:tcPr>
            <w:tcW w:w="407" w:type="dxa"/>
            <w:tcBorders/>
            <w:shd w:fill="CCEEFF" w:val="clear"/>
            <w:vAlign w:val="center"/>
          </w:tcPr>
          <w:p>
            <w:pPr>
              <w:pStyle w:val="TableContents"/>
              <w:spacing w:before="0" w:after="0"/>
              <w:ind w:left="180" w:right="0" w:hanging="0"/>
              <w:rPr/>
            </w:pPr>
            <w:r>
              <w:rPr/>
              <w:t>)</w:t>
            </w:r>
          </w:p>
        </w:tc>
      </w:tr>
      <w:tr>
        <w:trPr/>
        <w:tc>
          <w:tcPr>
            <w:tcW w:w="7316" w:type="dxa"/>
            <w:tcBorders/>
            <w:shd w:fill="auto" w:val="clear"/>
            <w:vAlign w:val="cente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Proceeds from issuance of short-term notes</w:t>
            </w:r>
          </w:p>
        </w:tc>
        <w:tc>
          <w:tcPr>
            <w:tcW w:w="206" w:type="dxa"/>
            <w:tcBorders/>
            <w:shd w:fill="auto" w:val="clear"/>
            <w:vAlign w:val="center"/>
          </w:tcPr>
          <w:p>
            <w:pPr>
              <w:pStyle w:val="TableContents"/>
              <w:spacing w:before="0" w:after="283"/>
              <w:ind w:left="0" w:right="0" w:hanging="0"/>
              <w:rPr/>
            </w:pPr>
            <w:r>
              <w:rPr/>
            </w:r>
          </w:p>
        </w:tc>
        <w:tc>
          <w:tcPr>
            <w:tcW w:w="207" w:type="dxa"/>
            <w:tcBorders/>
            <w:shd w:fill="auto" w:val="clear"/>
            <w:vAlign w:val="center"/>
          </w:tcPr>
          <w:p>
            <w:pPr>
              <w:pStyle w:val="TableContents"/>
              <w:spacing w:before="0" w:after="283"/>
              <w:ind w:left="0" w:right="0" w:hanging="0"/>
              <w:rPr/>
            </w:pPr>
            <w:r>
              <w:rPr/>
            </w:r>
          </w:p>
        </w:tc>
        <w:tc>
          <w:tcPr>
            <w:tcW w:w="785" w:type="dxa"/>
            <w:tcBorders/>
            <w:shd w:fill="auto" w:val="clear"/>
            <w:vAlign w:val="center"/>
          </w:tcPr>
          <w:p>
            <w:pPr>
              <w:pStyle w:val="TableContents"/>
              <w:spacing w:before="0" w:after="0"/>
              <w:ind w:left="0" w:right="0" w:hanging="0"/>
              <w:jc w:val="right"/>
              <w:rPr/>
            </w:pPr>
            <w:r>
              <w:rPr/>
              <w:t>2,000</w:t>
            </w:r>
          </w:p>
        </w:tc>
        <w:tc>
          <w:tcPr>
            <w:tcW w:w="206" w:type="dxa"/>
            <w:tcBorders/>
            <w:shd w:fill="auto" w:val="clear"/>
            <w:vAlign w:val="center"/>
          </w:tcPr>
          <w:p>
            <w:pPr>
              <w:pStyle w:val="TableContents"/>
              <w:spacing w:before="0" w:after="283"/>
              <w:ind w:left="0" w:right="0" w:hanging="0"/>
              <w:rPr/>
            </w:pPr>
            <w:r>
              <w:rPr/>
            </w:r>
          </w:p>
        </w:tc>
        <w:tc>
          <w:tcPr>
            <w:tcW w:w="206" w:type="dxa"/>
            <w:tcBorders/>
            <w:shd w:fill="auto" w:val="clear"/>
            <w:vAlign w:val="center"/>
          </w:tcPr>
          <w:p>
            <w:pPr>
              <w:pStyle w:val="TableContents"/>
              <w:spacing w:before="0" w:after="283"/>
              <w:ind w:left="0" w:right="0" w:hanging="0"/>
              <w:rPr/>
            </w:pPr>
            <w:r>
              <w:rPr/>
            </w:r>
          </w:p>
        </w:tc>
        <w:tc>
          <w:tcPr>
            <w:tcW w:w="207" w:type="dxa"/>
            <w:tcBorders/>
            <w:shd w:fill="auto" w:val="clear"/>
            <w:vAlign w:val="center"/>
          </w:tcPr>
          <w:p>
            <w:pPr>
              <w:pStyle w:val="TableContents"/>
              <w:spacing w:before="0" w:after="283"/>
              <w:ind w:left="0" w:right="0" w:hanging="0"/>
              <w:rPr/>
            </w:pPr>
            <w:r>
              <w:rPr/>
            </w:r>
          </w:p>
        </w:tc>
        <w:tc>
          <w:tcPr>
            <w:tcW w:w="665" w:type="dxa"/>
            <w:tcBorders/>
            <w:shd w:fill="auto" w:val="clear"/>
            <w:vAlign w:val="center"/>
          </w:tcPr>
          <w:p>
            <w:pPr>
              <w:pStyle w:val="TableContents"/>
              <w:spacing w:before="0" w:after="0"/>
              <w:ind w:left="0" w:right="0" w:hanging="0"/>
              <w:jc w:val="right"/>
              <w:rPr/>
            </w:pPr>
            <w:r>
              <w:rPr/>
              <w:t>2,000</w:t>
            </w:r>
          </w:p>
        </w:tc>
        <w:tc>
          <w:tcPr>
            <w:tcW w:w="407" w:type="dxa"/>
            <w:tcBorders/>
            <w:shd w:fill="auto" w:val="clear"/>
            <w:vAlign w:val="center"/>
          </w:tcPr>
          <w:p>
            <w:pPr>
              <w:pStyle w:val="TableContents"/>
              <w:spacing w:before="0" w:after="283"/>
              <w:rPr/>
            </w:pPr>
            <w:r>
              <w:rPr/>
            </w:r>
          </w:p>
        </w:tc>
      </w:tr>
      <w:tr>
        <w:trPr/>
        <w:tc>
          <w:tcPr>
            <w:tcW w:w="731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Proceeds from Paycheck Protection Program loan</w:t>
            </w:r>
          </w:p>
        </w:tc>
        <w:tc>
          <w:tcPr>
            <w:tcW w:w="206" w:type="dxa"/>
            <w:tcBorders/>
            <w:shd w:fill="CCEEFF" w:val="clear"/>
            <w:vAlign w:val="center"/>
          </w:tcPr>
          <w:p>
            <w:pPr>
              <w:pStyle w:val="TableContents"/>
              <w:spacing w:before="0" w:after="283"/>
              <w:ind w:left="0" w:right="0" w:hanging="0"/>
              <w:rPr/>
            </w:pPr>
            <w:r>
              <w:rPr/>
            </w:r>
          </w:p>
        </w:tc>
        <w:tc>
          <w:tcPr>
            <w:tcW w:w="207" w:type="dxa"/>
            <w:tcBorders/>
            <w:shd w:fill="CCEEFF" w:val="clear"/>
            <w:vAlign w:val="center"/>
          </w:tcPr>
          <w:p>
            <w:pPr>
              <w:pStyle w:val="TableContents"/>
              <w:spacing w:before="0" w:after="283"/>
              <w:ind w:left="0" w:right="0" w:hanging="0"/>
              <w:rPr/>
            </w:pPr>
            <w:r>
              <w:rPr/>
            </w:r>
          </w:p>
        </w:tc>
        <w:tc>
          <w:tcPr>
            <w:tcW w:w="785" w:type="dxa"/>
            <w:tcBorders/>
            <w:shd w:fill="CCEEFF" w:val="clear"/>
            <w:vAlign w:val="center"/>
          </w:tcPr>
          <w:p>
            <w:pPr>
              <w:pStyle w:val="TableContents"/>
              <w:spacing w:before="0" w:after="0"/>
              <w:ind w:left="0" w:right="0" w:hanging="0"/>
              <w:jc w:val="right"/>
              <w:rPr/>
            </w:pPr>
            <w:r>
              <w:rPr/>
              <w:t>767</w:t>
            </w:r>
          </w:p>
        </w:tc>
        <w:tc>
          <w:tcPr>
            <w:tcW w:w="206" w:type="dxa"/>
            <w:tcBorders/>
            <w:shd w:fill="CCEEFF" w:val="clear"/>
            <w:vAlign w:val="center"/>
          </w:tcPr>
          <w:p>
            <w:pPr>
              <w:pStyle w:val="TableContents"/>
              <w:spacing w:before="0" w:after="283"/>
              <w:ind w:left="0" w:right="0" w:hanging="0"/>
              <w:rPr/>
            </w:pPr>
            <w:r>
              <w:rPr/>
            </w:r>
          </w:p>
        </w:tc>
        <w:tc>
          <w:tcPr>
            <w:tcW w:w="206" w:type="dxa"/>
            <w:tcBorders/>
            <w:shd w:fill="CCEEFF" w:val="clear"/>
            <w:vAlign w:val="center"/>
          </w:tcPr>
          <w:p>
            <w:pPr>
              <w:pStyle w:val="TableContents"/>
              <w:spacing w:before="0" w:after="283"/>
              <w:ind w:left="0" w:right="0" w:hanging="0"/>
              <w:rPr/>
            </w:pPr>
            <w:r>
              <w:rPr/>
            </w:r>
          </w:p>
        </w:tc>
        <w:tc>
          <w:tcPr>
            <w:tcW w:w="207" w:type="dxa"/>
            <w:tcBorders/>
            <w:shd w:fill="CCEEFF" w:val="clear"/>
            <w:vAlign w:val="center"/>
          </w:tcPr>
          <w:p>
            <w:pPr>
              <w:pStyle w:val="TableContents"/>
              <w:spacing w:before="0" w:after="283"/>
              <w:ind w:left="0" w:right="0" w:hanging="0"/>
              <w:rPr/>
            </w:pPr>
            <w:r>
              <w:rPr/>
            </w:r>
          </w:p>
        </w:tc>
        <w:tc>
          <w:tcPr>
            <w:tcW w:w="665" w:type="dxa"/>
            <w:tcBorders/>
            <w:shd w:fill="CCEEFF" w:val="clear"/>
            <w:vAlign w:val="center"/>
          </w:tcPr>
          <w:p>
            <w:pPr>
              <w:pStyle w:val="TableContents"/>
              <w:spacing w:before="0" w:after="0"/>
              <w:ind w:left="0" w:right="0" w:hanging="0"/>
              <w:jc w:val="right"/>
              <w:rPr/>
            </w:pPr>
            <w:r>
              <w:rPr/>
              <w:t>—</w:t>
            </w:r>
          </w:p>
        </w:tc>
        <w:tc>
          <w:tcPr>
            <w:tcW w:w="407" w:type="dxa"/>
            <w:tcBorders/>
            <w:shd w:fill="CCEEFF" w:val="clear"/>
            <w:vAlign w:val="center"/>
          </w:tcPr>
          <w:p>
            <w:pPr>
              <w:pStyle w:val="TableContents"/>
              <w:spacing w:before="0" w:after="283"/>
              <w:rPr/>
            </w:pPr>
            <w:r>
              <w:rPr/>
            </w:r>
          </w:p>
        </w:tc>
      </w:tr>
      <w:tr>
        <w:trPr/>
        <w:tc>
          <w:tcPr>
            <w:tcW w:w="7316" w:type="dxa"/>
            <w:tcBorders/>
            <w:shd w:fill="auto" w:val="clear"/>
            <w:vAlign w:val="center"/>
          </w:tcPr>
          <w:p>
            <w:pPr>
              <w:pStyle w:val="TableContents"/>
              <w:spacing w:before="0" w:after="283"/>
              <w:ind w:left="0" w:right="0" w:hanging="0"/>
              <w:rPr/>
            </w:pPr>
            <w:r>
              <w:rPr/>
              <w:t>Principal payments of long-term debt</w:t>
            </w:r>
          </w:p>
        </w:tc>
        <w:tc>
          <w:tcPr>
            <w:tcW w:w="206" w:type="dxa"/>
            <w:tcBorders/>
            <w:shd w:fill="auto" w:val="clear"/>
            <w:vAlign w:val="center"/>
          </w:tcPr>
          <w:p>
            <w:pPr>
              <w:pStyle w:val="TableContents"/>
              <w:spacing w:before="0" w:after="283"/>
              <w:ind w:left="0" w:right="0" w:hanging="0"/>
              <w:rPr/>
            </w:pPr>
            <w:r>
              <w:rPr/>
            </w:r>
          </w:p>
        </w:tc>
        <w:tc>
          <w:tcPr>
            <w:tcW w:w="207" w:type="dxa"/>
            <w:tcBorders/>
            <w:shd w:fill="auto" w:val="clear"/>
            <w:vAlign w:val="center"/>
          </w:tcPr>
          <w:p>
            <w:pPr>
              <w:pStyle w:val="TableContents"/>
              <w:spacing w:before="0" w:after="283"/>
              <w:ind w:left="0" w:right="0" w:hanging="0"/>
              <w:rPr/>
            </w:pPr>
            <w:r>
              <w:rPr/>
            </w:r>
          </w:p>
        </w:tc>
        <w:tc>
          <w:tcPr>
            <w:tcW w:w="785" w:type="dxa"/>
            <w:tcBorders/>
            <w:shd w:fill="auto" w:val="clear"/>
            <w:vAlign w:val="center"/>
          </w:tcPr>
          <w:p>
            <w:pPr>
              <w:pStyle w:val="TableContents"/>
              <w:spacing w:before="0" w:after="0"/>
              <w:ind w:left="0" w:right="0" w:hanging="0"/>
              <w:jc w:val="right"/>
              <w:rPr/>
            </w:pPr>
            <w:r>
              <w:rPr/>
              <w:t>(720</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283"/>
              <w:ind w:left="0" w:right="0" w:hanging="0"/>
              <w:rPr/>
            </w:pPr>
            <w:r>
              <w:rPr/>
            </w:r>
          </w:p>
        </w:tc>
        <w:tc>
          <w:tcPr>
            <w:tcW w:w="207" w:type="dxa"/>
            <w:tcBorders/>
            <w:shd w:fill="auto" w:val="clear"/>
            <w:vAlign w:val="center"/>
          </w:tcPr>
          <w:p>
            <w:pPr>
              <w:pStyle w:val="TableContents"/>
              <w:spacing w:before="0" w:after="283"/>
              <w:ind w:left="0" w:right="0" w:hanging="0"/>
              <w:rPr/>
            </w:pPr>
            <w:r>
              <w:rPr/>
            </w:r>
          </w:p>
        </w:tc>
        <w:tc>
          <w:tcPr>
            <w:tcW w:w="665" w:type="dxa"/>
            <w:tcBorders/>
            <w:shd w:fill="auto" w:val="clear"/>
            <w:vAlign w:val="center"/>
          </w:tcPr>
          <w:p>
            <w:pPr>
              <w:pStyle w:val="TableContents"/>
              <w:spacing w:before="0" w:after="0"/>
              <w:ind w:left="0" w:right="0" w:hanging="0"/>
              <w:jc w:val="right"/>
              <w:rPr/>
            </w:pPr>
            <w:r>
              <w:rPr/>
              <w:t>(1,098</w:t>
            </w:r>
          </w:p>
        </w:tc>
        <w:tc>
          <w:tcPr>
            <w:tcW w:w="407" w:type="dxa"/>
            <w:tcBorders/>
            <w:shd w:fill="auto" w:val="clear"/>
            <w:vAlign w:val="center"/>
          </w:tcPr>
          <w:p>
            <w:pPr>
              <w:pStyle w:val="TableContents"/>
              <w:spacing w:before="0" w:after="0"/>
              <w:jc w:val="left"/>
              <w:rPr/>
            </w:pPr>
            <w:r>
              <w:rPr/>
              <w:t>)</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Proceeds from equity-based compensation programs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15</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cash provided by financing activities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top w:val="single" w:sz="8" w:space="0" w:color="000000"/>
              <w:bottom w:val="single" w:sz="6" w:space="0" w:color="000000"/>
            </w:tcBorders>
            <w:shd w:fill="auto" w:val="clear"/>
            <w:tcMar>
              <w:top w:w="28" w:type="dxa"/>
              <w:bottom w:w="28" w:type="dxa"/>
            </w:tcMar>
            <w:vAlign w:val="center"/>
          </w:tcPr>
          <w:p>
            <w:pPr>
              <w:pStyle w:val="TableContents"/>
              <w:pBdr/>
              <w:spacing w:before="0" w:after="0"/>
              <w:ind w:left="0" w:right="0" w:hanging="0"/>
              <w:rPr/>
            </w:pPr>
            <w:r>
              <w:rPr/>
              <w:t xml:space="preserve">   </w:t>
            </w:r>
          </w:p>
        </w:tc>
        <w:tc>
          <w:tcPr>
            <w:tcW w:w="785" w:type="dxa"/>
            <w:tcBorders>
              <w:top w:val="single" w:sz="8" w:space="0" w:color="000000"/>
              <w:bottom w:val="single" w:sz="6" w:space="0" w:color="000000"/>
            </w:tcBorders>
            <w:shd w:fill="auto"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2,051</w:t>
            </w:r>
          </w:p>
        </w:tc>
        <w:tc>
          <w:tcPr>
            <w:tcW w:w="206"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top w:val="single" w:sz="8" w:space="0" w:color="000000"/>
              <w:bottom w:val="single" w:sz="6" w:space="0" w:color="000000"/>
            </w:tcBorders>
            <w:shd w:fill="auto" w:val="clear"/>
            <w:tcMar>
              <w:top w:w="28" w:type="dxa"/>
              <w:bottom w:w="28" w:type="dxa"/>
            </w:tcMar>
            <w:vAlign w:val="center"/>
          </w:tcPr>
          <w:p>
            <w:pPr>
              <w:pStyle w:val="TableContents"/>
              <w:pBdr/>
              <w:spacing w:before="0" w:after="0"/>
              <w:ind w:left="0" w:right="0" w:hanging="0"/>
              <w:rPr/>
            </w:pPr>
            <w:r>
              <w:rPr/>
              <w:t xml:space="preserve">   </w:t>
            </w:r>
          </w:p>
        </w:tc>
        <w:tc>
          <w:tcPr>
            <w:tcW w:w="665" w:type="dxa"/>
            <w:tcBorders>
              <w:top w:val="single" w:sz="8" w:space="0" w:color="000000"/>
              <w:bottom w:val="single" w:sz="6" w:space="0" w:color="000000"/>
            </w:tcBorders>
            <w:shd w:fill="auto" w:val="clear"/>
            <w:tcMar>
              <w:top w:w="28" w:type="dxa"/>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10,205</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CCEEFF" w:val="clear"/>
            <w:vAlign w:val="center"/>
          </w:tcPr>
          <w:p>
            <w:pPr>
              <w:pStyle w:val="TableContents"/>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rPr/>
            </w:pPr>
            <w:r>
              <w:rPr/>
              <w:t xml:space="preserve">   </w:t>
            </w:r>
          </w:p>
        </w:tc>
        <w:tc>
          <w:tcPr>
            <w:tcW w:w="407" w:type="dxa"/>
            <w:tcBorders/>
            <w:shd w:fill="CCEEFF" w:val="clear"/>
            <w:vAlign w:val="center"/>
          </w:tcPr>
          <w:p>
            <w:pPr>
              <w:pStyle w:val="TableContents"/>
              <w:pBdr/>
              <w:spacing w:before="0" w:after="0"/>
              <w:ind w:left="0" w:right="0" w:hanging="0"/>
              <w:rPr/>
            </w:pPr>
            <w:r>
              <w:rPr/>
              <w:t xml:space="preserve">   </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Effect of exchange rate changes on cash and cash equivalents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785"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(44</w:t>
            </w:r>
          </w:p>
        </w:tc>
        <w:tc>
          <w:tcPr>
            <w:tcW w:w="20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665"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(36</w:t>
            </w:r>
          </w:p>
        </w:tc>
        <w:tc>
          <w:tcPr>
            <w:tcW w:w="407" w:type="dxa"/>
            <w:tcBorders/>
            <w:shd w:fill="auto"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decrease in cash and cash equivalents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78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(87</w:t>
            </w:r>
          </w:p>
        </w:tc>
        <w:tc>
          <w:tcPr>
            <w:tcW w:w="206"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shd w:fill="CCEEFF" w:val="clear"/>
            <w:vAlign w:val="center"/>
          </w:tcPr>
          <w:p>
            <w:pPr>
              <w:pStyle w:val="TableContents"/>
              <w:pBdr/>
              <w:spacing w:before="0" w:after="0"/>
              <w:ind w:left="0" w:right="0" w:hanging="0"/>
              <w:rPr/>
            </w:pPr>
            <w:r>
              <w:rPr/>
              <w:t xml:space="preserve">   </w:t>
            </w:r>
          </w:p>
        </w:tc>
        <w:tc>
          <w:tcPr>
            <w:tcW w:w="665"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(2,732</w:t>
            </w:r>
          </w:p>
        </w:tc>
        <w:tc>
          <w:tcPr>
            <w:tcW w:w="407" w:type="dxa"/>
            <w:tcBorders/>
            <w:shd w:fill="CCEEFF" w:val="clear"/>
            <w:vAlign w:val="center"/>
          </w:tcPr>
          <w:p>
            <w:pPr>
              <w:pStyle w:val="TableContents"/>
              <w:spacing w:before="0" w:after="0"/>
              <w:rPr/>
            </w:pPr>
            <w:r>
              <w:rPr/>
              <w:t>)</w:t>
            </w:r>
          </w:p>
        </w:tc>
      </w:tr>
      <w:tr>
        <w:trPr/>
        <w:tc>
          <w:tcPr>
            <w:tcW w:w="731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and cash equivalents at the beginning of the year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785"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1,071</w:t>
            </w:r>
          </w:p>
        </w:tc>
        <w:tc>
          <w:tcPr>
            <w:tcW w:w="206" w:type="dxa"/>
            <w:tcBorders/>
            <w:shd w:fill="auto" w:val="clear"/>
            <w:vAlign w:val="center"/>
          </w:tcPr>
          <w:p>
            <w:pPr>
              <w:pStyle w:val="TableContents"/>
              <w:pBdr/>
              <w:spacing w:before="0" w:after="0"/>
              <w:ind w:left="0" w:right="0" w:hanging="0"/>
              <w:rPr/>
            </w:pPr>
            <w:r>
              <w:rPr/>
              <w:t xml:space="preserve">   </w:t>
            </w:r>
          </w:p>
        </w:tc>
        <w:tc>
          <w:tcPr>
            <w:tcW w:w="206" w:type="dxa"/>
            <w:tcBorders/>
            <w:shd w:fill="auto" w:val="clear"/>
            <w:vAlign w:val="center"/>
          </w:tcPr>
          <w:p>
            <w:pPr>
              <w:pStyle w:val="TableContents"/>
              <w:pBdr/>
              <w:spacing w:before="0" w:after="0"/>
              <w:ind w:left="0" w:right="0" w:hanging="0"/>
              <w:rPr/>
            </w:pPr>
            <w:r>
              <w:rPr/>
              <w:t xml:space="preserve">   </w:t>
            </w:r>
          </w:p>
        </w:tc>
        <w:tc>
          <w:tcPr>
            <w:tcW w:w="207" w:type="dxa"/>
            <w:tcBorders>
              <w:bottom w:val="single" w:sz="6" w:space="0" w:color="000000"/>
            </w:tcBorders>
            <w:shd w:fill="auto" w:val="clear"/>
            <w:tcMar>
              <w:bottom w:w="28" w:type="dxa"/>
            </w:tcMar>
            <w:vAlign w:val="center"/>
          </w:tcPr>
          <w:p>
            <w:pPr>
              <w:pStyle w:val="TableContents"/>
              <w:pBdr/>
              <w:spacing w:before="0" w:after="0"/>
              <w:ind w:left="0" w:right="0" w:hanging="0"/>
              <w:rPr/>
            </w:pPr>
            <w:r>
              <w:rPr/>
              <w:t xml:space="preserve">   </w:t>
            </w:r>
          </w:p>
        </w:tc>
        <w:tc>
          <w:tcPr>
            <w:tcW w:w="665" w:type="dxa"/>
            <w:tcBorders>
              <w:bottom w:val="single" w:sz="6" w:space="0" w:color="000000"/>
            </w:tcBorders>
            <w:shd w:fill="auto"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3,803</w:t>
            </w:r>
          </w:p>
        </w:tc>
        <w:tc>
          <w:tcPr>
            <w:tcW w:w="407" w:type="dxa"/>
            <w:tcBorders/>
            <w:shd w:fill="auto" w:val="clear"/>
            <w:vAlign w:val="center"/>
          </w:tcPr>
          <w:p>
            <w:pPr>
              <w:pStyle w:val="TableContents"/>
              <w:pBdr/>
              <w:spacing w:before="0" w:after="0"/>
              <w:ind w:left="0" w:right="0" w:hanging="0"/>
              <w:rPr/>
            </w:pPr>
            <w:r>
              <w:rPr/>
              <w:t xml:space="preserve">   </w:t>
            </w:r>
          </w:p>
        </w:tc>
      </w:tr>
      <w:tr>
        <w:trPr/>
        <w:tc>
          <w:tcPr>
            <w:tcW w:w="73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and cash equivalents at the end of the year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bottom w:val="double" w:sz="6" w:space="0" w:color="000000"/>
            </w:tcBorders>
            <w:shd w:fill="CCEEFF" w:val="clear"/>
            <w:tcMar>
              <w:bottom w:w="28" w:type="dxa"/>
            </w:tcM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785" w:type="dxa"/>
            <w:tcBorders>
              <w:bottom w:val="double" w:sz="6"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984</w:t>
            </w:r>
          </w:p>
        </w:tc>
        <w:tc>
          <w:tcPr>
            <w:tcW w:w="206" w:type="dxa"/>
            <w:tcBorders/>
            <w:shd w:fill="CCEEFF" w:val="clear"/>
            <w:vAlign w:val="center"/>
          </w:tcPr>
          <w:p>
            <w:pPr>
              <w:pStyle w:val="TableContents"/>
              <w:pBdr/>
              <w:spacing w:before="0" w:after="0"/>
              <w:ind w:left="0" w:right="0" w:hanging="0"/>
              <w:rPr/>
            </w:pPr>
            <w:r>
              <w:rPr/>
              <w:t xml:space="preserve">   </w:t>
            </w:r>
          </w:p>
        </w:tc>
        <w:tc>
          <w:tcPr>
            <w:tcW w:w="206" w:type="dxa"/>
            <w:tcBorders/>
            <w:shd w:fill="CCEEFF" w:val="clear"/>
            <w:vAlign w:val="center"/>
          </w:tcPr>
          <w:p>
            <w:pPr>
              <w:pStyle w:val="TableContents"/>
              <w:pBdr/>
              <w:spacing w:before="0" w:after="0"/>
              <w:ind w:left="0" w:right="0" w:hanging="0"/>
              <w:rPr/>
            </w:pPr>
            <w:r>
              <w:rPr/>
              <w:t xml:space="preserve">   </w:t>
            </w:r>
          </w:p>
        </w:tc>
        <w:tc>
          <w:tcPr>
            <w:tcW w:w="207" w:type="dxa"/>
            <w:tcBorders>
              <w:bottom w:val="double" w:sz="6" w:space="0" w:color="000000"/>
            </w:tcBorders>
            <w:shd w:fill="CCEEFF" w:val="clear"/>
            <w:tcMar>
              <w:bottom w:w="28" w:type="dxa"/>
            </w:tcM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665" w:type="dxa"/>
            <w:tcBorders>
              <w:bottom w:val="double" w:sz="6" w:space="0" w:color="000000"/>
            </w:tcBorders>
            <w:shd w:fill="CCEEFF" w:val="clear"/>
            <w:tcMar>
              <w:bottom w:w="28" w:type="dxa"/>
            </w:tcM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1,071</w:t>
            </w:r>
          </w:p>
        </w:tc>
        <w:tc>
          <w:tcPr>
            <w:tcW w:w="407" w:type="dxa"/>
            <w:tcBorders/>
            <w:shd w:fill="CCEEFF" w:val="clear"/>
            <w:vAlign w:val="center"/>
          </w:tcPr>
          <w:p>
            <w:pPr>
              <w:pStyle w:val="TableContents"/>
              <w:pBdr/>
              <w:spacing w:before="0" w:after="0"/>
              <w:ind w:left="0" w:right="0" w:hanging="0"/>
              <w:rPr/>
            </w:pPr>
            <w:r>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144" w:right="144"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F-6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CLEARONE, INC.</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7289"/>
        <w:gridCol w:w="229"/>
        <w:gridCol w:w="275"/>
        <w:gridCol w:w="772"/>
        <w:gridCol w:w="275"/>
        <w:gridCol w:w="275"/>
        <w:gridCol w:w="275"/>
        <w:gridCol w:w="536"/>
        <w:gridCol w:w="279"/>
      </w:tblGrid>
      <w:tr>
        <w:trPr/>
        <w:tc>
          <w:tcPr>
            <w:tcW w:w="7289"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2408"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279" w:type="dxa"/>
            <w:tcBorders/>
            <w:shd w:fill="auto" w:val="clear"/>
            <w:vAlign w:val="center"/>
          </w:tcPr>
          <w:p>
            <w:pPr>
              <w:pStyle w:val="TableContents"/>
              <w:spacing w:before="0" w:after="0"/>
              <w:ind w:left="0" w:right="0" w:hanging="0"/>
              <w:rPr/>
            </w:pPr>
            <w:r>
              <w:rPr/>
              <w:t xml:space="preserve">   </w:t>
            </w:r>
          </w:p>
        </w:tc>
      </w:tr>
      <w:tr>
        <w:trPr/>
        <w:tc>
          <w:tcPr>
            <w:tcW w:w="7289" w:type="dxa"/>
            <w:tcBorders/>
            <w:shd w:fill="auto" w:val="clear"/>
            <w:vAlign w:val="center"/>
          </w:tcPr>
          <w:p>
            <w:pPr>
              <w:pStyle w:val="TableContents"/>
              <w:spacing w:before="0" w:after="0"/>
              <w:ind w:left="0" w:right="0" w:hanging="0"/>
              <w:rPr/>
            </w:pPr>
            <w:r>
              <w:rPr/>
              <w:t xml:space="preserve">   </w:t>
            </w:r>
          </w:p>
        </w:tc>
        <w:tc>
          <w:tcPr>
            <w:tcW w:w="229" w:type="dxa"/>
            <w:tcBorders/>
            <w:shd w:fill="auto" w:val="clear"/>
            <w:vAlign w:val="center"/>
          </w:tcPr>
          <w:p>
            <w:pPr>
              <w:pStyle w:val="TableContents"/>
              <w:spacing w:before="0" w:after="0"/>
              <w:ind w:left="0" w:right="0" w:hanging="0"/>
              <w:rPr/>
            </w:pPr>
            <w:r>
              <w:rPr/>
              <w:t xml:space="preserve">   </w:t>
            </w:r>
          </w:p>
        </w:tc>
        <w:tc>
          <w:tcPr>
            <w:tcW w:w="104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2022</w:t>
            </w:r>
          </w:p>
        </w:tc>
        <w:tc>
          <w:tcPr>
            <w:tcW w:w="275" w:type="dxa"/>
            <w:tcBorders/>
            <w:shd w:fill="auto" w:val="clear"/>
            <w:vAlign w:val="center"/>
          </w:tcPr>
          <w:p>
            <w:pPr>
              <w:pStyle w:val="TableContents"/>
              <w:spacing w:before="0" w:after="0"/>
              <w:ind w:left="0" w:right="0" w:hanging="0"/>
              <w:rPr/>
            </w:pPr>
            <w:r>
              <w:rPr/>
              <w:t xml:space="preserve">   </w:t>
            </w:r>
          </w:p>
        </w:tc>
        <w:tc>
          <w:tcPr>
            <w:tcW w:w="275" w:type="dxa"/>
            <w:tcBorders/>
            <w:shd w:fill="auto" w:val="clear"/>
            <w:vAlign w:val="center"/>
          </w:tcPr>
          <w:p>
            <w:pPr>
              <w:pStyle w:val="TableContents"/>
              <w:spacing w:before="0" w:after="0"/>
              <w:ind w:left="0" w:right="0" w:hanging="0"/>
              <w:rPr/>
            </w:pPr>
            <w:r>
              <w:rPr/>
              <w:t xml:space="preserve">   </w:t>
            </w:r>
          </w:p>
        </w:tc>
        <w:tc>
          <w:tcPr>
            <w:tcW w:w="811"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2021</w:t>
            </w:r>
          </w:p>
        </w:tc>
        <w:tc>
          <w:tcPr>
            <w:tcW w:w="279" w:type="dxa"/>
            <w:tcBorders/>
            <w:shd w:fill="auto" w:val="clear"/>
            <w:vAlign w:val="center"/>
          </w:tcPr>
          <w:p>
            <w:pPr>
              <w:pStyle w:val="TableContents"/>
              <w:spacing w:before="0" w:after="0"/>
              <w:ind w:left="0" w:right="0" w:hanging="0"/>
              <w:rPr/>
            </w:pPr>
            <w:r>
              <w:rPr/>
              <w:t xml:space="preserve">   </w:t>
            </w:r>
          </w:p>
        </w:tc>
      </w:tr>
      <w:tr>
        <w:trPr/>
        <w:tc>
          <w:tcPr>
            <w:tcW w:w="72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Supplemental disclosure of cash flow information: </w:t>
            </w:r>
          </w:p>
        </w:tc>
        <w:tc>
          <w:tcPr>
            <w:tcW w:w="229" w:type="dxa"/>
            <w:tcBorders/>
            <w:shd w:fill="auto" w:val="clear"/>
            <w:vAlign w:val="center"/>
          </w:tcPr>
          <w:p>
            <w:pPr>
              <w:pStyle w:val="TableContents"/>
              <w:spacing w:before="0" w:after="0"/>
              <w:ind w:left="0" w:right="0" w:hanging="0"/>
              <w:rPr/>
            </w:pPr>
            <w:r>
              <w:rPr/>
              <w:t xml:space="preserve">   </w:t>
            </w:r>
          </w:p>
        </w:tc>
        <w:tc>
          <w:tcPr>
            <w:tcW w:w="275" w:type="dxa"/>
            <w:tcBorders/>
            <w:shd w:fill="auto" w:val="clear"/>
            <w:vAlign w:val="center"/>
          </w:tcPr>
          <w:p>
            <w:pPr>
              <w:pStyle w:val="TableContents"/>
              <w:spacing w:before="0" w:after="0"/>
              <w:ind w:left="0" w:right="0" w:hanging="0"/>
              <w:rPr/>
            </w:pPr>
            <w:r>
              <w:rPr/>
              <w:t xml:space="preserve">   </w:t>
            </w:r>
          </w:p>
        </w:tc>
        <w:tc>
          <w:tcPr>
            <w:tcW w:w="772" w:type="dxa"/>
            <w:tcBorders/>
            <w:shd w:fill="auto" w:val="clear"/>
            <w:vAlign w:val="center"/>
          </w:tcPr>
          <w:p>
            <w:pPr>
              <w:pStyle w:val="TableContents"/>
              <w:spacing w:before="0" w:after="0"/>
              <w:ind w:left="0" w:right="0" w:hanging="0"/>
              <w:rPr/>
            </w:pPr>
            <w:r>
              <w:rPr/>
              <w:t xml:space="preserve">   </w:t>
            </w:r>
          </w:p>
        </w:tc>
        <w:tc>
          <w:tcPr>
            <w:tcW w:w="275" w:type="dxa"/>
            <w:tcBorders/>
            <w:shd w:fill="auto" w:val="clear"/>
            <w:vAlign w:val="center"/>
          </w:tcPr>
          <w:p>
            <w:pPr>
              <w:pStyle w:val="TableContents"/>
              <w:spacing w:before="0" w:after="0"/>
              <w:ind w:left="0" w:right="0" w:hanging="0"/>
              <w:rPr/>
            </w:pPr>
            <w:r>
              <w:rPr/>
              <w:t xml:space="preserve">   </w:t>
            </w:r>
          </w:p>
        </w:tc>
        <w:tc>
          <w:tcPr>
            <w:tcW w:w="275" w:type="dxa"/>
            <w:tcBorders/>
            <w:shd w:fill="auto" w:val="clear"/>
            <w:vAlign w:val="center"/>
          </w:tcPr>
          <w:p>
            <w:pPr>
              <w:pStyle w:val="TableContents"/>
              <w:spacing w:before="0" w:after="0"/>
              <w:ind w:left="0" w:right="0" w:hanging="0"/>
              <w:rPr/>
            </w:pPr>
            <w:r>
              <w:rPr/>
              <w:t xml:space="preserve">   </w:t>
            </w:r>
          </w:p>
        </w:tc>
        <w:tc>
          <w:tcPr>
            <w:tcW w:w="275" w:type="dxa"/>
            <w:tcBorders/>
            <w:shd w:fill="auto" w:val="clear"/>
            <w:vAlign w:val="center"/>
          </w:tcPr>
          <w:p>
            <w:pPr>
              <w:pStyle w:val="TableContents"/>
              <w:spacing w:before="0" w:after="0"/>
              <w:ind w:left="0" w:right="0" w:hanging="0"/>
              <w:rPr/>
            </w:pPr>
            <w:r>
              <w:rPr/>
              <w:t xml:space="preserve">   </w:t>
            </w:r>
          </w:p>
        </w:tc>
        <w:tc>
          <w:tcPr>
            <w:tcW w:w="536" w:type="dxa"/>
            <w:tcBorders/>
            <w:shd w:fill="auto" w:val="clear"/>
            <w:vAlign w:val="center"/>
          </w:tcPr>
          <w:p>
            <w:pPr>
              <w:pStyle w:val="TableContents"/>
              <w:spacing w:before="0" w:after="0"/>
              <w:ind w:left="0" w:right="0" w:hanging="0"/>
              <w:rPr/>
            </w:pPr>
            <w:r>
              <w:rPr/>
              <w:t xml:space="preserve">   </w:t>
            </w:r>
          </w:p>
        </w:tc>
        <w:tc>
          <w:tcPr>
            <w:tcW w:w="279" w:type="dxa"/>
            <w:tcBorders/>
            <w:shd w:fill="auto" w:val="clear"/>
            <w:vAlign w:val="center"/>
          </w:tcPr>
          <w:p>
            <w:pPr>
              <w:pStyle w:val="TableContents"/>
              <w:spacing w:before="0" w:after="0"/>
              <w:ind w:left="0" w:right="0" w:hanging="0"/>
              <w:rPr/>
            </w:pPr>
            <w:r>
              <w:rPr/>
              <w:t xml:space="preserve">   </w:t>
            </w:r>
          </w:p>
        </w:tc>
      </w:tr>
      <w:tr>
        <w:trPr/>
        <w:tc>
          <w:tcPr>
            <w:tcW w:w="728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paid for income taxes </w:t>
            </w:r>
          </w:p>
        </w:tc>
        <w:tc>
          <w:tcPr>
            <w:tcW w:w="229" w:type="dxa"/>
            <w:tcBorders/>
            <w:shd w:fill="CCEEFF" w:val="clear"/>
            <w:vAlign w:val="center"/>
          </w:tcPr>
          <w:p>
            <w:pPr>
              <w:pStyle w:val="TableContents"/>
              <w:spacing w:before="0" w:after="0"/>
              <w:ind w:left="0" w:right="0" w:hanging="0"/>
              <w:rPr/>
            </w:pPr>
            <w:r>
              <w:rPr/>
              <w:t xml:space="preserve">   </w:t>
            </w:r>
          </w:p>
        </w:tc>
        <w:tc>
          <w:tcPr>
            <w:tcW w:w="2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72"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88</w:t>
            </w:r>
          </w:p>
        </w:tc>
        <w:tc>
          <w:tcPr>
            <w:tcW w:w="275" w:type="dxa"/>
            <w:tcBorders/>
            <w:shd w:fill="CCEEFF" w:val="clear"/>
            <w:vAlign w:val="center"/>
          </w:tcPr>
          <w:p>
            <w:pPr>
              <w:pStyle w:val="TableContents"/>
              <w:pBdr/>
              <w:spacing w:before="0" w:after="0"/>
              <w:ind w:left="0" w:right="0" w:hanging="0"/>
              <w:rPr/>
            </w:pPr>
            <w:r>
              <w:rPr/>
              <w:t xml:space="preserve">   </w:t>
            </w:r>
          </w:p>
        </w:tc>
        <w:tc>
          <w:tcPr>
            <w:tcW w:w="275" w:type="dxa"/>
            <w:tcBorders/>
            <w:shd w:fill="CCEEFF" w:val="clear"/>
            <w:vAlign w:val="center"/>
          </w:tcPr>
          <w:p>
            <w:pPr>
              <w:pStyle w:val="TableContents"/>
              <w:pBdr/>
              <w:spacing w:before="0" w:after="0"/>
              <w:ind w:left="0" w:right="0" w:hanging="0"/>
              <w:rPr/>
            </w:pPr>
            <w:r>
              <w:rPr/>
              <w:t xml:space="preserve">   </w:t>
            </w:r>
          </w:p>
        </w:tc>
        <w:tc>
          <w:tcPr>
            <w:tcW w:w="275" w:type="dxa"/>
            <w:tcBorders/>
            <w:shd w:fill="CCEEFF" w:val="clear"/>
            <w:vAlign w:val="center"/>
          </w:tcPr>
          <w:p>
            <w:pPr>
              <w:pStyle w:val="TableContents"/>
              <w:pBdr/>
              <w:spacing w:before="0" w:after="0"/>
              <w:ind w:left="0" w:right="0" w:hanging="0"/>
              <w:rPr>
                <w:rFonts w:ascii="Times New Roman" w:hAnsi="Times New Roman"/>
                <w:sz w:val="20"/>
              </w:rPr>
            </w:pPr>
            <w:r>
              <w:rPr>
                <w:rFonts w:ascii="Times New Roman" w:hAnsi="Times New Roman"/>
                <w:sz w:val="20"/>
              </w:rPr>
              <w:t xml:space="preserve">$ </w:t>
            </w:r>
          </w:p>
        </w:tc>
        <w:tc>
          <w:tcPr>
            <w:tcW w:w="536" w:type="dxa"/>
            <w:tcBorders/>
            <w:shd w:fill="CCEEFF" w:val="clear"/>
            <w:vAlign w:val="center"/>
          </w:tcPr>
          <w:p>
            <w:pPr>
              <w:pStyle w:val="TableContents"/>
              <w:pBdr/>
              <w:spacing w:before="0" w:after="0"/>
              <w:ind w:left="0" w:right="0" w:hanging="0"/>
              <w:jc w:val="right"/>
              <w:rPr>
                <w:rFonts w:ascii="Times New Roman" w:hAnsi="Times New Roman"/>
                <w:sz w:val="20"/>
              </w:rPr>
            </w:pPr>
            <w:r>
              <w:rPr>
                <w:rFonts w:ascii="Times New Roman" w:hAnsi="Times New Roman"/>
                <w:sz w:val="20"/>
              </w:rPr>
              <w:t>107</w:t>
            </w:r>
          </w:p>
        </w:tc>
        <w:tc>
          <w:tcPr>
            <w:tcW w:w="279" w:type="dxa"/>
            <w:tcBorders/>
            <w:shd w:fill="CCEEFF" w:val="clear"/>
            <w:vAlign w:val="center"/>
          </w:tcPr>
          <w:p>
            <w:pPr>
              <w:pStyle w:val="TableContents"/>
              <w:spacing w:before="0" w:after="0"/>
              <w:ind w:left="0" w:right="0" w:hanging="0"/>
              <w:rPr/>
            </w:pPr>
            <w:r>
              <w:rPr/>
              <w:t xml:space="preserve">   </w:t>
            </w:r>
          </w:p>
        </w:tc>
      </w:tr>
      <w:tr>
        <w:trPr/>
        <w:tc>
          <w:tcPr>
            <w:tcW w:w="7289" w:type="dxa"/>
            <w:tcBorders/>
            <w:shd w:fill="auto" w:val="clear"/>
            <w:vAlign w:val="center"/>
          </w:tcPr>
          <w:p>
            <w:pPr>
              <w:pStyle w:val="TableContents"/>
              <w:spacing w:before="0" w:after="283"/>
              <w:rPr/>
            </w:pPr>
            <w:r>
              <w:rPr/>
              <w:t>Cash paid for interest</w:t>
            </w:r>
          </w:p>
        </w:tc>
        <w:tc>
          <w:tcPr>
            <w:tcW w:w="229" w:type="dxa"/>
            <w:tcBorders/>
            <w:shd w:fill="auto" w:val="clear"/>
            <w:vAlign w:val="center"/>
          </w:tcPr>
          <w:p>
            <w:pPr>
              <w:pStyle w:val="TableContents"/>
              <w:spacing w:before="0" w:after="283"/>
              <w:rPr/>
            </w:pPr>
            <w:r>
              <w:rPr/>
            </w:r>
          </w:p>
        </w:tc>
        <w:tc>
          <w:tcPr>
            <w:tcW w:w="275" w:type="dxa"/>
            <w:tcBorders/>
            <w:shd w:fill="auto" w:val="clear"/>
            <w:vAlign w:val="center"/>
          </w:tcPr>
          <w:p>
            <w:pPr>
              <w:pStyle w:val="TableContents"/>
              <w:spacing w:before="0" w:after="283"/>
              <w:ind w:left="0" w:right="0" w:hanging="0"/>
              <w:rPr/>
            </w:pPr>
            <w:r>
              <w:rPr/>
            </w:r>
          </w:p>
        </w:tc>
        <w:tc>
          <w:tcPr>
            <w:tcW w:w="772" w:type="dxa"/>
            <w:tcBorders/>
            <w:shd w:fill="auto" w:val="clear"/>
            <w:vAlign w:val="center"/>
          </w:tcPr>
          <w:p>
            <w:pPr>
              <w:pStyle w:val="TableContents"/>
              <w:spacing w:before="0" w:after="0"/>
              <w:ind w:left="0" w:right="0" w:hanging="0"/>
              <w:jc w:val="right"/>
              <w:rPr/>
            </w:pPr>
            <w:r>
              <w:rPr/>
              <w:t>226</w:t>
            </w:r>
          </w:p>
        </w:tc>
        <w:tc>
          <w:tcPr>
            <w:tcW w:w="275" w:type="dxa"/>
            <w:tcBorders/>
            <w:shd w:fill="auto" w:val="clear"/>
            <w:vAlign w:val="center"/>
          </w:tcPr>
          <w:p>
            <w:pPr>
              <w:pStyle w:val="TableContents"/>
              <w:spacing w:before="0" w:after="283"/>
              <w:ind w:left="0" w:right="0" w:hanging="0"/>
              <w:rPr/>
            </w:pPr>
            <w:r>
              <w:rPr/>
            </w:r>
          </w:p>
        </w:tc>
        <w:tc>
          <w:tcPr>
            <w:tcW w:w="275" w:type="dxa"/>
            <w:tcBorders/>
            <w:shd w:fill="auto" w:val="clear"/>
            <w:vAlign w:val="center"/>
          </w:tcPr>
          <w:p>
            <w:pPr>
              <w:pStyle w:val="TableContents"/>
              <w:spacing w:before="0" w:after="283"/>
              <w:ind w:left="0" w:right="0" w:hanging="0"/>
              <w:rPr/>
            </w:pPr>
            <w:r>
              <w:rPr/>
            </w:r>
          </w:p>
        </w:tc>
        <w:tc>
          <w:tcPr>
            <w:tcW w:w="275" w:type="dxa"/>
            <w:tcBorders/>
            <w:shd w:fill="auto" w:val="clear"/>
            <w:vAlign w:val="center"/>
          </w:tcPr>
          <w:p>
            <w:pPr>
              <w:pStyle w:val="TableContents"/>
              <w:spacing w:before="0" w:after="283"/>
              <w:ind w:left="0" w:right="0" w:hanging="0"/>
              <w:rPr/>
            </w:pPr>
            <w:r>
              <w:rPr/>
            </w:r>
          </w:p>
        </w:tc>
        <w:tc>
          <w:tcPr>
            <w:tcW w:w="536" w:type="dxa"/>
            <w:tcBorders/>
            <w:shd w:fill="auto" w:val="clear"/>
            <w:vAlign w:val="center"/>
          </w:tcPr>
          <w:p>
            <w:pPr>
              <w:pStyle w:val="TableContents"/>
              <w:spacing w:before="0" w:after="0"/>
              <w:jc w:val="right"/>
              <w:rPr/>
            </w:pPr>
            <w:r>
              <w:rPr/>
              <w:t>296</w:t>
            </w:r>
          </w:p>
        </w:tc>
        <w:tc>
          <w:tcPr>
            <w:tcW w:w="279" w:type="dxa"/>
            <w:tcBorders/>
            <w:shd w:fill="auto" w:val="clear"/>
            <w:vAlign w:val="center"/>
          </w:tcPr>
          <w:p>
            <w:pPr>
              <w:pStyle w:val="TableContents"/>
              <w:spacing w:before="0" w:after="283"/>
              <w:rPr/>
            </w:pPr>
            <w:r>
              <w:rPr/>
            </w:r>
          </w:p>
        </w:tc>
      </w:tr>
      <w:tr>
        <w:trPr/>
        <w:tc>
          <w:tcPr>
            <w:tcW w:w="7289" w:type="dxa"/>
            <w:tcBorders/>
            <w:shd w:fill="CCEEFF" w:val="clear"/>
            <w:vAlign w:val="center"/>
          </w:tcPr>
          <w:p>
            <w:pPr>
              <w:pStyle w:val="TableContents"/>
              <w:spacing w:before="0" w:after="283"/>
              <w:rPr/>
            </w:pPr>
            <w:r>
              <w:rPr/>
            </w:r>
          </w:p>
        </w:tc>
        <w:tc>
          <w:tcPr>
            <w:tcW w:w="229" w:type="dxa"/>
            <w:tcBorders/>
            <w:shd w:fill="CCEEFF" w:val="clear"/>
            <w:vAlign w:val="center"/>
          </w:tcPr>
          <w:p>
            <w:pPr>
              <w:pStyle w:val="TableContents"/>
              <w:spacing w:before="0" w:after="283"/>
              <w:rPr/>
            </w:pPr>
            <w:r>
              <w:rPr/>
            </w:r>
          </w:p>
        </w:tc>
        <w:tc>
          <w:tcPr>
            <w:tcW w:w="275" w:type="dxa"/>
            <w:tcBorders/>
            <w:shd w:fill="CCEEFF" w:val="clear"/>
            <w:vAlign w:val="center"/>
          </w:tcPr>
          <w:p>
            <w:pPr>
              <w:pStyle w:val="TableContents"/>
              <w:spacing w:before="0" w:after="283"/>
              <w:ind w:left="0" w:right="0" w:hanging="0"/>
              <w:rPr/>
            </w:pPr>
            <w:r>
              <w:rPr/>
            </w:r>
          </w:p>
        </w:tc>
        <w:tc>
          <w:tcPr>
            <w:tcW w:w="772" w:type="dxa"/>
            <w:tcBorders/>
            <w:shd w:fill="CCEEFF" w:val="clear"/>
            <w:vAlign w:val="center"/>
          </w:tcPr>
          <w:p>
            <w:pPr>
              <w:pStyle w:val="TableContents"/>
              <w:spacing w:before="0" w:after="283"/>
              <w:ind w:left="0" w:right="0" w:hanging="0"/>
              <w:rPr/>
            </w:pPr>
            <w:r>
              <w:rPr/>
            </w:r>
          </w:p>
        </w:tc>
        <w:tc>
          <w:tcPr>
            <w:tcW w:w="275" w:type="dxa"/>
            <w:tcBorders/>
            <w:shd w:fill="CCEEFF" w:val="clear"/>
            <w:vAlign w:val="center"/>
          </w:tcPr>
          <w:p>
            <w:pPr>
              <w:pStyle w:val="TableContents"/>
              <w:spacing w:before="0" w:after="283"/>
              <w:ind w:left="0" w:right="0" w:hanging="0"/>
              <w:rPr/>
            </w:pPr>
            <w:r>
              <w:rPr/>
            </w:r>
          </w:p>
        </w:tc>
        <w:tc>
          <w:tcPr>
            <w:tcW w:w="275" w:type="dxa"/>
            <w:tcBorders/>
            <w:shd w:fill="CCEEFF" w:val="clear"/>
            <w:vAlign w:val="center"/>
          </w:tcPr>
          <w:p>
            <w:pPr>
              <w:pStyle w:val="TableContents"/>
              <w:spacing w:before="0" w:after="283"/>
              <w:ind w:left="0" w:right="0" w:hanging="0"/>
              <w:rPr/>
            </w:pPr>
            <w:r>
              <w:rPr/>
            </w:r>
          </w:p>
        </w:tc>
        <w:tc>
          <w:tcPr>
            <w:tcW w:w="275" w:type="dxa"/>
            <w:tcBorders/>
            <w:shd w:fill="CCEEFF" w:val="clear"/>
            <w:vAlign w:val="center"/>
          </w:tcPr>
          <w:p>
            <w:pPr>
              <w:pStyle w:val="TableContents"/>
              <w:spacing w:before="0" w:after="283"/>
              <w:ind w:left="0" w:right="0" w:hanging="0"/>
              <w:rPr/>
            </w:pPr>
            <w:r>
              <w:rPr/>
            </w:r>
          </w:p>
        </w:tc>
        <w:tc>
          <w:tcPr>
            <w:tcW w:w="536" w:type="dxa"/>
            <w:tcBorders/>
            <w:shd w:fill="CCEEFF" w:val="clear"/>
            <w:vAlign w:val="center"/>
          </w:tcPr>
          <w:p>
            <w:pPr>
              <w:pStyle w:val="TableContents"/>
              <w:spacing w:before="0" w:after="283"/>
              <w:rPr/>
            </w:pPr>
            <w:r>
              <w:rPr/>
            </w:r>
          </w:p>
        </w:tc>
        <w:tc>
          <w:tcPr>
            <w:tcW w:w="279" w:type="dxa"/>
            <w:tcBorders/>
            <w:shd w:fill="CCEEFF" w:val="clear"/>
            <w:vAlign w:val="center"/>
          </w:tcPr>
          <w:p>
            <w:pPr>
              <w:pStyle w:val="TableContents"/>
              <w:spacing w:before="0" w:after="283"/>
              <w:rPr/>
            </w:pPr>
            <w:r>
              <w:rPr/>
            </w:r>
          </w:p>
        </w:tc>
      </w:tr>
      <w:tr>
        <w:trPr/>
        <w:tc>
          <w:tcPr>
            <w:tcW w:w="7289" w:type="dxa"/>
            <w:tcBorders/>
            <w:shd w:fill="auto" w:val="clear"/>
            <w:vAlign w:val="center"/>
          </w:tcPr>
          <w:p>
            <w:pPr>
              <w:pStyle w:val="TableContents"/>
              <w:spacing w:before="0" w:after="283"/>
              <w:rPr/>
            </w:pPr>
            <w:r>
              <w:rPr/>
              <w:t>Supplemental disclosure of non-cash investing and financing activities</w:t>
            </w:r>
          </w:p>
        </w:tc>
        <w:tc>
          <w:tcPr>
            <w:tcW w:w="229" w:type="dxa"/>
            <w:tcBorders/>
            <w:shd w:fill="auto" w:val="clear"/>
            <w:vAlign w:val="center"/>
          </w:tcPr>
          <w:p>
            <w:pPr>
              <w:pStyle w:val="TableContents"/>
              <w:spacing w:before="0" w:after="283"/>
              <w:rPr/>
            </w:pPr>
            <w:r>
              <w:rPr/>
            </w:r>
          </w:p>
        </w:tc>
        <w:tc>
          <w:tcPr>
            <w:tcW w:w="275" w:type="dxa"/>
            <w:tcBorders/>
            <w:shd w:fill="auto" w:val="clear"/>
            <w:vAlign w:val="center"/>
          </w:tcPr>
          <w:p>
            <w:pPr>
              <w:pStyle w:val="TableContents"/>
              <w:spacing w:before="0" w:after="283"/>
              <w:ind w:left="0" w:right="0" w:hanging="0"/>
              <w:rPr/>
            </w:pPr>
            <w:r>
              <w:rPr/>
            </w:r>
          </w:p>
        </w:tc>
        <w:tc>
          <w:tcPr>
            <w:tcW w:w="772" w:type="dxa"/>
            <w:tcBorders/>
            <w:shd w:fill="auto" w:val="clear"/>
            <w:vAlign w:val="center"/>
          </w:tcPr>
          <w:p>
            <w:pPr>
              <w:pStyle w:val="TableContents"/>
              <w:spacing w:before="0" w:after="283"/>
              <w:ind w:left="0" w:right="0" w:hanging="0"/>
              <w:rPr/>
            </w:pPr>
            <w:r>
              <w:rPr/>
            </w:r>
          </w:p>
        </w:tc>
        <w:tc>
          <w:tcPr>
            <w:tcW w:w="275" w:type="dxa"/>
            <w:tcBorders/>
            <w:shd w:fill="auto" w:val="clear"/>
            <w:vAlign w:val="center"/>
          </w:tcPr>
          <w:p>
            <w:pPr>
              <w:pStyle w:val="TableContents"/>
              <w:spacing w:before="0" w:after="283"/>
              <w:ind w:left="0" w:right="0" w:hanging="0"/>
              <w:rPr/>
            </w:pPr>
            <w:r>
              <w:rPr/>
            </w:r>
          </w:p>
        </w:tc>
        <w:tc>
          <w:tcPr>
            <w:tcW w:w="275" w:type="dxa"/>
            <w:tcBorders/>
            <w:shd w:fill="auto" w:val="clear"/>
            <w:vAlign w:val="center"/>
          </w:tcPr>
          <w:p>
            <w:pPr>
              <w:pStyle w:val="TableContents"/>
              <w:spacing w:before="0" w:after="283"/>
              <w:ind w:left="0" w:right="0" w:hanging="0"/>
              <w:rPr/>
            </w:pPr>
            <w:r>
              <w:rPr/>
            </w:r>
          </w:p>
        </w:tc>
        <w:tc>
          <w:tcPr>
            <w:tcW w:w="275" w:type="dxa"/>
            <w:tcBorders/>
            <w:shd w:fill="auto" w:val="clear"/>
            <w:vAlign w:val="center"/>
          </w:tcPr>
          <w:p>
            <w:pPr>
              <w:pStyle w:val="TableContents"/>
              <w:spacing w:before="0" w:after="283"/>
              <w:ind w:left="0" w:right="0" w:hanging="0"/>
              <w:rPr/>
            </w:pPr>
            <w:r>
              <w:rPr/>
            </w:r>
          </w:p>
        </w:tc>
        <w:tc>
          <w:tcPr>
            <w:tcW w:w="536" w:type="dxa"/>
            <w:tcBorders/>
            <w:shd w:fill="auto" w:val="clear"/>
            <w:vAlign w:val="center"/>
          </w:tcPr>
          <w:p>
            <w:pPr>
              <w:pStyle w:val="TableContents"/>
              <w:spacing w:before="0" w:after="283"/>
              <w:rPr/>
            </w:pPr>
            <w:r>
              <w:rPr/>
            </w:r>
          </w:p>
        </w:tc>
        <w:tc>
          <w:tcPr>
            <w:tcW w:w="279" w:type="dxa"/>
            <w:tcBorders/>
            <w:shd w:fill="auto" w:val="clear"/>
            <w:vAlign w:val="center"/>
          </w:tcPr>
          <w:p>
            <w:pPr>
              <w:pStyle w:val="TableContents"/>
              <w:spacing w:before="0" w:after="283"/>
              <w:rPr/>
            </w:pPr>
            <w:r>
              <w:rPr/>
            </w:r>
          </w:p>
        </w:tc>
      </w:tr>
      <w:tr>
        <w:trPr/>
        <w:tc>
          <w:tcPr>
            <w:tcW w:w="7289" w:type="dxa"/>
            <w:tcBorders/>
            <w:shd w:fill="CCEEFF" w:val="clear"/>
            <w:vAlign w:val="center"/>
          </w:tcPr>
          <w:p>
            <w:pPr>
              <w:pStyle w:val="TableContents"/>
              <w:widowControl/>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Right-of-use assets obtained in exchange for lease obligations</w:t>
            </w:r>
          </w:p>
        </w:tc>
        <w:tc>
          <w:tcPr>
            <w:tcW w:w="229" w:type="dxa"/>
            <w:tcBorders/>
            <w:shd w:fill="CCEEFF" w:val="clear"/>
            <w:vAlign w:val="center"/>
          </w:tcPr>
          <w:p>
            <w:pPr>
              <w:pStyle w:val="TableContents"/>
              <w:spacing w:before="0" w:after="283"/>
              <w:rPr/>
            </w:pPr>
            <w:r>
              <w:rPr/>
            </w:r>
          </w:p>
        </w:tc>
        <w:tc>
          <w:tcPr>
            <w:tcW w:w="275" w:type="dxa"/>
            <w:tcBorders/>
            <w:shd w:fill="CCEEFF" w:val="clear"/>
            <w:vAlign w:val="center"/>
          </w:tcPr>
          <w:p>
            <w:pPr>
              <w:pStyle w:val="TableContents"/>
              <w:spacing w:before="0" w:after="283"/>
              <w:ind w:left="0" w:right="0" w:hanging="0"/>
              <w:rPr/>
            </w:pPr>
            <w:r>
              <w:rPr/>
            </w:r>
          </w:p>
        </w:tc>
        <w:tc>
          <w:tcPr>
            <w:tcW w:w="772" w:type="dxa"/>
            <w:tcBorders/>
            <w:shd w:fill="CCEEFF" w:val="clear"/>
            <w:vAlign w:val="center"/>
          </w:tcPr>
          <w:p>
            <w:pPr>
              <w:pStyle w:val="TableContents"/>
              <w:spacing w:before="0" w:after="0"/>
              <w:ind w:left="0" w:right="0" w:hanging="0"/>
              <w:jc w:val="right"/>
              <w:rPr/>
            </w:pPr>
            <w:r>
              <w:rPr/>
              <w:t>107</w:t>
            </w:r>
          </w:p>
        </w:tc>
        <w:tc>
          <w:tcPr>
            <w:tcW w:w="275" w:type="dxa"/>
            <w:tcBorders/>
            <w:shd w:fill="CCEEFF" w:val="clear"/>
            <w:vAlign w:val="center"/>
          </w:tcPr>
          <w:p>
            <w:pPr>
              <w:pStyle w:val="TableContents"/>
              <w:spacing w:before="0" w:after="283"/>
              <w:ind w:left="0" w:right="0" w:hanging="0"/>
              <w:rPr/>
            </w:pPr>
            <w:r>
              <w:rPr/>
            </w:r>
          </w:p>
        </w:tc>
        <w:tc>
          <w:tcPr>
            <w:tcW w:w="275" w:type="dxa"/>
            <w:tcBorders/>
            <w:shd w:fill="CCEEFF" w:val="clear"/>
            <w:vAlign w:val="center"/>
          </w:tcPr>
          <w:p>
            <w:pPr>
              <w:pStyle w:val="TableContents"/>
              <w:spacing w:before="0" w:after="283"/>
              <w:ind w:left="0" w:right="0" w:hanging="0"/>
              <w:rPr/>
            </w:pPr>
            <w:r>
              <w:rPr/>
            </w:r>
          </w:p>
        </w:tc>
        <w:tc>
          <w:tcPr>
            <w:tcW w:w="275" w:type="dxa"/>
            <w:tcBorders/>
            <w:shd w:fill="CCEEFF" w:val="clear"/>
            <w:vAlign w:val="center"/>
          </w:tcPr>
          <w:p>
            <w:pPr>
              <w:pStyle w:val="TableContents"/>
              <w:spacing w:before="0" w:after="283"/>
              <w:ind w:left="0" w:right="0" w:hanging="0"/>
              <w:rPr/>
            </w:pPr>
            <w:r>
              <w:rPr/>
            </w:r>
          </w:p>
        </w:tc>
        <w:tc>
          <w:tcPr>
            <w:tcW w:w="536" w:type="dxa"/>
            <w:tcBorders/>
            <w:shd w:fill="CCEEFF" w:val="clear"/>
            <w:vAlign w:val="center"/>
          </w:tcPr>
          <w:p>
            <w:pPr>
              <w:pStyle w:val="TableContents"/>
              <w:spacing w:before="0" w:after="0"/>
              <w:jc w:val="right"/>
              <w:rPr/>
            </w:pPr>
            <w:r>
              <w:rPr/>
              <w:t>212</w:t>
            </w:r>
          </w:p>
        </w:tc>
        <w:tc>
          <w:tcPr>
            <w:tcW w:w="279" w:type="dxa"/>
            <w:tcBorders/>
            <w:shd w:fill="CCEEFF" w:val="clear"/>
            <w:vAlign w:val="center"/>
          </w:tcPr>
          <w:p>
            <w:pPr>
              <w:pStyle w:val="TableContents"/>
              <w:spacing w:before="0" w:after="283"/>
              <w:rPr/>
            </w:pPr>
            <w:r>
              <w:rPr/>
            </w:r>
          </w:p>
        </w:tc>
      </w:tr>
      <w:tr>
        <w:trPr/>
        <w:tc>
          <w:tcPr>
            <w:tcW w:w="7289" w:type="dxa"/>
            <w:tcBorders/>
            <w:shd w:fill="auto" w:val="clear"/>
            <w:vAlign w:val="center"/>
          </w:tcPr>
          <w:p>
            <w:pPr>
              <w:pStyle w:val="TableContents"/>
              <w:widowControl/>
              <w:spacing w:before="0" w:after="283"/>
              <w:ind w:left="0" w:right="0" w:hanging="0"/>
              <w:jc w:val="left"/>
              <w:rPr>
                <w:rFonts w:ascii="times new roman;times" w:hAnsi="times new roman;times"/>
                <w:b w:val="false"/>
                <w:i w:val="false"/>
                <w:caps w:val="false"/>
                <w:smallCaps w:val="false"/>
                <w:color w:val="333333"/>
                <w:spacing w:val="0"/>
                <w:sz w:val="20"/>
              </w:rPr>
            </w:pPr>
            <w:r>
              <w:rPr>
                <w:rFonts w:ascii="times new roman;times" w:hAnsi="times new roman;times"/>
                <w:b w:val="false"/>
                <w:i w:val="false"/>
                <w:caps w:val="false"/>
                <w:smallCaps w:val="false"/>
                <w:color w:val="333333"/>
                <w:spacing w:val="0"/>
                <w:sz w:val="20"/>
              </w:rPr>
              <w:t>Issue of common stock in consideration of cancellation of debt</w:t>
            </w:r>
          </w:p>
        </w:tc>
        <w:tc>
          <w:tcPr>
            <w:tcW w:w="229" w:type="dxa"/>
            <w:tcBorders/>
            <w:shd w:fill="auto" w:val="clear"/>
            <w:vAlign w:val="center"/>
          </w:tcPr>
          <w:p>
            <w:pPr>
              <w:pStyle w:val="TableContents"/>
              <w:spacing w:before="0" w:after="283"/>
              <w:rPr/>
            </w:pPr>
            <w:r>
              <w:rPr/>
            </w:r>
          </w:p>
        </w:tc>
        <w:tc>
          <w:tcPr>
            <w:tcW w:w="275" w:type="dxa"/>
            <w:tcBorders/>
            <w:shd w:fill="auto" w:val="clear"/>
            <w:vAlign w:val="center"/>
          </w:tcPr>
          <w:p>
            <w:pPr>
              <w:pStyle w:val="TableContents"/>
              <w:spacing w:before="0" w:after="283"/>
              <w:ind w:left="0" w:right="0" w:hanging="0"/>
              <w:rPr/>
            </w:pPr>
            <w:r>
              <w:rPr/>
            </w:r>
          </w:p>
        </w:tc>
        <w:tc>
          <w:tcPr>
            <w:tcW w:w="772" w:type="dxa"/>
            <w:tcBorders/>
            <w:shd w:fill="auto" w:val="clear"/>
            <w:vAlign w:val="center"/>
          </w:tcPr>
          <w:p>
            <w:pPr>
              <w:pStyle w:val="TableContents"/>
              <w:spacing w:before="0" w:after="0"/>
              <w:ind w:left="0" w:right="0" w:hanging="0"/>
              <w:jc w:val="right"/>
              <w:rPr/>
            </w:pPr>
            <w:r>
              <w:rPr/>
              <w:t>2,000</w:t>
            </w:r>
          </w:p>
        </w:tc>
        <w:tc>
          <w:tcPr>
            <w:tcW w:w="275" w:type="dxa"/>
            <w:tcBorders/>
            <w:shd w:fill="auto" w:val="clear"/>
            <w:vAlign w:val="center"/>
          </w:tcPr>
          <w:p>
            <w:pPr>
              <w:pStyle w:val="TableContents"/>
              <w:spacing w:before="0" w:after="283"/>
              <w:ind w:left="0" w:right="0" w:hanging="0"/>
              <w:rPr/>
            </w:pPr>
            <w:r>
              <w:rPr/>
            </w:r>
          </w:p>
        </w:tc>
        <w:tc>
          <w:tcPr>
            <w:tcW w:w="275" w:type="dxa"/>
            <w:tcBorders/>
            <w:shd w:fill="auto" w:val="clear"/>
            <w:vAlign w:val="center"/>
          </w:tcPr>
          <w:p>
            <w:pPr>
              <w:pStyle w:val="TableContents"/>
              <w:spacing w:before="0" w:after="283"/>
              <w:ind w:left="0" w:right="0" w:hanging="0"/>
              <w:rPr/>
            </w:pPr>
            <w:r>
              <w:rPr/>
            </w:r>
          </w:p>
        </w:tc>
        <w:tc>
          <w:tcPr>
            <w:tcW w:w="275" w:type="dxa"/>
            <w:tcBorders/>
            <w:shd w:fill="auto" w:val="clear"/>
            <w:vAlign w:val="center"/>
          </w:tcPr>
          <w:p>
            <w:pPr>
              <w:pStyle w:val="TableContents"/>
              <w:spacing w:before="0" w:after="283"/>
              <w:ind w:left="0" w:right="0" w:hanging="0"/>
              <w:rPr/>
            </w:pPr>
            <w:r>
              <w:rPr/>
            </w:r>
          </w:p>
        </w:tc>
        <w:tc>
          <w:tcPr>
            <w:tcW w:w="536" w:type="dxa"/>
            <w:tcBorders/>
            <w:shd w:fill="auto" w:val="clear"/>
            <w:vAlign w:val="center"/>
          </w:tcPr>
          <w:p>
            <w:pPr>
              <w:pStyle w:val="TableContents"/>
              <w:spacing w:before="0" w:after="0"/>
              <w:jc w:val="right"/>
              <w:rPr/>
            </w:pPr>
            <w:r>
              <w:rPr/>
              <w:t>—</w:t>
            </w:r>
          </w:p>
        </w:tc>
        <w:tc>
          <w:tcPr>
            <w:tcW w:w="279" w:type="dxa"/>
            <w:tcBorders/>
            <w:shd w:fill="auto" w:val="clear"/>
            <w:vAlign w:val="center"/>
          </w:tcPr>
          <w:p>
            <w:pPr>
              <w:pStyle w:val="TableContents"/>
              <w:spacing w:before="0" w:after="283"/>
              <w:rPr/>
            </w:pPr>
            <w:r>
              <w:rPr/>
            </w:r>
          </w:p>
        </w:tc>
      </w:tr>
    </w:tbl>
    <w:p>
      <w:pPr>
        <w:pStyle w:val="TextBody"/>
        <w:spacing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spacing w:before="0" w:after="0"/>
        <w:ind w:left="144" w:right="144"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F-7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CLEARONE, INC.</w:t>
      </w:r>
    </w:p>
    <w:p>
      <w:pPr>
        <w:pStyle w:val="TextBody"/>
        <w:spacing w:lineRule="auto" w:line="240"/>
        <w:ind w:left="0" w:right="0" w:hanging="0"/>
        <w:jc w:val="center"/>
        <w:rPr/>
      </w:pPr>
      <w:hyperlink r:id="rId46">
        <w:bookmarkStart w:id="109" w:name="BNOTES_LWOO6XQXPC00000000000000000000"/>
        <w:bookmarkEnd w:id="109"/>
        <w:r>
          <w:rPr>
            <w:rStyle w:val="VisitedInternetLink"/>
            <w:rFonts w:ascii="Times New Roman" w:hAnsi="Times New Roman"/>
            <w:b/>
            <w:strike w:val="false"/>
            <w:dstrike w:val="false"/>
            <w:color w:val="000000"/>
            <w:sz w:val="20"/>
            <w:u w:val="none"/>
            <w:effect w:val="none"/>
          </w:rPr>
          <w:t>NOTES TO CONSOLIDATED FINANCIAL STATEMENTS</w:t>
        </w:r>
      </w:hyperlink>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1. Business Description, Basis of Presentation and Significant Accounting Policies</w:t>
      </w:r>
    </w:p>
    <w:p>
      <w:pPr>
        <w:pStyle w:val="TextBody"/>
        <w:spacing w:lineRule="auto" w:line="240" w:before="0" w:after="0"/>
        <w:ind w:left="0" w:right="0" w:hanging="0"/>
        <w:jc w:val="both"/>
        <w:rPr/>
      </w:pPr>
      <w:r>
        <w:rPr/>
        <w:t> </w:t>
      </w:r>
    </w:p>
    <w:p>
      <w:pPr>
        <w:pStyle w:val="TextBody"/>
        <w:spacing w:lineRule="auto" w:line="288" w:before="0" w:after="0"/>
        <w:ind w:left="0" w:right="0" w:hanging="0"/>
        <w:jc w:val="both"/>
        <w:rPr>
          <w:rFonts w:ascii="Times New Roman" w:hAnsi="Times New Roman"/>
          <w:b/>
          <w:i/>
          <w:sz w:val="20"/>
        </w:rPr>
      </w:pPr>
      <w:r>
        <w:rPr>
          <w:rFonts w:ascii="Times New Roman" w:hAnsi="Times New Roman"/>
          <w:b/>
          <w:i/>
          <w:sz w:val="20"/>
        </w:rPr>
        <w:t>Business Description:  </w:t>
      </w:r>
    </w:p>
    <w:p>
      <w:pPr>
        <w:pStyle w:val="TextBody"/>
        <w:spacing w:lineRule="auto" w:line="288"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pStyle w:val="TextBody"/>
        <w:spacing w:lineRule="auto" w:line="288" w:before="0" w:after="0"/>
        <w:ind w:left="0" w:right="0" w:hanging="0"/>
        <w:jc w:val="both"/>
        <w:rPr/>
      </w:pPr>
      <w:r>
        <w:rPr/>
        <w:t> </w:t>
      </w:r>
    </w:p>
    <w:p>
      <w:pPr>
        <w:pStyle w:val="TextBody"/>
        <w:spacing w:lineRule="auto" w:line="240" w:before="0" w:after="0"/>
        <w:ind w:left="0" w:right="0" w:hanging="0"/>
        <w:jc w:val="both"/>
        <w:rPr>
          <w:rFonts w:ascii="Times New Roman" w:hAnsi="Times New Roman"/>
          <w:b/>
          <w:i/>
          <w:sz w:val="20"/>
        </w:rPr>
      </w:pPr>
      <w:r>
        <w:rPr>
          <w:rFonts w:ascii="Times New Roman" w:hAnsi="Times New Roman"/>
          <w:b/>
          <w:i/>
          <w:sz w:val="20"/>
        </w:rPr>
        <w:t>Basis of Presentation:</w:t>
      </w:r>
    </w:p>
    <w:p>
      <w:pPr>
        <w:pStyle w:val="TextBody"/>
        <w:spacing w:lineRule="auto" w:line="288"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Fiscal Year</w:t>
      </w:r>
      <w:r>
        <w:rPr>
          <w:rFonts w:ascii="times new roman;times" w:hAnsi="times new roman;times"/>
          <w:sz w:val="20"/>
        </w:rPr>
        <w:t xml:space="preserve"> – </w:t>
      </w:r>
      <w:r>
        <w:rPr>
          <w:rFonts w:ascii="Times New Roman" w:hAnsi="Times New Roman"/>
          <w:sz w:val="20"/>
        </w:rPr>
        <w:t>This report on Form 10-K includes consolidated balance sheets for the years ended December 31, 2022 and 2021</w:t>
      </w:r>
      <w:r>
        <w:rPr>
          <w:rFonts w:ascii="times new roman;times" w:hAnsi="times new roman;times"/>
          <w:sz w:val="20"/>
        </w:rPr>
        <w:t xml:space="preserve"> </w:t>
      </w:r>
      <w:r>
        <w:rPr>
          <w:rFonts w:ascii="Times New Roman" w:hAnsi="Times New Roman"/>
          <w:sz w:val="20"/>
        </w:rPr>
        <w:t>and the related consolidated statements of operations and comprehensive income (loss), shareholders' equity, and cash flows</w:t>
      </w:r>
      <w:r>
        <w:rPr>
          <w:rFonts w:ascii="times new roman;times" w:hAnsi="times new roman;times"/>
          <w:sz w:val="20"/>
        </w:rPr>
        <w:t> </w:t>
      </w:r>
      <w:r>
        <w:rPr>
          <w:rFonts w:ascii="Times New Roman" w:hAnsi="Times New Roman"/>
          <w:sz w:val="20"/>
        </w:rPr>
        <w:t>for each of the years ended December 31, 2022 and 2021.</w:t>
      </w:r>
    </w:p>
    <w:p>
      <w:pPr>
        <w:pStyle w:val="TextBody"/>
        <w:spacing w:lineRule="auto" w:line="288"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Consolidation</w:t>
      </w:r>
      <w:r>
        <w:rPr>
          <w:rFonts w:ascii="times new roman;times" w:hAnsi="times new roman;times"/>
          <w:sz w:val="20"/>
        </w:rPr>
        <w:t xml:space="preserve"> – </w:t>
      </w:r>
      <w:r>
        <w:rPr>
          <w:rFonts w:ascii="Times New Roman" w:hAnsi="Times New Roman"/>
          <w:sz w:val="20"/>
        </w:rPr>
        <w:t>These consolidated financial statements include the financial statements of ClearOne, Inc. and its wholly owned subsidiaries. All inter-Company accounts and transactions have been eliminated in consolidation.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Use of Estimates</w:t>
      </w:r>
      <w:r>
        <w:rPr>
          <w:rFonts w:ascii="times new roman;times" w:hAnsi="times new roman;times"/>
          <w:sz w:val="20"/>
        </w:rPr>
        <w:t xml:space="preserve"> – 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receivable and product returns, provisions for obsolete inventory, potential impairment of long-lived assets, and deferred income tax asset valuation allowances. Actual results could differ materially from these estimates.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Foreign Currency Translation</w:t>
      </w:r>
      <w:r>
        <w:rPr>
          <w:rFonts w:ascii="times new roman;times" w:hAnsi="times new roman;times"/>
          <w:sz w:val="20"/>
        </w:rPr>
        <w:t xml:space="preserve"> – </w:t>
      </w:r>
      <w:r>
        <w:rPr>
          <w:rFonts w:ascii="Times New Roman" w:hAnsi="Times New Roman"/>
          <w:sz w:val="20"/>
        </w:rPr>
        <w:t>We are exposed to foreign currency exchange risk through our foreign subsidiaries. Other than our subsidiaries in India and Spain, all other foreign subsidiaries are U.S. dollar functional, for which gains and losses arising from remeasurement are included in earnings. Our Spanish subsidiary is Euro functional, for which gains and losses arising from translation are included in accumulated other comprehensive income or loss. Our Indian subsidiary is Indian Rupee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pStyle w:val="TextBody"/>
        <w:spacing w:lineRule="auto" w:line="288"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Concentration Risk</w:t>
      </w:r>
      <w:r>
        <w:rPr>
          <w:rFonts w:ascii="times new roman;times" w:hAnsi="times new roman;times"/>
          <w:sz w:val="20"/>
        </w:rPr>
        <w:t xml:space="preserve"> – </w:t>
      </w:r>
      <w:r>
        <w:rPr>
          <w:rFonts w:ascii="Times New Roman" w:hAnsi="Times New Roman"/>
          <w:sz w:val="20"/>
        </w:rPr>
        <w:t>We depend on an outsourced manufacturing strategy for our products. We outsource the manufacture of all of</w:t>
      </w:r>
      <w:r>
        <w:rPr>
          <w:rFonts w:ascii="times new roman;times" w:hAnsi="times new roman;times"/>
          <w:sz w:val="20"/>
        </w:rPr>
        <w:t xml:space="preserve"> </w:t>
      </w:r>
      <w:r>
        <w:rPr>
          <w:rFonts w:ascii="Times New Roman" w:hAnsi="Times New Roman"/>
          <w:sz w:val="20"/>
        </w:rPr>
        <w:t>our products to third party manufacturers located in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most of our products.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i/>
          <w:sz w:val="20"/>
        </w:rPr>
      </w:pPr>
      <w:r>
        <w:rPr>
          <w:rFonts w:ascii="Times New Roman" w:hAnsi="Times New Roman"/>
          <w:b/>
          <w:i/>
          <w:sz w:val="20"/>
        </w:rPr>
        <w:t>Significant Accounting Policies: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Cash Equivalents</w:t>
      </w:r>
      <w:r>
        <w:rPr>
          <w:rFonts w:ascii="times new roman;times" w:hAnsi="times new roman;times"/>
          <w:sz w:val="20"/>
        </w:rPr>
        <w:t xml:space="preserve"> – The Company considers all highly-liquid investments with a maturity of </w:t>
      </w:r>
      <w:r>
        <w:rPr>
          <w:rFonts w:ascii="times new roman;times" w:hAnsi="times new roman;times"/>
          <w:sz w:val="20"/>
        </w:rPr>
        <w:t>three months</w:t>
      </w:r>
      <w:r>
        <w:rPr>
          <w:rFonts w:ascii="times new roman;times" w:hAnsi="times new roman;times"/>
          <w:sz w:val="20"/>
        </w:rPr>
        <w:t> or less, when purchased, to be cash equivalents. The Company places its temporary cash investments with high-quality financial institutions. At times, such investments may be in excess of the Federal Deposit Insurance Corporation insurance limits.  As of December 31, 2022, there was one cash account that exceeded federally insured limits, in the amount of $564.</w:t>
      </w:r>
    </w:p>
    <w:p>
      <w:pPr>
        <w:pStyle w:val="TextBody"/>
        <w:spacing w:lineRule="auto" w:line="288"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F-8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pPr>
      <w:r>
        <w:rPr/>
      </w:r>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88"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Marketable Securities -</w:t>
      </w:r>
      <w:r>
        <w:rPr>
          <w:rFonts w:ascii="times new roman;times" w:hAnsi="times new roman;times"/>
          <w:sz w:val="20"/>
        </w:rPr>
        <w:t xml:space="preserve"> </w:t>
      </w:r>
      <w:r>
        <w:rPr>
          <w:rFonts w:ascii="Times New Roman" w:hAnsi="Times New Roman"/>
          <w:sz w:val="20"/>
        </w:rPr>
        <w:t>The Company has classified its marketable securities as available-for-sale securities. These debt securities are carried at estimated fair value with unrealized holding gains and losses included in other comprehensive income (loss) in shareholders’ equity until realized. Gains and losses on marketable security transactions are reported on the specific-identification method. Dividend and interest income are recognized when earned.</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2022 and 2021.</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i/>
          <w:sz w:val="20"/>
        </w:rPr>
        <w:t>Accounts Receivable</w:t>
      </w:r>
      <w:r>
        <w:rPr>
          <w:rFonts w:ascii="Times New Roman" w:hAnsi="Times New Roman"/>
          <w:sz w:val="20"/>
        </w:rPr>
        <w:t xml:space="preserve"> – Accounts receivable are recorded at the invoiced amount, net of expected returns and allowance for doubtful accounts. Generally, credit is granted to customers on a short-term basis without 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pStyle w:val="TextBody"/>
        <w:spacing w:lineRule="auto" w:line="288" w:before="0" w:after="0"/>
        <w:ind w:left="0" w:right="0" w:hanging="0"/>
        <w:jc w:val="both"/>
        <w:rPr/>
      </w:pPr>
      <w:r>
        <w:rPr/>
        <w:t> </w:t>
      </w:r>
    </w:p>
    <w:p>
      <w:pPr>
        <w:pStyle w:val="TextBody"/>
        <w:spacing w:lineRule="auto" w:line="288" w:before="0" w:after="0"/>
        <w:ind w:left="0" w:right="0" w:hanging="0"/>
        <w:jc w:val="both"/>
        <w:rPr>
          <w:rFonts w:ascii="times new roman;times" w:hAnsi="times new roman;times"/>
          <w:sz w:val="20"/>
        </w:rPr>
      </w:pPr>
      <w:r>
        <w:rPr>
          <w:rFonts w:ascii="Times New Roman" w:hAnsi="Times New Roman"/>
          <w:sz w:val="20"/>
        </w:rPr>
        <w:t>The Company’s allowance for doubtful accounts activity for the years</w:t>
      </w:r>
      <w:r>
        <w:rPr>
          <w:rFonts w:ascii="times new roman;times" w:hAnsi="times new roman;times"/>
          <w:sz w:val="20"/>
        </w:rPr>
        <w:t xml:space="preserve"> </w:t>
      </w:r>
      <w:r>
        <w:rPr>
          <w:rFonts w:ascii="Times New Roman" w:hAnsi="Times New Roman"/>
          <w:sz w:val="20"/>
        </w:rPr>
        <w:t>ended December 31, 2022 and 2021</w:t>
      </w:r>
      <w:r>
        <w:rPr>
          <w:rFonts w:ascii="times new roman;times" w:hAnsi="times new roman;times"/>
          <w:sz w:val="20"/>
        </w:rPr>
        <w:t xml:space="preserve"> </w:t>
      </w:r>
      <w:r>
        <w:rPr>
          <w:rFonts w:ascii="Times New Roman" w:hAnsi="Times New Roman"/>
          <w:sz w:val="20"/>
        </w:rPr>
        <w:t>is as follows:</w:t>
      </w:r>
    </w:p>
    <w:p>
      <w:pPr>
        <w:pStyle w:val="TextBody"/>
        <w:spacing w:lineRule="auto" w:line="288"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447"/>
        <w:gridCol w:w="297"/>
        <w:gridCol w:w="547"/>
        <w:gridCol w:w="998"/>
        <w:gridCol w:w="410"/>
        <w:gridCol w:w="410"/>
        <w:gridCol w:w="547"/>
        <w:gridCol w:w="1162"/>
        <w:gridCol w:w="387"/>
      </w:tblGrid>
      <w:tr>
        <w:trPr/>
        <w:tc>
          <w:tcPr>
            <w:tcW w:w="5447" w:type="dxa"/>
            <w:tcBorders/>
            <w:shd w:fill="auto" w:val="clear"/>
            <w:vAlign w:val="center"/>
          </w:tcPr>
          <w:p>
            <w:pPr>
              <w:pStyle w:val="TableContents"/>
              <w:spacing w:before="0" w:after="0"/>
              <w:ind w:left="0" w:right="0" w:hanging="0"/>
              <w:rPr/>
            </w:pPr>
            <w:r>
              <w:rPr/>
              <w:t xml:space="preserve">  </w:t>
            </w:r>
          </w:p>
        </w:tc>
        <w:tc>
          <w:tcPr>
            <w:tcW w:w="297" w:type="dxa"/>
            <w:tcBorders/>
            <w:shd w:fill="auto" w:val="clear"/>
            <w:vAlign w:val="center"/>
          </w:tcPr>
          <w:p>
            <w:pPr>
              <w:pStyle w:val="TableContents"/>
              <w:spacing w:before="0" w:after="0"/>
              <w:ind w:left="0" w:right="0" w:hanging="0"/>
              <w:rPr/>
            </w:pPr>
            <w:r>
              <w:rPr/>
              <w:t xml:space="preserve">  </w:t>
            </w:r>
          </w:p>
        </w:tc>
        <w:tc>
          <w:tcPr>
            <w:tcW w:w="4074"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387" w:type="dxa"/>
            <w:tcBorders/>
            <w:shd w:fill="auto" w:val="clear"/>
            <w:vAlign w:val="center"/>
          </w:tcPr>
          <w:p>
            <w:pPr>
              <w:pStyle w:val="TableContents"/>
              <w:spacing w:before="0" w:after="0"/>
              <w:ind w:left="0" w:right="0" w:hanging="0"/>
              <w:rPr/>
            </w:pPr>
            <w:r>
              <w:rPr/>
              <w:t xml:space="preserve">  </w:t>
            </w:r>
          </w:p>
        </w:tc>
      </w:tr>
      <w:tr>
        <w:trPr/>
        <w:tc>
          <w:tcPr>
            <w:tcW w:w="5447" w:type="dxa"/>
            <w:tcBorders/>
            <w:shd w:fill="auto" w:val="clear"/>
            <w:vAlign w:val="center"/>
          </w:tcPr>
          <w:p>
            <w:pPr>
              <w:pStyle w:val="TableContents"/>
              <w:spacing w:before="0" w:after="0"/>
              <w:ind w:left="0" w:right="0" w:hanging="0"/>
              <w:rPr/>
            </w:pPr>
            <w:r>
              <w:rPr/>
              <w:t xml:space="preserve">  </w:t>
            </w:r>
          </w:p>
        </w:tc>
        <w:tc>
          <w:tcPr>
            <w:tcW w:w="297" w:type="dxa"/>
            <w:tcBorders/>
            <w:shd w:fill="auto" w:val="clear"/>
            <w:vAlign w:val="center"/>
          </w:tcPr>
          <w:p>
            <w:pPr>
              <w:pStyle w:val="TableContents"/>
              <w:spacing w:before="0" w:after="0"/>
              <w:ind w:left="0" w:right="0" w:hanging="0"/>
              <w:rPr/>
            </w:pPr>
            <w:r>
              <w:rPr/>
              <w:t xml:space="preserve">  </w:t>
            </w:r>
          </w:p>
        </w:tc>
        <w:tc>
          <w:tcPr>
            <w:tcW w:w="154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410" w:type="dxa"/>
            <w:tcBorders/>
            <w:shd w:fill="auto" w:val="clear"/>
            <w:vAlign w:val="center"/>
          </w:tcPr>
          <w:p>
            <w:pPr>
              <w:pStyle w:val="TableContents"/>
              <w:spacing w:before="0" w:after="0"/>
              <w:ind w:left="0" w:right="0" w:hanging="0"/>
              <w:rPr/>
            </w:pPr>
            <w:r>
              <w:rPr/>
              <w:t xml:space="preserve">  </w:t>
            </w:r>
          </w:p>
        </w:tc>
        <w:tc>
          <w:tcPr>
            <w:tcW w:w="410" w:type="dxa"/>
            <w:tcBorders/>
            <w:shd w:fill="auto" w:val="clear"/>
            <w:vAlign w:val="center"/>
          </w:tcPr>
          <w:p>
            <w:pPr>
              <w:pStyle w:val="TableContents"/>
              <w:spacing w:before="0" w:after="0"/>
              <w:ind w:left="0" w:right="0" w:hanging="0"/>
              <w:rPr/>
            </w:pPr>
            <w:r>
              <w:rPr/>
              <w:t xml:space="preserve">  </w:t>
            </w:r>
          </w:p>
        </w:tc>
        <w:tc>
          <w:tcPr>
            <w:tcW w:w="170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387" w:type="dxa"/>
            <w:tcBorders/>
            <w:shd w:fill="auto" w:val="clear"/>
            <w:vAlign w:val="center"/>
          </w:tcPr>
          <w:p>
            <w:pPr>
              <w:pStyle w:val="TableContents"/>
              <w:spacing w:before="0" w:after="0"/>
              <w:ind w:left="0" w:right="0" w:hanging="0"/>
              <w:rPr/>
            </w:pPr>
            <w:r>
              <w:rPr/>
              <w:t xml:space="preserve">  </w:t>
            </w:r>
          </w:p>
        </w:tc>
      </w:tr>
      <w:tr>
        <w:trPr/>
        <w:tc>
          <w:tcPr>
            <w:tcW w:w="544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beginning of the year </w:t>
            </w:r>
          </w:p>
        </w:tc>
        <w:tc>
          <w:tcPr>
            <w:tcW w:w="297" w:type="dxa"/>
            <w:tcBorders/>
            <w:shd w:fill="CCEEFF" w:val="clear"/>
            <w:vAlign w:val="center"/>
          </w:tcPr>
          <w:p>
            <w:pPr>
              <w:pStyle w:val="TableContents"/>
              <w:spacing w:before="0" w:after="0"/>
              <w:ind w:left="0" w:right="0" w:hanging="0"/>
              <w:rPr/>
            </w:pPr>
            <w:r>
              <w:rPr/>
              <w:t xml:space="preserve">  </w:t>
            </w:r>
          </w:p>
        </w:tc>
        <w:tc>
          <w:tcPr>
            <w:tcW w:w="54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9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326</w:t>
            </w:r>
          </w:p>
        </w:tc>
        <w:tc>
          <w:tcPr>
            <w:tcW w:w="410" w:type="dxa"/>
            <w:tcBorders/>
            <w:shd w:fill="CCEEFF" w:val="clear"/>
            <w:vAlign w:val="center"/>
          </w:tcPr>
          <w:p>
            <w:pPr>
              <w:pStyle w:val="TableContents"/>
              <w:spacing w:before="0" w:after="0"/>
              <w:ind w:left="0" w:right="0" w:hanging="0"/>
              <w:rPr/>
            </w:pPr>
            <w:r>
              <w:rPr/>
              <w:t xml:space="preserve">  </w:t>
            </w:r>
          </w:p>
        </w:tc>
        <w:tc>
          <w:tcPr>
            <w:tcW w:w="410" w:type="dxa"/>
            <w:tcBorders/>
            <w:shd w:fill="CCEEFF" w:val="clear"/>
            <w:vAlign w:val="center"/>
          </w:tcPr>
          <w:p>
            <w:pPr>
              <w:pStyle w:val="TableContents"/>
              <w:spacing w:before="0" w:after="0"/>
              <w:ind w:left="0" w:right="0" w:hanging="0"/>
              <w:rPr/>
            </w:pPr>
            <w:r>
              <w:rPr/>
              <w:t xml:space="preserve">  </w:t>
            </w:r>
          </w:p>
        </w:tc>
        <w:tc>
          <w:tcPr>
            <w:tcW w:w="54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6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506</w:t>
            </w:r>
          </w:p>
        </w:tc>
        <w:tc>
          <w:tcPr>
            <w:tcW w:w="387" w:type="dxa"/>
            <w:tcBorders/>
            <w:shd w:fill="CCEEFF" w:val="clear"/>
            <w:vAlign w:val="center"/>
          </w:tcPr>
          <w:p>
            <w:pPr>
              <w:pStyle w:val="TableContents"/>
              <w:spacing w:before="0" w:after="0"/>
              <w:ind w:left="0" w:right="0" w:hanging="0"/>
              <w:rPr/>
            </w:pPr>
            <w:r>
              <w:rPr/>
              <w:t xml:space="preserve">  </w:t>
            </w:r>
          </w:p>
        </w:tc>
      </w:tr>
      <w:tr>
        <w:trPr/>
        <w:tc>
          <w:tcPr>
            <w:tcW w:w="544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Allowance increase (decrease) </w:t>
            </w:r>
          </w:p>
        </w:tc>
        <w:tc>
          <w:tcPr>
            <w:tcW w:w="297" w:type="dxa"/>
            <w:tcBorders/>
            <w:shd w:fill="auto" w:val="clear"/>
            <w:vAlign w:val="center"/>
          </w:tcPr>
          <w:p>
            <w:pPr>
              <w:pStyle w:val="TableContents"/>
              <w:spacing w:before="0" w:after="0"/>
              <w:ind w:left="0" w:right="0" w:hanging="0"/>
              <w:rPr/>
            </w:pPr>
            <w:r>
              <w:rPr/>
              <w:t xml:space="preserve">  </w:t>
            </w:r>
          </w:p>
        </w:tc>
        <w:tc>
          <w:tcPr>
            <w:tcW w:w="547" w:type="dxa"/>
            <w:tcBorders/>
            <w:shd w:fill="auto" w:val="clear"/>
            <w:vAlign w:val="center"/>
          </w:tcPr>
          <w:p>
            <w:pPr>
              <w:pStyle w:val="TableContents"/>
              <w:spacing w:before="0" w:after="0"/>
              <w:ind w:left="0" w:right="0" w:hanging="0"/>
              <w:rPr/>
            </w:pPr>
            <w:r>
              <w:rPr/>
              <w:t xml:space="preserve">  </w:t>
            </w:r>
          </w:p>
        </w:tc>
        <w:tc>
          <w:tcPr>
            <w:tcW w:w="998" w:type="dxa"/>
            <w:tcBorders/>
            <w:shd w:fill="auto" w:val="clear"/>
            <w:vAlign w:val="center"/>
          </w:tcPr>
          <w:p>
            <w:pPr>
              <w:pStyle w:val="TableContents"/>
              <w:spacing w:before="0" w:after="0"/>
              <w:ind w:left="0" w:right="0" w:hanging="0"/>
              <w:jc w:val="right"/>
              <w:rPr/>
            </w:pPr>
            <w:r>
              <w:rPr/>
              <w:t>—</w:t>
            </w:r>
          </w:p>
        </w:tc>
        <w:tc>
          <w:tcPr>
            <w:tcW w:w="410" w:type="dxa"/>
            <w:tcBorders/>
            <w:shd w:fill="auto" w:val="clear"/>
            <w:vAlign w:val="center"/>
          </w:tcPr>
          <w:p>
            <w:pPr>
              <w:pStyle w:val="TableContents"/>
              <w:spacing w:before="0" w:after="283"/>
              <w:ind w:left="0" w:right="0" w:hanging="0"/>
              <w:rPr>
                <w:sz w:val="4"/>
                <w:szCs w:val="4"/>
              </w:rPr>
            </w:pPr>
            <w:r>
              <w:rPr>
                <w:sz w:val="4"/>
                <w:szCs w:val="4"/>
              </w:rPr>
            </w:r>
          </w:p>
        </w:tc>
        <w:tc>
          <w:tcPr>
            <w:tcW w:w="410" w:type="dxa"/>
            <w:tcBorders/>
            <w:shd w:fill="auto" w:val="clear"/>
            <w:vAlign w:val="center"/>
          </w:tcPr>
          <w:p>
            <w:pPr>
              <w:pStyle w:val="TableContents"/>
              <w:spacing w:before="0" w:after="0"/>
              <w:ind w:left="0" w:right="0" w:hanging="0"/>
              <w:rPr/>
            </w:pPr>
            <w:r>
              <w:rPr/>
              <w:t xml:space="preserve">  </w:t>
            </w:r>
          </w:p>
        </w:tc>
        <w:tc>
          <w:tcPr>
            <w:tcW w:w="547" w:type="dxa"/>
            <w:tcBorders/>
            <w:shd w:fill="auto" w:val="clear"/>
            <w:vAlign w:val="center"/>
          </w:tcPr>
          <w:p>
            <w:pPr>
              <w:pStyle w:val="TableContents"/>
              <w:spacing w:before="0" w:after="0"/>
              <w:ind w:left="0" w:right="0" w:hanging="0"/>
              <w:rPr/>
            </w:pPr>
            <w:r>
              <w:rPr/>
              <w:t xml:space="preserve">  </w:t>
            </w:r>
          </w:p>
        </w:tc>
        <w:tc>
          <w:tcPr>
            <w:tcW w:w="116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(180</w:t>
            </w:r>
          </w:p>
        </w:tc>
        <w:tc>
          <w:tcPr>
            <w:tcW w:w="387" w:type="dxa"/>
            <w:tcBorders/>
            <w:shd w:fill="auto" w:val="clear"/>
            <w:vAlign w:val="center"/>
          </w:tcPr>
          <w:p>
            <w:pPr>
              <w:pStyle w:val="TableContents"/>
              <w:spacing w:before="0" w:after="0"/>
              <w:ind w:left="0" w:right="0" w:hanging="0"/>
              <w:rPr/>
            </w:pPr>
            <w:r>
              <w:rPr/>
              <w:t>)</w:t>
            </w:r>
          </w:p>
        </w:tc>
      </w:tr>
      <w:tr>
        <w:trPr/>
        <w:tc>
          <w:tcPr>
            <w:tcW w:w="544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Write offs, net of recoveries </w:t>
            </w:r>
          </w:p>
        </w:tc>
        <w:tc>
          <w:tcPr>
            <w:tcW w:w="297" w:type="dxa"/>
            <w:tcBorders/>
            <w:shd w:fill="CCEEFF" w:val="clear"/>
            <w:vAlign w:val="center"/>
          </w:tcPr>
          <w:p>
            <w:pPr>
              <w:pStyle w:val="TableContents"/>
              <w:spacing w:before="0" w:after="0"/>
              <w:ind w:left="0" w:right="0" w:hanging="0"/>
              <w:rPr/>
            </w:pPr>
            <w:r>
              <w:rPr/>
              <w:t xml:space="preserve">  </w:t>
            </w:r>
          </w:p>
        </w:tc>
        <w:tc>
          <w:tcPr>
            <w:tcW w:w="547"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998"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410" w:type="dxa"/>
            <w:tcBorders/>
            <w:shd w:fill="CCEEFF" w:val="clear"/>
            <w:vAlign w:val="center"/>
          </w:tcPr>
          <w:p>
            <w:pPr>
              <w:pStyle w:val="TableContents"/>
              <w:spacing w:before="0" w:after="283"/>
              <w:ind w:left="0" w:right="0" w:hanging="0"/>
              <w:rPr>
                <w:sz w:val="4"/>
                <w:szCs w:val="4"/>
              </w:rPr>
            </w:pPr>
            <w:r>
              <w:rPr>
                <w:sz w:val="4"/>
                <w:szCs w:val="4"/>
              </w:rPr>
            </w:r>
          </w:p>
        </w:tc>
        <w:tc>
          <w:tcPr>
            <w:tcW w:w="410" w:type="dxa"/>
            <w:tcBorders/>
            <w:shd w:fill="CCEEFF" w:val="clear"/>
            <w:vAlign w:val="center"/>
          </w:tcPr>
          <w:p>
            <w:pPr>
              <w:pStyle w:val="TableContents"/>
              <w:spacing w:before="0" w:after="0"/>
              <w:ind w:left="0" w:right="0" w:hanging="0"/>
              <w:rPr/>
            </w:pPr>
            <w:r>
              <w:rPr/>
              <w:t xml:space="preserve">  </w:t>
            </w:r>
          </w:p>
        </w:tc>
        <w:tc>
          <w:tcPr>
            <w:tcW w:w="547"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62"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87" w:type="dxa"/>
            <w:tcBorders/>
            <w:shd w:fill="CCEEFF" w:val="clear"/>
            <w:vAlign w:val="center"/>
          </w:tcPr>
          <w:p>
            <w:pPr>
              <w:pStyle w:val="TableContents"/>
              <w:spacing w:before="0" w:after="283"/>
              <w:ind w:left="0" w:right="0" w:hanging="0"/>
              <w:rPr>
                <w:sz w:val="4"/>
                <w:szCs w:val="4"/>
              </w:rPr>
            </w:pPr>
            <w:r>
              <w:rPr>
                <w:sz w:val="4"/>
                <w:szCs w:val="4"/>
              </w:rPr>
            </w:r>
          </w:p>
        </w:tc>
      </w:tr>
      <w:tr>
        <w:trPr/>
        <w:tc>
          <w:tcPr>
            <w:tcW w:w="544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end of the year </w:t>
            </w:r>
          </w:p>
        </w:tc>
        <w:tc>
          <w:tcPr>
            <w:tcW w:w="297" w:type="dxa"/>
            <w:tcBorders/>
            <w:shd w:fill="auto" w:val="clear"/>
            <w:vAlign w:val="center"/>
          </w:tcPr>
          <w:p>
            <w:pPr>
              <w:pStyle w:val="TableContents"/>
              <w:spacing w:before="0" w:after="0"/>
              <w:ind w:left="0" w:right="0" w:hanging="0"/>
              <w:rPr/>
            </w:pPr>
            <w:r>
              <w:rPr/>
              <w:t xml:space="preserve">  </w:t>
            </w:r>
          </w:p>
        </w:tc>
        <w:tc>
          <w:tcPr>
            <w:tcW w:w="54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9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326</w:t>
            </w:r>
          </w:p>
        </w:tc>
        <w:tc>
          <w:tcPr>
            <w:tcW w:w="410" w:type="dxa"/>
            <w:tcBorders/>
            <w:shd w:fill="auto" w:val="clear"/>
            <w:vAlign w:val="center"/>
          </w:tcPr>
          <w:p>
            <w:pPr>
              <w:pStyle w:val="TableContents"/>
              <w:spacing w:before="0" w:after="0"/>
              <w:ind w:left="0" w:right="0" w:hanging="0"/>
              <w:rPr/>
            </w:pPr>
            <w:r>
              <w:rPr/>
              <w:t xml:space="preserve">  </w:t>
            </w:r>
          </w:p>
        </w:tc>
        <w:tc>
          <w:tcPr>
            <w:tcW w:w="410" w:type="dxa"/>
            <w:tcBorders/>
            <w:shd w:fill="auto" w:val="clear"/>
            <w:vAlign w:val="center"/>
          </w:tcPr>
          <w:p>
            <w:pPr>
              <w:pStyle w:val="TableContents"/>
              <w:spacing w:before="0" w:after="0"/>
              <w:ind w:left="0" w:right="0" w:hanging="0"/>
              <w:rPr/>
            </w:pPr>
            <w:r>
              <w:rPr/>
              <w:t xml:space="preserve">  </w:t>
            </w:r>
          </w:p>
        </w:tc>
        <w:tc>
          <w:tcPr>
            <w:tcW w:w="54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6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326</w:t>
            </w:r>
          </w:p>
        </w:tc>
        <w:tc>
          <w:tcPr>
            <w:tcW w:w="387" w:type="dxa"/>
            <w:tcBorders/>
            <w:shd w:fill="auto"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Inventories</w:t>
      </w:r>
      <w:r>
        <w:rPr>
          <w:rFonts w:ascii="times new roman;times" w:hAnsi="times new roman;times"/>
          <w:sz w:val="20"/>
        </w:rPr>
        <w:t xml:space="preserve"> – </w:t>
      </w:r>
      <w:r>
        <w:rPr>
          <w:rFonts w:ascii="Times New Roman" w:hAnsi="Times New Roman"/>
          <w:sz w:val="20"/>
        </w:rPr>
        <w:t>Inventories are valued at the lower of cost or market, with cost computed on a first-in, first-out (“FIFO”) basis. In addition to the price of the 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pStyle w:val="TextBody"/>
        <w:spacing w:lineRule="auto" w:line="288"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inventory also includes advance replacement units (valued at cost) provided by the Company to end-users to service defective products under warranty. The value of advance replacement units included in the inventory was $193</w:t>
      </w:r>
      <w:r>
        <w:rPr>
          <w:rFonts w:ascii="times new roman;times" w:hAnsi="times new roman;times"/>
          <w:sz w:val="20"/>
        </w:rPr>
        <w:t xml:space="preserve"> </w:t>
      </w:r>
      <w:r>
        <w:rPr>
          <w:rFonts w:ascii="Times New Roman" w:hAnsi="Times New Roman"/>
          <w:sz w:val="20"/>
        </w:rPr>
        <w:t xml:space="preserve">and $130, as of </w:t>
      </w:r>
      <w:r>
        <w:rPr>
          <w:rFonts w:ascii="times new roman;times" w:hAnsi="times new roman;times"/>
          <w:sz w:val="20"/>
        </w:rPr>
        <w:t xml:space="preserve">December 31, 2022 </w:t>
      </w:r>
      <w:r>
        <w:rPr>
          <w:rFonts w:ascii="Times New Roman" w:hAnsi="Times New Roman"/>
          <w:sz w:val="20"/>
        </w:rPr>
        <w:t>and 2021, respectively.</w:t>
      </w:r>
    </w:p>
    <w:p>
      <w:pPr>
        <w:pStyle w:val="TextBody"/>
        <w:spacing w:lineRule="auto" w:line="288"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inventory consists of</w:t>
      </w:r>
      <w:r>
        <w:rPr>
          <w:rFonts w:ascii="times new roman;times" w:hAnsi="times new roman;times"/>
          <w:sz w:val="20"/>
        </w:rPr>
        <w:t> </w:t>
      </w:r>
      <w:r>
        <w:rPr>
          <w:rFonts w:ascii="Times New Roman" w:hAnsi="Times New Roman"/>
          <w:sz w:val="20"/>
        </w:rPr>
        <w:t>current inventory of $8,961</w:t>
      </w:r>
      <w:r>
        <w:rPr>
          <w:rFonts w:ascii="times new roman;times" w:hAnsi="times new roman;times"/>
          <w:sz w:val="20"/>
        </w:rPr>
        <w:t xml:space="preserve"> </w:t>
      </w:r>
      <w:r>
        <w:rPr>
          <w:rFonts w:ascii="Times New Roman" w:hAnsi="Times New Roman"/>
          <w:sz w:val="20"/>
        </w:rPr>
        <w:t>and long-term inventory of $2,707. Long term inventory represents inventory held in excess of our current (next 12 months) requirements based on our recent sales and forecasted level of sales.</w:t>
      </w:r>
      <w:r>
        <w:rPr>
          <w:rFonts w:ascii="times new roman;times" w:hAnsi="times new roman;times"/>
          <w:sz w:val="20"/>
        </w:rPr>
        <w:t> </w:t>
      </w:r>
    </w:p>
    <w:p>
      <w:pPr>
        <w:pStyle w:val="TextBody"/>
        <w:spacing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16" w:type="dxa"/>
        <w:jc w:val="left"/>
        <w:tblInd w:w="0" w:type="dxa"/>
        <w:tblCellMar>
          <w:top w:w="0" w:type="dxa"/>
          <w:left w:w="0" w:type="dxa"/>
          <w:bottom w:w="0" w:type="dxa"/>
          <w:right w:w="0" w:type="dxa"/>
        </w:tblCellMar>
      </w:tblPr>
      <w:tblGrid>
        <w:gridCol w:w="616"/>
      </w:tblGrid>
      <w:tr>
        <w:trPr/>
        <w:tc>
          <w:tcPr>
            <w:tcW w:w="61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F-9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jc w:val="center"/>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Property and Equipment</w:t>
      </w:r>
      <w:r>
        <w:rPr>
          <w:rFonts w:ascii="times new roman;times" w:hAnsi="times new roman;times"/>
          <w:sz w:val="20"/>
        </w:rPr>
        <w:t xml:space="preserve"> – </w:t>
      </w:r>
      <w:r>
        <w:rPr>
          <w:rFonts w:ascii="Times New Roman" w:hAnsi="Times New Roman"/>
          <w:sz w:val="20"/>
        </w:rPr>
        <w:t>Property and equipment are stated at cost less accumulated depreciation and amortization. Expenditures that materially increase 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Intangible Assets –</w:t>
      </w:r>
      <w:r>
        <w:rPr>
          <w:rFonts w:ascii="times new roman;times" w:hAnsi="times new roman;times"/>
          <w:sz w:val="20"/>
        </w:rPr>
        <w:t xml:space="preserve"> </w:t>
      </w:r>
      <w:r>
        <w:rPr>
          <w:rFonts w:ascii="Times New Roman" w:hAnsi="Times New Roman"/>
          <w:sz w:val="20"/>
        </w:rPr>
        <w:t>Intangible assets are amortized over their useful lives unless these lives are determined to be indefinite. Intangible assets are carried at cost, less accumulated amortization. Amortization is computed over the estimated useful lives of the respective assets, which are generally three to ten years. Intangible assets acquired in a purchase business combination and determined to have an indefinite useful life are not amortized.</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Impairment of Long-Lived Assets -</w:t>
      </w:r>
      <w:r>
        <w:rPr>
          <w:rFonts w:ascii="times new roman;times" w:hAnsi="times new roman;times"/>
          <w:sz w:val="20"/>
        </w:rPr>
        <w:t> </w:t>
      </w:r>
      <w:r>
        <w:rPr>
          <w:rFonts w:ascii="Times New Roman" w:hAnsi="Times New Roman"/>
          <w:sz w:val="20"/>
        </w:rPr>
        <w:t>Long-lived assets, such as property, equipment, and definite-lived intangible assets subject to depreciation and amortization, are reviewed for impairment whenever events or changes in circumstances indicate that the carrying value of an asset</w:t>
      </w:r>
      <w:r>
        <w:rPr>
          <w:rFonts w:ascii="times new roman;times" w:hAnsi="times new roman;times"/>
          <w:sz w:val="20"/>
        </w:rPr>
        <w:t> </w:t>
      </w:r>
      <w:r>
        <w:rPr>
          <w:rFonts w:ascii="Times New Roman" w:hAnsi="Times New Roman"/>
          <w:sz w:val="20"/>
        </w:rPr>
        <w:t>may not</w:t>
      </w:r>
      <w:r>
        <w:rPr>
          <w:rFonts w:ascii="times new roman;times" w:hAnsi="times new roman;times"/>
          <w:sz w:val="20"/>
        </w:rPr>
        <w:t> </w:t>
      </w:r>
      <w:r>
        <w:rPr>
          <w:rFonts w:ascii="Times New Roman" w:hAnsi="Times New Roman"/>
          <w:sz w:val="20"/>
        </w:rPr>
        <w:t>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r>
        <w:rPr>
          <w:rFonts w:ascii="times new roman;times" w:hAnsi="times new roman;times"/>
          <w:sz w:val="20"/>
        </w:rPr>
        <w:t>  </w:t>
      </w:r>
    </w:p>
    <w:p>
      <w:pPr>
        <w:pStyle w:val="TextBody"/>
        <w:spacing w:lineRule="auto" w:line="240" w:before="0" w:after="0"/>
        <w:ind w:left="0" w:right="0" w:hanging="0"/>
        <w:rPr/>
      </w:pPr>
      <w:r>
        <w:rPr/>
        <w:t>  </w:t>
      </w:r>
    </w:p>
    <w:p>
      <w:pPr>
        <w:pStyle w:val="TextBody"/>
        <w:spacing w:lineRule="auto" w:line="240" w:before="0" w:after="0"/>
        <w:jc w:val="both"/>
        <w:rPr>
          <w:rFonts w:ascii="times new roman;times" w:hAnsi="times new roman;times"/>
          <w:sz w:val="20"/>
        </w:rPr>
      </w:pPr>
      <w:r>
        <w:rPr>
          <w:rFonts w:ascii="Times New Roman" w:hAnsi="Times New Roman"/>
          <w:i/>
          <w:sz w:val="20"/>
        </w:rPr>
        <w:t xml:space="preserve">Leases: </w:t>
      </w:r>
      <w:r>
        <w:rPr>
          <w:rFonts w:ascii="Times New Roman" w:hAnsi="Times New Roman"/>
          <w:sz w:val="20"/>
        </w:rPr>
        <w:t xml:space="preserve">We determine if an arrangement is a lease at inception. Operating leases are included in operating lease - right of use (“ROU”) assets, accrued liabilities, and operating lease liability in our consolidated balance sheets. As of adoption of ASC </w:t>
      </w:r>
      <w:r>
        <w:rPr>
          <w:rFonts w:ascii="times new roman;times" w:hAnsi="times new roman;times"/>
          <w:sz w:val="20"/>
        </w:rPr>
        <w:t xml:space="preserve">842 </w:t>
      </w:r>
      <w:r>
        <w:rPr>
          <w:rFonts w:ascii="Times New Roman" w:hAnsi="Times New Roman"/>
          <w:sz w:val="20"/>
        </w:rPr>
        <w:t>and as of </w:t>
      </w:r>
      <w:r>
        <w:rPr>
          <w:rFonts w:ascii="times new roman;times" w:hAnsi="times new roman;times"/>
          <w:sz w:val="20"/>
        </w:rPr>
        <w:t xml:space="preserve">December 31, 2022 </w:t>
      </w:r>
      <w:r>
        <w:rPr>
          <w:rFonts w:ascii="Times New Roman" w:hAnsi="Times New Roman"/>
          <w:sz w:val="20"/>
        </w:rPr>
        <w:t xml:space="preserve">and </w:t>
      </w:r>
      <w:r>
        <w:rPr>
          <w:rFonts w:ascii="times new roman;times" w:hAnsi="times new roman;times"/>
          <w:sz w:val="20"/>
        </w:rPr>
        <w:t>December 31, 2021</w:t>
      </w:r>
      <w:r>
        <w:rPr>
          <w:rFonts w:ascii="Times New Roman" w:hAnsi="Times New Roman"/>
          <w:sz w:val="20"/>
        </w:rPr>
        <w:t>, the Company was not party to finance lease arrangements.</w:t>
      </w:r>
      <w:r>
        <w:rPr>
          <w:rFonts w:ascii="times new roman;times" w:hAnsi="times new roman;times"/>
          <w:sz w:val="20"/>
        </w:rPr>
        <w:t> </w:t>
      </w:r>
      <w:r>
        <w:rPr>
          <w:rFonts w:ascii="Times New Roman" w:hAnsi="Times New Roman"/>
          <w:sz w:val="20"/>
        </w:rPr>
        <w:t>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w:t>
      </w:r>
      <w:r>
        <w:rPr>
          <w:rFonts w:ascii="times new roman;times" w:hAnsi="times new roman;times"/>
          <w:sz w:val="20"/>
        </w:rPr>
        <w:t> </w:t>
      </w:r>
      <w:r>
        <w:rPr>
          <w:rFonts w:ascii="Times New Roman" w:hAnsi="Times New Roman"/>
          <w:sz w:val="20"/>
        </w:rPr>
        <w:t>Under the available practical expedient, we account for the lease and non-lease components as a single lease component. </w:t>
      </w:r>
    </w:p>
    <w:p>
      <w:pPr>
        <w:pStyle w:val="TextBody"/>
        <w:spacing w:lineRule="auto" w:line="240" w:before="0" w:after="0"/>
        <w:jc w:val="both"/>
        <w:rPr>
          <w:rFonts w:ascii="Times New Roman" w:hAnsi="Times New Roman"/>
          <w:sz w:val="20"/>
        </w:rPr>
      </w:pPr>
      <w:r>
        <w:rPr>
          <w:rFonts w:ascii="Times New Roman" w:hAnsi="Times New Roman"/>
          <w:sz w:val="20"/>
        </w:rPr>
      </w:r>
    </w:p>
    <w:p>
      <w:pPr>
        <w:pStyle w:val="TextBody"/>
        <w:widowControl/>
        <w:spacing w:lineRule="auto" w:line="240" w:before="0" w:after="0"/>
        <w:ind w:left="0" w:right="0" w:hanging="0"/>
        <w:jc w:val="both"/>
        <w:rPr>
          <w:rFonts w:ascii="Times New Roman" w:hAnsi="Times New Roman"/>
          <w:sz w:val="20"/>
        </w:rPr>
      </w:pPr>
      <w:r>
        <w:rPr>
          <w:rFonts w:ascii="Times New Roman" w:hAnsi="Times New Roman"/>
          <w:b w:val="false"/>
          <w:color w:val="000000"/>
          <w:spacing w:val="0"/>
          <w:sz w:val="20"/>
        </w:rPr>
        <w:t>Revenue Recognition Policy: </w:t>
      </w:r>
      <w:r>
        <w:rPr>
          <w:rFonts w:ascii="Times New Roman" w:hAnsi="Times New Roman"/>
          <w:b w:val="false"/>
          <w:i w:val="false"/>
          <w:caps w:val="false"/>
          <w:smallCaps w:val="false"/>
          <w:color w:val="000000"/>
          <w:spacing w:val="0"/>
          <w:sz w:val="20"/>
        </w:rPr>
        <w:t>The Company generates revenue from sales of its audio and video conferencing equipment to distributors, system integrators 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 (1)</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identifying the contract with a customer, (2)</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identifying the performance obligations in the contract, (3)</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determining the transaction price, (4)</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allocating the transaction price to the performance obligations in the contract and (5)</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recognizing revenue when the performance obligation is satisfied. Substantially all of</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the Company’s revenue is recognized at the time control of the products transfers to the customer.</w:t>
      </w:r>
      <w:r>
        <w:rPr>
          <w:rFonts w:ascii="Times New Roman" w:hAnsi="Times New Roman"/>
          <w:sz w:val="20"/>
        </w:rPr>
        <w:t> </w:t>
      </w:r>
    </w:p>
    <w:p>
      <w:pPr>
        <w:pStyle w:val="TextBody"/>
        <w:spacing w:lineRule="auto" w:line="240" w:before="0" w:after="0"/>
        <w:jc w:val="both"/>
        <w:rPr>
          <w:rFonts w:ascii="Times New Roman" w:hAnsi="Times New Roman"/>
          <w:sz w:val="20"/>
        </w:rPr>
      </w:pPr>
      <w:r>
        <w:rPr>
          <w:rFonts w:ascii="Times New Roman" w:hAnsi="Times New Roman"/>
          <w:sz w:val="20"/>
        </w:rPr>
      </w:r>
    </w:p>
    <w:p>
      <w:pPr>
        <w:pStyle w:val="TextBody"/>
        <w:widowControl/>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F-10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jc w:val="both"/>
        <w:rPr/>
      </w:pPr>
      <w:r>
        <w:rPr/>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pStyle w:val="TextBody"/>
        <w:spacing w:lineRule="auto" w:line="240" w:before="0" w:after="0"/>
        <w:ind w:left="0" w:right="0" w:hanging="0"/>
        <w:jc w:val="both"/>
        <w:rPr/>
      </w:pPr>
      <w:r>
        <w:rPr/>
      </w:r>
    </w:p>
    <w:p>
      <w:pPr>
        <w:pStyle w:val="TextBody"/>
        <w:widowControl/>
        <w:spacing w:lineRule="auto" w:line="240"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w:t>
      </w:r>
      <w:r>
        <w:rPr>
          <w:rFonts w:ascii="Times New Roman" w:hAnsi="Times New Roman"/>
          <w:sz w:val="20"/>
        </w:rPr>
        <w:t>December 31, 2022</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for equipment sales was $</w:t>
      </w:r>
      <w:r>
        <w:rPr>
          <w:rFonts w:ascii="Times New Roman" w:hAnsi="Times New Roman"/>
          <w:sz w:val="20"/>
        </w:rPr>
        <w:t>25,104</w:t>
      </w:r>
      <w:r>
        <w:rPr>
          <w:rFonts w:ascii="Times New Roman" w:hAnsi="Times New Roman"/>
          <w:b w:val="false"/>
          <w:i w:val="false"/>
          <w:caps w:val="false"/>
          <w:smallCaps w:val="false"/>
          <w:color w:val="000000"/>
          <w:spacing w:val="0"/>
          <w:sz w:val="20"/>
        </w:rPr>
        <w:t>, and for software, licenses, etc. was $</w:t>
      </w:r>
      <w:r>
        <w:rPr>
          <w:rFonts w:ascii="Times New Roman" w:hAnsi="Times New Roman"/>
          <w:sz w:val="20"/>
        </w:rPr>
        <w:t>101</w:t>
      </w:r>
      <w:r>
        <w:rPr>
          <w:rFonts w:ascii="Times New Roman" w:hAnsi="Times New Roman"/>
          <w:b w:val="false"/>
          <w:i w:val="false"/>
          <w:caps w:val="false"/>
          <w:smallCaps w:val="false"/>
          <w:color w:val="000000"/>
          <w:spacing w:val="0"/>
          <w:sz w:val="20"/>
        </w:rPr>
        <w:t>.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pStyle w:val="TextBody"/>
        <w:spacing w:lineRule="auto" w:line="240" w:before="0" w:after="0"/>
        <w:ind w:left="0" w:right="0" w:hanging="0"/>
        <w:jc w:val="both"/>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As scheduled delivery dates are within one year, revenue allocated to future shipments of partially completed contracts are not disclosed.</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 </w:t>
      </w:r>
    </w:p>
    <w:p>
      <w:pPr>
        <w:pStyle w:val="TextBody"/>
        <w:widowControl/>
        <w:spacing w:before="0" w:after="0"/>
        <w:ind w:left="0" w:right="0" w:hanging="0"/>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details of deferred revenue and associated cost of goods sold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gross profit are as follows: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tbl>
      <w:tblPr>
        <w:tblW w:w="5000" w:type="pct"/>
        <w:jc w:val="left"/>
        <w:tblInd w:w="0" w:type="dxa"/>
        <w:tblCellMar>
          <w:top w:w="0" w:type="dxa"/>
          <w:left w:w="0" w:type="dxa"/>
          <w:bottom w:w="0" w:type="dxa"/>
          <w:right w:w="0" w:type="dxa"/>
        </w:tblCellMar>
      </w:tblPr>
      <w:tblGrid>
        <w:gridCol w:w="5638"/>
        <w:gridCol w:w="365"/>
        <w:gridCol w:w="583"/>
        <w:gridCol w:w="845"/>
        <w:gridCol w:w="436"/>
        <w:gridCol w:w="435"/>
        <w:gridCol w:w="583"/>
        <w:gridCol w:w="845"/>
        <w:gridCol w:w="475"/>
      </w:tblGrid>
      <w:tr>
        <w:trPr/>
        <w:tc>
          <w:tcPr>
            <w:tcW w:w="5638"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3727"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As of December 31,</w:t>
            </w:r>
          </w:p>
        </w:tc>
        <w:tc>
          <w:tcPr>
            <w:tcW w:w="475" w:type="dxa"/>
            <w:tcBorders/>
            <w:shd w:fill="auto" w:val="clear"/>
            <w:vAlign w:val="center"/>
          </w:tcPr>
          <w:p>
            <w:pPr>
              <w:pStyle w:val="TableContents"/>
              <w:spacing w:before="0" w:after="0"/>
              <w:ind w:left="0" w:right="0" w:hanging="0"/>
              <w:rPr/>
            </w:pPr>
            <w:r>
              <w:rPr/>
              <w:t xml:space="preserve">  </w:t>
            </w:r>
          </w:p>
        </w:tc>
      </w:tr>
      <w:tr>
        <w:trPr/>
        <w:tc>
          <w:tcPr>
            <w:tcW w:w="5638" w:type="dxa"/>
            <w:tcBorders/>
            <w:shd w:fill="auto" w:val="clear"/>
            <w:vAlign w:val="center"/>
          </w:tcPr>
          <w:p>
            <w:pPr>
              <w:pStyle w:val="TableContents"/>
              <w:spacing w:before="0" w:after="0"/>
              <w:ind w:left="0" w:right="0" w:hanging="0"/>
              <w:rPr/>
            </w:pPr>
            <w:r>
              <w:rPr/>
              <w:t xml:space="preserve">  </w:t>
            </w:r>
          </w:p>
        </w:tc>
        <w:tc>
          <w:tcPr>
            <w:tcW w:w="365" w:type="dxa"/>
            <w:tcBorders/>
            <w:shd w:fill="auto" w:val="clear"/>
            <w:vAlign w:val="center"/>
          </w:tcPr>
          <w:p>
            <w:pPr>
              <w:pStyle w:val="TableContents"/>
              <w:spacing w:before="0" w:after="0"/>
              <w:ind w:left="0" w:right="0" w:hanging="0"/>
              <w:rPr/>
            </w:pPr>
            <w:r>
              <w:rPr/>
              <w:t xml:space="preserve">  </w:t>
            </w:r>
          </w:p>
        </w:tc>
        <w:tc>
          <w:tcPr>
            <w:tcW w:w="14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436" w:type="dxa"/>
            <w:tcBorders/>
            <w:shd w:fill="auto" w:val="clear"/>
            <w:vAlign w:val="center"/>
          </w:tcPr>
          <w:p>
            <w:pPr>
              <w:pStyle w:val="TableContents"/>
              <w:spacing w:before="0" w:after="0"/>
              <w:ind w:left="0" w:right="0" w:hanging="0"/>
              <w:rPr/>
            </w:pPr>
            <w:r>
              <w:rPr/>
              <w:t xml:space="preserve">  </w:t>
            </w:r>
          </w:p>
        </w:tc>
        <w:tc>
          <w:tcPr>
            <w:tcW w:w="435" w:type="dxa"/>
            <w:tcBorders/>
            <w:shd w:fill="auto" w:val="clear"/>
            <w:vAlign w:val="center"/>
          </w:tcPr>
          <w:p>
            <w:pPr>
              <w:pStyle w:val="TableContents"/>
              <w:spacing w:before="0" w:after="0"/>
              <w:ind w:left="0" w:right="0" w:hanging="0"/>
              <w:rPr/>
            </w:pPr>
            <w:r>
              <w:rPr/>
              <w:t xml:space="preserve">  </w:t>
            </w:r>
          </w:p>
        </w:tc>
        <w:tc>
          <w:tcPr>
            <w:tcW w:w="142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475" w:type="dxa"/>
            <w:tcBorders/>
            <w:shd w:fill="auto" w:val="clear"/>
            <w:vAlign w:val="center"/>
          </w:tcPr>
          <w:p>
            <w:pPr>
              <w:pStyle w:val="TableContents"/>
              <w:spacing w:before="0" w:after="0"/>
              <w:ind w:left="0" w:right="0" w:hanging="0"/>
              <w:rPr/>
            </w:pPr>
            <w:r>
              <w:rPr/>
              <w:t xml:space="preserve">  </w:t>
            </w:r>
          </w:p>
        </w:tc>
      </w:tr>
      <w:tr>
        <w:trPr/>
        <w:tc>
          <w:tcPr>
            <w:tcW w:w="563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revenue </w:t>
            </w:r>
          </w:p>
        </w:tc>
        <w:tc>
          <w:tcPr>
            <w:tcW w:w="365" w:type="dxa"/>
            <w:tcBorders/>
            <w:shd w:fill="CCEEFF" w:val="clear"/>
            <w:vAlign w:val="center"/>
          </w:tcPr>
          <w:p>
            <w:pPr>
              <w:pStyle w:val="TableContents"/>
              <w:spacing w:before="0" w:after="0"/>
              <w:ind w:left="0" w:right="0" w:hanging="0"/>
              <w:rPr/>
            </w:pPr>
            <w:r>
              <w:rPr/>
              <w:t xml:space="preserve">  </w:t>
            </w:r>
          </w:p>
        </w:tc>
        <w:tc>
          <w:tcPr>
            <w:tcW w:w="58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c>
          <w:tcPr>
            <w:tcW w:w="436" w:type="dxa"/>
            <w:tcBorders/>
            <w:shd w:fill="CCEEFF" w:val="clear"/>
            <w:vAlign w:val="center"/>
          </w:tcPr>
          <w:p>
            <w:pPr>
              <w:pStyle w:val="TableContents"/>
              <w:spacing w:before="0" w:after="0"/>
              <w:ind w:left="0" w:right="0" w:hanging="0"/>
              <w:rPr/>
            </w:pPr>
            <w:r>
              <w:rPr/>
              <w:t xml:space="preserve">  </w:t>
            </w:r>
          </w:p>
        </w:tc>
        <w:tc>
          <w:tcPr>
            <w:tcW w:w="435" w:type="dxa"/>
            <w:tcBorders/>
            <w:shd w:fill="CCEEFF" w:val="clear"/>
            <w:vAlign w:val="center"/>
          </w:tcPr>
          <w:p>
            <w:pPr>
              <w:pStyle w:val="TableContents"/>
              <w:spacing w:before="0" w:after="0"/>
              <w:ind w:left="0" w:right="0" w:hanging="0"/>
              <w:rPr/>
            </w:pPr>
            <w:r>
              <w:rPr/>
              <w:t xml:space="preserve">  </w:t>
            </w:r>
          </w:p>
        </w:tc>
        <w:tc>
          <w:tcPr>
            <w:tcW w:w="58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c>
          <w:tcPr>
            <w:tcW w:w="475" w:type="dxa"/>
            <w:tcBorders/>
            <w:shd w:fill="CCEEFF" w:val="clear"/>
            <w:vAlign w:val="center"/>
          </w:tcPr>
          <w:p>
            <w:pPr>
              <w:pStyle w:val="TableContents"/>
              <w:spacing w:before="0" w:after="0"/>
              <w:ind w:left="0" w:right="0" w:hanging="0"/>
              <w:rPr/>
            </w:pPr>
            <w:r>
              <w:rPr/>
              <w:t xml:space="preserve">  </w:t>
            </w:r>
          </w:p>
        </w:tc>
      </w:tr>
      <w:tr>
        <w:trPr/>
        <w:tc>
          <w:tcPr>
            <w:tcW w:w="563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cost of goods sold </w:t>
            </w:r>
          </w:p>
        </w:tc>
        <w:tc>
          <w:tcPr>
            <w:tcW w:w="365" w:type="dxa"/>
            <w:tcBorders/>
            <w:shd w:fill="auto" w:val="clear"/>
            <w:vAlign w:val="center"/>
          </w:tcPr>
          <w:p>
            <w:pPr>
              <w:pStyle w:val="TableContents"/>
              <w:spacing w:before="0" w:after="0"/>
              <w:ind w:left="0" w:right="0" w:hanging="0"/>
              <w:rPr/>
            </w:pPr>
            <w:r>
              <w:rPr/>
              <w:t xml:space="preserve">  </w:t>
            </w:r>
          </w:p>
        </w:tc>
        <w:tc>
          <w:tcPr>
            <w:tcW w:w="583" w:type="dxa"/>
            <w:tcBorders/>
            <w:shd w:fill="auto" w:val="clear"/>
            <w:vAlign w:val="center"/>
          </w:tcPr>
          <w:p>
            <w:pPr>
              <w:pStyle w:val="TableContents"/>
              <w:spacing w:before="0" w:after="0"/>
              <w:ind w:left="0" w:right="0" w:hanging="0"/>
              <w:rPr/>
            </w:pPr>
            <w:r>
              <w:rPr/>
              <w:t xml:space="preserve">  </w:t>
            </w:r>
          </w:p>
        </w:tc>
        <w:tc>
          <w:tcPr>
            <w:tcW w:w="845" w:type="dxa"/>
            <w:tcBorders/>
            <w:shd w:fill="auto" w:val="clear"/>
            <w:vAlign w:val="center"/>
          </w:tcPr>
          <w:p>
            <w:pPr>
              <w:pStyle w:val="TableContents"/>
              <w:spacing w:before="0" w:after="0"/>
              <w:ind w:left="0" w:right="0" w:hanging="0"/>
              <w:jc w:val="right"/>
              <w:rPr/>
            </w:pPr>
            <w:r>
              <w:rPr/>
              <w:t>—</w:t>
            </w:r>
          </w:p>
        </w:tc>
        <w:tc>
          <w:tcPr>
            <w:tcW w:w="436" w:type="dxa"/>
            <w:tcBorders/>
            <w:shd w:fill="auto" w:val="clear"/>
            <w:vAlign w:val="center"/>
          </w:tcPr>
          <w:p>
            <w:pPr>
              <w:pStyle w:val="TableContents"/>
              <w:spacing w:before="0" w:after="0"/>
              <w:ind w:left="0" w:right="0" w:hanging="0"/>
              <w:rPr/>
            </w:pPr>
            <w:r>
              <w:rPr/>
              <w:t xml:space="preserve">  </w:t>
            </w:r>
          </w:p>
        </w:tc>
        <w:tc>
          <w:tcPr>
            <w:tcW w:w="435" w:type="dxa"/>
            <w:tcBorders/>
            <w:shd w:fill="auto" w:val="clear"/>
            <w:vAlign w:val="center"/>
          </w:tcPr>
          <w:p>
            <w:pPr>
              <w:pStyle w:val="TableContents"/>
              <w:spacing w:before="0" w:after="0"/>
              <w:ind w:left="0" w:right="0" w:hanging="0"/>
              <w:rPr/>
            </w:pPr>
            <w:r>
              <w:rPr/>
              <w:t xml:space="preserve">  </w:t>
            </w:r>
          </w:p>
        </w:tc>
        <w:tc>
          <w:tcPr>
            <w:tcW w:w="583" w:type="dxa"/>
            <w:tcBorders/>
            <w:shd w:fill="auto" w:val="clear"/>
            <w:vAlign w:val="center"/>
          </w:tcPr>
          <w:p>
            <w:pPr>
              <w:pStyle w:val="TableContents"/>
              <w:spacing w:before="0" w:after="0"/>
              <w:ind w:left="0" w:right="0" w:hanging="0"/>
              <w:rPr/>
            </w:pPr>
            <w:r>
              <w:rPr/>
              <w:t xml:space="preserve">  </w:t>
            </w:r>
          </w:p>
        </w:tc>
        <w:tc>
          <w:tcPr>
            <w:tcW w:w="845" w:type="dxa"/>
            <w:tcBorders/>
            <w:shd w:fill="auto" w:val="clear"/>
            <w:vAlign w:val="center"/>
          </w:tcPr>
          <w:p>
            <w:pPr>
              <w:pStyle w:val="TableContents"/>
              <w:spacing w:before="0" w:after="0"/>
              <w:ind w:left="0" w:right="0" w:hanging="0"/>
              <w:jc w:val="right"/>
              <w:rPr/>
            </w:pPr>
            <w:r>
              <w:rPr/>
              <w:t>—</w:t>
            </w:r>
          </w:p>
        </w:tc>
        <w:tc>
          <w:tcPr>
            <w:tcW w:w="475" w:type="dxa"/>
            <w:tcBorders/>
            <w:shd w:fill="auto" w:val="clear"/>
            <w:vAlign w:val="center"/>
          </w:tcPr>
          <w:p>
            <w:pPr>
              <w:pStyle w:val="TableContents"/>
              <w:spacing w:before="0" w:after="0"/>
              <w:ind w:left="0" w:right="0" w:hanging="0"/>
              <w:rPr/>
            </w:pPr>
            <w:r>
              <w:rPr/>
              <w:t xml:space="preserve">  </w:t>
            </w:r>
          </w:p>
        </w:tc>
      </w:tr>
      <w:tr>
        <w:trPr/>
        <w:tc>
          <w:tcPr>
            <w:tcW w:w="563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gross profit </w:t>
            </w:r>
          </w:p>
        </w:tc>
        <w:tc>
          <w:tcPr>
            <w:tcW w:w="365" w:type="dxa"/>
            <w:tcBorders/>
            <w:shd w:fill="CCEEFF" w:val="clear"/>
            <w:vAlign w:val="center"/>
          </w:tcPr>
          <w:p>
            <w:pPr>
              <w:pStyle w:val="TableContents"/>
              <w:spacing w:before="0" w:after="0"/>
              <w:ind w:left="0" w:right="0" w:hanging="0"/>
              <w:rPr/>
            </w:pPr>
            <w:r>
              <w:rPr/>
              <w:t xml:space="preserve">  </w:t>
            </w:r>
          </w:p>
        </w:tc>
        <w:tc>
          <w:tcPr>
            <w:tcW w:w="583" w:type="dxa"/>
            <w:tcBorders>
              <w:top w:val="single" w:sz="8" w:space="0" w:color="000000"/>
              <w:bottom w:val="double" w:sz="7" w:space="0" w:color="000000"/>
            </w:tcBorders>
            <w:shd w:fill="CCEEFF" w:val="clear"/>
            <w:tcMar>
              <w:top w:w="28" w:type="dxa"/>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5" w:type="dxa"/>
            <w:tcBorders>
              <w:top w:val="single" w:sz="8" w:space="0" w:color="000000"/>
              <w:bottom w:val="double" w:sz="7"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c>
          <w:tcPr>
            <w:tcW w:w="436" w:type="dxa"/>
            <w:tcBorders/>
            <w:shd w:fill="CCEEFF" w:val="clear"/>
            <w:vAlign w:val="center"/>
          </w:tcPr>
          <w:p>
            <w:pPr>
              <w:pStyle w:val="TableContents"/>
              <w:spacing w:before="0" w:after="0"/>
              <w:ind w:left="0" w:right="0" w:hanging="0"/>
              <w:rPr/>
            </w:pPr>
            <w:r>
              <w:rPr/>
              <w:t xml:space="preserve">  </w:t>
            </w:r>
          </w:p>
        </w:tc>
        <w:tc>
          <w:tcPr>
            <w:tcW w:w="435" w:type="dxa"/>
            <w:tcBorders/>
            <w:shd w:fill="CCEEFF" w:val="clear"/>
            <w:vAlign w:val="center"/>
          </w:tcPr>
          <w:p>
            <w:pPr>
              <w:pStyle w:val="TableContents"/>
              <w:spacing w:before="0" w:after="0"/>
              <w:ind w:left="0" w:right="0" w:hanging="0"/>
              <w:rPr/>
            </w:pPr>
            <w:r>
              <w:rPr/>
              <w:t xml:space="preserve">  </w:t>
            </w:r>
          </w:p>
        </w:tc>
        <w:tc>
          <w:tcPr>
            <w:tcW w:w="583" w:type="dxa"/>
            <w:tcBorders>
              <w:top w:val="single" w:sz="8" w:space="0" w:color="000000"/>
              <w:bottom w:val="double" w:sz="7" w:space="0" w:color="000000"/>
            </w:tcBorders>
            <w:shd w:fill="CCEEFF" w:val="clear"/>
            <w:tcMar>
              <w:top w:w="28" w:type="dxa"/>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5" w:type="dxa"/>
            <w:tcBorders>
              <w:top w:val="single" w:sz="8" w:space="0" w:color="000000"/>
              <w:bottom w:val="double" w:sz="7"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c>
          <w:tcPr>
            <w:tcW w:w="475" w:type="dxa"/>
            <w:tcBorders/>
            <w:shd w:fill="CCEEFF" w:val="clear"/>
            <w:vAlign w:val="center"/>
          </w:tcPr>
          <w:p>
            <w:pPr>
              <w:pStyle w:val="TableContents"/>
              <w:spacing w:before="0" w:after="0"/>
              <w:ind w:left="0" w:right="0" w:hanging="0"/>
              <w:rPr/>
            </w:pPr>
            <w:r>
              <w:rPr/>
              <w:t xml:space="preserve">  </w:t>
            </w:r>
          </w:p>
        </w:tc>
      </w:tr>
    </w:tbl>
    <w:p>
      <w:pPr>
        <w:pStyle w:val="TextBody"/>
        <w:widowControl/>
        <w:spacing w:before="0" w:after="0"/>
        <w:ind w:left="0" w:right="0" w:hanging="0"/>
        <w:rPr>
          <w:rFonts w:ascii="Times New Roman" w:hAnsi="Times New Roman"/>
          <w:sz w:val="20"/>
        </w:rPr>
      </w:pPr>
      <w:r>
        <w:rPr>
          <w:rFonts w:ascii="Times New Roman" w:hAnsi="Times New Roman"/>
          <w:sz w:val="20"/>
        </w:rPr>
      </w:r>
    </w:p>
    <w:p>
      <w:pPr>
        <w:pStyle w:val="TextBody"/>
        <w:widowControl/>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offers rebates and market development funds to certain of its distributors, dealers/resellers, and end-users based upon the volume of product purchased by them. The Company records rebates as a reduction of revenue in accordance with GAAP.</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F-11 |</w:t>
            </w:r>
          </w:p>
        </w:tc>
      </w:tr>
    </w:tbl>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before="0" w:after="0"/>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following table disaggregates the Company’s revenue into primary product groups:</w:t>
      </w:r>
    </w:p>
    <w:p>
      <w:pPr>
        <w:pStyle w:val="TextBody"/>
        <w:spacing w:lineRule="auto" w:line="288"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4250" w:type="pct"/>
        <w:jc w:val="left"/>
        <w:tblInd w:w="0" w:type="dxa"/>
        <w:tblCellMar>
          <w:top w:w="0" w:type="dxa"/>
          <w:left w:w="0" w:type="dxa"/>
          <w:bottom w:w="0" w:type="dxa"/>
          <w:right w:w="0" w:type="dxa"/>
        </w:tblCellMar>
      </w:tblPr>
      <w:tblGrid>
        <w:gridCol w:w="3685"/>
        <w:gridCol w:w="311"/>
        <w:gridCol w:w="440"/>
        <w:gridCol w:w="1367"/>
        <w:gridCol w:w="330"/>
        <w:gridCol w:w="330"/>
        <w:gridCol w:w="440"/>
        <w:gridCol w:w="1366"/>
        <w:gridCol w:w="405"/>
      </w:tblGrid>
      <w:tr>
        <w:trPr/>
        <w:tc>
          <w:tcPr>
            <w:tcW w:w="3685" w:type="dxa"/>
            <w:tcBorders/>
            <w:shd w:fill="auto" w:val="clear"/>
            <w:vAlign w:val="center"/>
          </w:tcPr>
          <w:p>
            <w:pPr>
              <w:pStyle w:val="TableContents"/>
              <w:spacing w:before="0" w:after="283"/>
              <w:ind w:left="0" w:right="0" w:hanging="0"/>
              <w:rPr/>
            </w:pPr>
            <w:r>
              <w:rPr/>
            </w:r>
          </w:p>
        </w:tc>
        <w:tc>
          <w:tcPr>
            <w:tcW w:w="311" w:type="dxa"/>
            <w:tcBorders/>
            <w:shd w:fill="auto" w:val="clear"/>
            <w:vAlign w:val="center"/>
          </w:tcPr>
          <w:p>
            <w:pPr>
              <w:pStyle w:val="TableContents"/>
              <w:spacing w:before="0" w:after="283"/>
              <w:ind w:left="0" w:right="0" w:hanging="0"/>
              <w:rPr/>
            </w:pPr>
            <w:r>
              <w:rPr/>
            </w:r>
          </w:p>
        </w:tc>
        <w:tc>
          <w:tcPr>
            <w:tcW w:w="4273"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b/>
                <w:sz w:val="18"/>
              </w:rPr>
            </w:pPr>
            <w:r>
              <w:rPr>
                <w:b/>
                <w:sz w:val="18"/>
              </w:rPr>
              <w:t>Year Ended December 31,</w:t>
            </w:r>
          </w:p>
        </w:tc>
        <w:tc>
          <w:tcPr>
            <w:tcW w:w="405" w:type="dxa"/>
            <w:tcBorders/>
            <w:shd w:fill="auto" w:val="clear"/>
            <w:vAlign w:val="center"/>
          </w:tcPr>
          <w:p>
            <w:pPr>
              <w:pStyle w:val="TableContents"/>
              <w:spacing w:before="0" w:after="283"/>
              <w:ind w:left="0" w:right="0" w:hanging="0"/>
              <w:rPr/>
            </w:pPr>
            <w:r>
              <w:rPr/>
            </w:r>
          </w:p>
        </w:tc>
      </w:tr>
      <w:tr>
        <w:trPr/>
        <w:tc>
          <w:tcPr>
            <w:tcW w:w="3685" w:type="dxa"/>
            <w:tcBorders/>
            <w:shd w:fill="auto" w:val="clear"/>
            <w:vAlign w:val="center"/>
          </w:tcPr>
          <w:p>
            <w:pPr>
              <w:pStyle w:val="TableContents"/>
              <w:spacing w:before="0" w:after="0"/>
              <w:ind w:left="0" w:right="0" w:hanging="0"/>
              <w:rPr/>
            </w:pPr>
            <w:r>
              <w:rPr/>
              <w:t xml:space="preserve">  </w:t>
            </w:r>
          </w:p>
        </w:tc>
        <w:tc>
          <w:tcPr>
            <w:tcW w:w="311" w:type="dxa"/>
            <w:tcBorders/>
            <w:shd w:fill="auto" w:val="clear"/>
            <w:vAlign w:val="center"/>
          </w:tcPr>
          <w:p>
            <w:pPr>
              <w:pStyle w:val="TableContents"/>
              <w:spacing w:before="0" w:after="0"/>
              <w:ind w:left="0" w:right="0" w:hanging="0"/>
              <w:rPr/>
            </w:pPr>
            <w:r>
              <w:rPr/>
              <w:t xml:space="preserve">  </w:t>
            </w:r>
          </w:p>
        </w:tc>
        <w:tc>
          <w:tcPr>
            <w:tcW w:w="180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330" w:type="dxa"/>
            <w:tcBorders/>
            <w:shd w:fill="auto" w:val="clear"/>
            <w:vAlign w:val="center"/>
          </w:tcPr>
          <w:p>
            <w:pPr>
              <w:pStyle w:val="TableContents"/>
              <w:spacing w:before="0" w:after="0"/>
              <w:ind w:left="0" w:right="0" w:hanging="0"/>
              <w:rPr/>
            </w:pPr>
            <w:r>
              <w:rPr/>
              <w:t xml:space="preserve">  </w:t>
            </w:r>
          </w:p>
        </w:tc>
        <w:tc>
          <w:tcPr>
            <w:tcW w:w="330" w:type="dxa"/>
            <w:tcBorders/>
            <w:shd w:fill="auto" w:val="clear"/>
            <w:vAlign w:val="center"/>
          </w:tcPr>
          <w:p>
            <w:pPr>
              <w:pStyle w:val="TableContents"/>
              <w:spacing w:before="0" w:after="0"/>
              <w:ind w:left="0" w:right="0" w:hanging="0"/>
              <w:rPr/>
            </w:pPr>
            <w:r>
              <w:rPr/>
              <w:t xml:space="preserve">  </w:t>
            </w:r>
          </w:p>
        </w:tc>
        <w:tc>
          <w:tcPr>
            <w:tcW w:w="1806"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405" w:type="dxa"/>
            <w:tcBorders/>
            <w:shd w:fill="auto" w:val="clear"/>
            <w:vAlign w:val="center"/>
          </w:tcPr>
          <w:p>
            <w:pPr>
              <w:pStyle w:val="TableContents"/>
              <w:spacing w:before="0" w:after="0"/>
              <w:ind w:left="0" w:right="0" w:hanging="0"/>
              <w:rPr/>
            </w:pPr>
            <w:r>
              <w:rPr/>
              <w:t xml:space="preserve">  </w:t>
            </w:r>
          </w:p>
        </w:tc>
      </w:tr>
      <w:tr>
        <w:trPr/>
        <w:tc>
          <w:tcPr>
            <w:tcW w:w="36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Audio Conferencing </w:t>
            </w:r>
          </w:p>
        </w:tc>
        <w:tc>
          <w:tcPr>
            <w:tcW w:w="311" w:type="dxa"/>
            <w:tcBorders/>
            <w:shd w:fill="CCEEFF" w:val="clear"/>
            <w:vAlign w:val="center"/>
          </w:tcPr>
          <w:p>
            <w:pPr>
              <w:pStyle w:val="TableContents"/>
              <w:spacing w:before="0" w:after="0"/>
              <w:ind w:left="0" w:right="0" w:hanging="0"/>
              <w:rPr/>
            </w:pPr>
            <w:r>
              <w:rPr/>
              <w:t xml:space="preserve">  </w:t>
            </w:r>
          </w:p>
        </w:tc>
        <w:tc>
          <w:tcPr>
            <w:tcW w:w="4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6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11,829</w:t>
            </w:r>
          </w:p>
        </w:tc>
        <w:tc>
          <w:tcPr>
            <w:tcW w:w="330" w:type="dxa"/>
            <w:tcBorders/>
            <w:shd w:fill="CCEEFF" w:val="clear"/>
            <w:vAlign w:val="center"/>
          </w:tcPr>
          <w:p>
            <w:pPr>
              <w:pStyle w:val="TableContents"/>
              <w:spacing w:before="0" w:after="0"/>
              <w:ind w:left="0" w:right="0" w:hanging="0"/>
              <w:rPr/>
            </w:pPr>
            <w:r>
              <w:rPr/>
              <w:t xml:space="preserve">  </w:t>
            </w:r>
          </w:p>
        </w:tc>
        <w:tc>
          <w:tcPr>
            <w:tcW w:w="330" w:type="dxa"/>
            <w:tcBorders/>
            <w:shd w:fill="CCEEFF" w:val="clear"/>
            <w:vAlign w:val="center"/>
          </w:tcPr>
          <w:p>
            <w:pPr>
              <w:pStyle w:val="TableContents"/>
              <w:spacing w:before="0" w:after="0"/>
              <w:ind w:left="0" w:right="0" w:hanging="0"/>
              <w:rPr/>
            </w:pPr>
            <w:r>
              <w:rPr/>
              <w:t xml:space="preserve">  </w:t>
            </w:r>
          </w:p>
        </w:tc>
        <w:tc>
          <w:tcPr>
            <w:tcW w:w="44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6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11,568</w:t>
            </w:r>
          </w:p>
        </w:tc>
        <w:tc>
          <w:tcPr>
            <w:tcW w:w="405" w:type="dxa"/>
            <w:tcBorders/>
            <w:shd w:fill="CCEEFF" w:val="clear"/>
            <w:vAlign w:val="center"/>
          </w:tcPr>
          <w:p>
            <w:pPr>
              <w:pStyle w:val="TableContents"/>
              <w:spacing w:before="0" w:after="0"/>
              <w:ind w:left="0" w:right="0" w:hanging="0"/>
              <w:rPr/>
            </w:pPr>
            <w:r>
              <w:rPr/>
              <w:t xml:space="preserve">  </w:t>
            </w:r>
          </w:p>
        </w:tc>
      </w:tr>
      <w:tr>
        <w:trPr/>
        <w:tc>
          <w:tcPr>
            <w:tcW w:w="368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Microphones </w:t>
            </w:r>
          </w:p>
        </w:tc>
        <w:tc>
          <w:tcPr>
            <w:tcW w:w="311" w:type="dxa"/>
            <w:tcBorders/>
            <w:shd w:fill="auto" w:val="clear"/>
            <w:vAlign w:val="center"/>
          </w:tcPr>
          <w:p>
            <w:pPr>
              <w:pStyle w:val="TableContents"/>
              <w:spacing w:before="0" w:after="0"/>
              <w:ind w:left="0" w:right="0" w:hanging="0"/>
              <w:rPr/>
            </w:pPr>
            <w:r>
              <w:rPr/>
              <w:t xml:space="preserve">  </w:t>
            </w:r>
          </w:p>
        </w:tc>
        <w:tc>
          <w:tcPr>
            <w:tcW w:w="440" w:type="dxa"/>
            <w:tcBorders/>
            <w:shd w:fill="auto" w:val="clear"/>
            <w:vAlign w:val="center"/>
          </w:tcPr>
          <w:p>
            <w:pPr>
              <w:pStyle w:val="TableContents"/>
              <w:spacing w:before="0" w:after="0"/>
              <w:ind w:left="0" w:right="0" w:hanging="0"/>
              <w:rPr/>
            </w:pPr>
            <w:r>
              <w:rPr/>
              <w:t xml:space="preserve">  </w:t>
            </w:r>
          </w:p>
        </w:tc>
        <w:tc>
          <w:tcPr>
            <w:tcW w:w="136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9,824</w:t>
            </w:r>
          </w:p>
        </w:tc>
        <w:tc>
          <w:tcPr>
            <w:tcW w:w="330" w:type="dxa"/>
            <w:tcBorders/>
            <w:shd w:fill="auto" w:val="clear"/>
            <w:vAlign w:val="center"/>
          </w:tcPr>
          <w:p>
            <w:pPr>
              <w:pStyle w:val="TableContents"/>
              <w:spacing w:before="0" w:after="0"/>
              <w:ind w:left="0" w:right="0" w:hanging="0"/>
              <w:rPr/>
            </w:pPr>
            <w:r>
              <w:rPr/>
              <w:t xml:space="preserve">  </w:t>
            </w:r>
          </w:p>
        </w:tc>
        <w:tc>
          <w:tcPr>
            <w:tcW w:w="330" w:type="dxa"/>
            <w:tcBorders/>
            <w:shd w:fill="auto" w:val="clear"/>
            <w:vAlign w:val="center"/>
          </w:tcPr>
          <w:p>
            <w:pPr>
              <w:pStyle w:val="TableContents"/>
              <w:spacing w:before="0" w:after="0"/>
              <w:ind w:left="0" w:right="0" w:hanging="0"/>
              <w:rPr/>
            </w:pPr>
            <w:r>
              <w:rPr/>
              <w:t xml:space="preserve">  </w:t>
            </w:r>
          </w:p>
        </w:tc>
        <w:tc>
          <w:tcPr>
            <w:tcW w:w="440" w:type="dxa"/>
            <w:tcBorders/>
            <w:shd w:fill="auto" w:val="clear"/>
            <w:vAlign w:val="center"/>
          </w:tcPr>
          <w:p>
            <w:pPr>
              <w:pStyle w:val="TableContents"/>
              <w:spacing w:before="0" w:after="0"/>
              <w:ind w:left="0" w:right="0" w:hanging="0"/>
              <w:rPr/>
            </w:pPr>
            <w:r>
              <w:rPr/>
              <w:t xml:space="preserve">  </w:t>
            </w:r>
          </w:p>
        </w:tc>
        <w:tc>
          <w:tcPr>
            <w:tcW w:w="136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10,963</w:t>
            </w:r>
          </w:p>
        </w:tc>
        <w:tc>
          <w:tcPr>
            <w:tcW w:w="405" w:type="dxa"/>
            <w:tcBorders/>
            <w:shd w:fill="auto" w:val="clear"/>
            <w:vAlign w:val="center"/>
          </w:tcPr>
          <w:p>
            <w:pPr>
              <w:pStyle w:val="TableContents"/>
              <w:spacing w:before="0" w:after="0"/>
              <w:ind w:left="0" w:right="0" w:hanging="0"/>
              <w:rPr/>
            </w:pPr>
            <w:r>
              <w:rPr/>
              <w:t xml:space="preserve">  </w:t>
            </w:r>
          </w:p>
        </w:tc>
      </w:tr>
      <w:tr>
        <w:trPr/>
        <w:tc>
          <w:tcPr>
            <w:tcW w:w="36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Video products </w:t>
            </w:r>
          </w:p>
        </w:tc>
        <w:tc>
          <w:tcPr>
            <w:tcW w:w="311" w:type="dxa"/>
            <w:tcBorders/>
            <w:shd w:fill="CCEEFF" w:val="clear"/>
            <w:vAlign w:val="center"/>
          </w:tcPr>
          <w:p>
            <w:pPr>
              <w:pStyle w:val="TableContents"/>
              <w:spacing w:before="0" w:after="0"/>
              <w:ind w:left="0" w:right="0" w:hanging="0"/>
              <w:rPr/>
            </w:pPr>
            <w:r>
              <w:rPr/>
              <w:t xml:space="preserve">  </w:t>
            </w:r>
          </w:p>
        </w:tc>
        <w:tc>
          <w:tcPr>
            <w:tcW w:w="440"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367"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3,552</w:t>
            </w:r>
          </w:p>
        </w:tc>
        <w:tc>
          <w:tcPr>
            <w:tcW w:w="330" w:type="dxa"/>
            <w:tcBorders/>
            <w:shd w:fill="CCEEFF" w:val="clear"/>
            <w:vAlign w:val="center"/>
          </w:tcPr>
          <w:p>
            <w:pPr>
              <w:pStyle w:val="TableContents"/>
              <w:spacing w:before="0" w:after="0"/>
              <w:ind w:left="0" w:right="0" w:hanging="0"/>
              <w:rPr/>
            </w:pPr>
            <w:r>
              <w:rPr/>
              <w:t xml:space="preserve">  </w:t>
            </w:r>
          </w:p>
        </w:tc>
        <w:tc>
          <w:tcPr>
            <w:tcW w:w="330" w:type="dxa"/>
            <w:tcBorders/>
            <w:shd w:fill="CCEEFF" w:val="clear"/>
            <w:vAlign w:val="center"/>
          </w:tcPr>
          <w:p>
            <w:pPr>
              <w:pStyle w:val="TableContents"/>
              <w:spacing w:before="0" w:after="0"/>
              <w:ind w:left="0" w:right="0" w:hanging="0"/>
              <w:rPr/>
            </w:pPr>
            <w:r>
              <w:rPr/>
              <w:t xml:space="preserve">  </w:t>
            </w:r>
          </w:p>
        </w:tc>
        <w:tc>
          <w:tcPr>
            <w:tcW w:w="440"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366"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6,436</w:t>
            </w:r>
          </w:p>
        </w:tc>
        <w:tc>
          <w:tcPr>
            <w:tcW w:w="405" w:type="dxa"/>
            <w:tcBorders/>
            <w:shd w:fill="CCEEFF" w:val="clear"/>
            <w:vAlign w:val="center"/>
          </w:tcPr>
          <w:p>
            <w:pPr>
              <w:pStyle w:val="TableContents"/>
              <w:spacing w:before="0" w:after="0"/>
              <w:ind w:left="0" w:right="0" w:hanging="0"/>
              <w:rPr/>
            </w:pPr>
            <w:r>
              <w:rPr/>
              <w:t xml:space="preserve">  </w:t>
            </w:r>
          </w:p>
        </w:tc>
      </w:tr>
      <w:tr>
        <w:trPr/>
        <w:tc>
          <w:tcPr>
            <w:tcW w:w="3685" w:type="dxa"/>
            <w:tcBorders/>
            <w:shd w:fill="auto" w:val="clear"/>
            <w:vAlign w:val="center"/>
          </w:tcPr>
          <w:p>
            <w:pPr>
              <w:pStyle w:val="TableContents"/>
              <w:spacing w:before="0" w:after="0"/>
              <w:ind w:left="0" w:right="0" w:hanging="0"/>
              <w:rPr/>
            </w:pPr>
            <w:r>
              <w:rPr/>
              <w:t xml:space="preserve">  </w:t>
            </w:r>
          </w:p>
        </w:tc>
        <w:tc>
          <w:tcPr>
            <w:tcW w:w="311" w:type="dxa"/>
            <w:tcBorders/>
            <w:shd w:fill="auto" w:val="clear"/>
            <w:vAlign w:val="center"/>
          </w:tcPr>
          <w:p>
            <w:pPr>
              <w:pStyle w:val="TableContents"/>
              <w:spacing w:before="0" w:after="0"/>
              <w:ind w:left="0" w:right="0" w:hanging="0"/>
              <w:rPr/>
            </w:pPr>
            <w:r>
              <w:rPr/>
              <w:t xml:space="preserve">  </w:t>
            </w:r>
          </w:p>
        </w:tc>
        <w:tc>
          <w:tcPr>
            <w:tcW w:w="44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6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25,205</w:t>
            </w:r>
          </w:p>
        </w:tc>
        <w:tc>
          <w:tcPr>
            <w:tcW w:w="330" w:type="dxa"/>
            <w:tcBorders/>
            <w:shd w:fill="auto" w:val="clear"/>
            <w:vAlign w:val="center"/>
          </w:tcPr>
          <w:p>
            <w:pPr>
              <w:pStyle w:val="TableContents"/>
              <w:spacing w:before="0" w:after="0"/>
              <w:ind w:left="0" w:right="0" w:hanging="0"/>
              <w:rPr/>
            </w:pPr>
            <w:r>
              <w:rPr/>
              <w:t xml:space="preserve">  </w:t>
            </w:r>
          </w:p>
        </w:tc>
        <w:tc>
          <w:tcPr>
            <w:tcW w:w="330" w:type="dxa"/>
            <w:tcBorders/>
            <w:shd w:fill="auto" w:val="clear"/>
            <w:vAlign w:val="center"/>
          </w:tcPr>
          <w:p>
            <w:pPr>
              <w:pStyle w:val="TableContents"/>
              <w:spacing w:before="0" w:after="0"/>
              <w:ind w:left="0" w:right="0" w:hanging="0"/>
              <w:rPr/>
            </w:pPr>
            <w:r>
              <w:rPr/>
              <w:t xml:space="preserve">  </w:t>
            </w:r>
          </w:p>
        </w:tc>
        <w:tc>
          <w:tcPr>
            <w:tcW w:w="44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28,967</w:t>
            </w:r>
          </w:p>
        </w:tc>
        <w:tc>
          <w:tcPr>
            <w:tcW w:w="405" w:type="dxa"/>
            <w:tcBorders/>
            <w:shd w:fill="auto" w:val="clear"/>
            <w:vAlign w:val="center"/>
          </w:tcPr>
          <w:p>
            <w:pPr>
              <w:pStyle w:val="TableContents"/>
              <w:spacing w:before="0" w:after="0"/>
              <w:ind w:left="0" w:right="0" w:hanging="0"/>
              <w:rPr/>
            </w:pPr>
            <w:r>
              <w:rPr/>
              <w:t xml:space="preserve">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following table</w:t>
      </w:r>
      <w:r>
        <w:rPr>
          <w:rFonts w:ascii="times new roman;times" w:hAnsi="times new roman;times"/>
          <w:sz w:val="20"/>
        </w:rPr>
        <w:t> </w:t>
      </w:r>
      <w:r>
        <w:rPr>
          <w:rFonts w:ascii="Times New Roman" w:hAnsi="Times New Roman"/>
          <w:sz w:val="20"/>
        </w:rPr>
        <w:t>disaggregates</w:t>
      </w:r>
      <w:r>
        <w:rPr>
          <w:rFonts w:ascii="times new roman;times" w:hAnsi="times new roman;times"/>
          <w:sz w:val="20"/>
        </w:rPr>
        <w:t> </w:t>
      </w:r>
      <w:r>
        <w:rPr>
          <w:rFonts w:ascii="Times New Roman" w:hAnsi="Times New Roman"/>
          <w:sz w:val="20"/>
        </w:rPr>
        <w:t>the Company’s revenue into major regions:</w:t>
      </w:r>
    </w:p>
    <w:p>
      <w:pPr>
        <w:pStyle w:val="TextBody"/>
        <w:spacing w:lineRule="auto" w:line="288" w:before="0" w:after="0"/>
        <w:ind w:left="144" w:right="144" w:hanging="0"/>
        <w:jc w:val="both"/>
        <w:rPr/>
      </w:pPr>
      <w:r>
        <w:rPr/>
        <w:t> </w:t>
      </w:r>
    </w:p>
    <w:tbl>
      <w:tblPr>
        <w:tblW w:w="4250" w:type="pct"/>
        <w:jc w:val="left"/>
        <w:tblInd w:w="0" w:type="dxa"/>
        <w:tblCellMar>
          <w:top w:w="0" w:type="dxa"/>
          <w:left w:w="0" w:type="dxa"/>
          <w:bottom w:w="0" w:type="dxa"/>
          <w:right w:w="0" w:type="dxa"/>
        </w:tblCellMar>
      </w:tblPr>
      <w:tblGrid>
        <w:gridCol w:w="5196"/>
        <w:gridCol w:w="217"/>
        <w:gridCol w:w="307"/>
        <w:gridCol w:w="952"/>
        <w:gridCol w:w="230"/>
        <w:gridCol w:w="230"/>
        <w:gridCol w:w="307"/>
        <w:gridCol w:w="952"/>
        <w:gridCol w:w="283"/>
      </w:tblGrid>
      <w:tr>
        <w:trPr/>
        <w:tc>
          <w:tcPr>
            <w:tcW w:w="5196" w:type="dxa"/>
            <w:tcBorders/>
            <w:shd w:fill="auto" w:val="clear"/>
            <w:vAlign w:val="center"/>
          </w:tcPr>
          <w:p>
            <w:pPr>
              <w:pStyle w:val="TableContents"/>
              <w:spacing w:before="0" w:after="0"/>
              <w:ind w:left="0" w:right="0" w:hanging="0"/>
              <w:rPr/>
            </w:pPr>
            <w:r>
              <w:rPr/>
              <w:t xml:space="preserve">  </w:t>
            </w:r>
          </w:p>
        </w:tc>
        <w:tc>
          <w:tcPr>
            <w:tcW w:w="217" w:type="dxa"/>
            <w:tcBorders/>
            <w:shd w:fill="auto" w:val="clear"/>
            <w:vAlign w:val="center"/>
          </w:tcPr>
          <w:p>
            <w:pPr>
              <w:pStyle w:val="TableContents"/>
              <w:spacing w:before="0" w:after="0"/>
              <w:ind w:left="0" w:right="0" w:hanging="0"/>
              <w:rPr/>
            </w:pPr>
            <w:r>
              <w:rPr/>
              <w:t xml:space="preserve">  </w:t>
            </w:r>
          </w:p>
        </w:tc>
        <w:tc>
          <w:tcPr>
            <w:tcW w:w="2978"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283" w:type="dxa"/>
            <w:tcBorders/>
            <w:shd w:fill="auto" w:val="clear"/>
            <w:vAlign w:val="center"/>
          </w:tcPr>
          <w:p>
            <w:pPr>
              <w:pStyle w:val="TableContents"/>
              <w:spacing w:before="0" w:after="0"/>
              <w:ind w:left="0" w:right="0" w:hanging="0"/>
              <w:rPr/>
            </w:pPr>
            <w:r>
              <w:rPr/>
              <w:t xml:space="preserve">  </w:t>
            </w:r>
          </w:p>
        </w:tc>
      </w:tr>
      <w:tr>
        <w:trPr/>
        <w:tc>
          <w:tcPr>
            <w:tcW w:w="5196" w:type="dxa"/>
            <w:tcBorders/>
            <w:shd w:fill="auto" w:val="clear"/>
            <w:vAlign w:val="center"/>
          </w:tcPr>
          <w:p>
            <w:pPr>
              <w:pStyle w:val="TableContents"/>
              <w:spacing w:before="0" w:after="0"/>
              <w:ind w:left="0" w:right="0" w:hanging="0"/>
              <w:rPr/>
            </w:pPr>
            <w:r>
              <w:rPr/>
              <w:t xml:space="preserve">  </w:t>
            </w:r>
          </w:p>
        </w:tc>
        <w:tc>
          <w:tcPr>
            <w:tcW w:w="217" w:type="dxa"/>
            <w:tcBorders/>
            <w:shd w:fill="auto" w:val="clear"/>
            <w:vAlign w:val="center"/>
          </w:tcPr>
          <w:p>
            <w:pPr>
              <w:pStyle w:val="TableContents"/>
              <w:spacing w:before="0" w:after="0"/>
              <w:ind w:left="0" w:right="0" w:hanging="0"/>
              <w:rPr/>
            </w:pPr>
            <w:r>
              <w:rPr/>
              <w:t xml:space="preserve">  </w:t>
            </w:r>
          </w:p>
        </w:tc>
        <w:tc>
          <w:tcPr>
            <w:tcW w:w="1259"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230" w:type="dxa"/>
            <w:tcBorders/>
            <w:shd w:fill="auto" w:val="clear"/>
            <w:vAlign w:val="center"/>
          </w:tcPr>
          <w:p>
            <w:pPr>
              <w:pStyle w:val="TableContents"/>
              <w:spacing w:before="0" w:after="0"/>
              <w:ind w:left="0" w:right="0" w:hanging="0"/>
              <w:rPr/>
            </w:pPr>
            <w:r>
              <w:rPr/>
              <w:t xml:space="preserve">  </w:t>
            </w:r>
          </w:p>
        </w:tc>
        <w:tc>
          <w:tcPr>
            <w:tcW w:w="230" w:type="dxa"/>
            <w:tcBorders/>
            <w:shd w:fill="auto" w:val="clear"/>
            <w:vAlign w:val="center"/>
          </w:tcPr>
          <w:p>
            <w:pPr>
              <w:pStyle w:val="TableContents"/>
              <w:spacing w:before="0" w:after="0"/>
              <w:ind w:left="0" w:right="0" w:hanging="0"/>
              <w:rPr/>
            </w:pPr>
            <w:r>
              <w:rPr/>
              <w:t xml:space="preserve">  </w:t>
            </w:r>
          </w:p>
        </w:tc>
        <w:tc>
          <w:tcPr>
            <w:tcW w:w="1259"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283" w:type="dxa"/>
            <w:tcBorders/>
            <w:shd w:fill="auto" w:val="clear"/>
            <w:vAlign w:val="center"/>
          </w:tcPr>
          <w:p>
            <w:pPr>
              <w:pStyle w:val="TableContents"/>
              <w:spacing w:before="0" w:after="0"/>
              <w:ind w:left="0" w:right="0" w:hanging="0"/>
              <w:rPr/>
            </w:pPr>
            <w:r>
              <w:rPr/>
              <w:t xml:space="preserve">  </w:t>
            </w:r>
          </w:p>
        </w:tc>
      </w:tr>
      <w:tr>
        <w:trPr/>
        <w:tc>
          <w:tcPr>
            <w:tcW w:w="519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North and South America </w:t>
            </w:r>
          </w:p>
        </w:tc>
        <w:tc>
          <w:tcPr>
            <w:tcW w:w="217" w:type="dxa"/>
            <w:tcBorders/>
            <w:shd w:fill="CCEEFF" w:val="clear"/>
            <w:vAlign w:val="center"/>
          </w:tcPr>
          <w:p>
            <w:pPr>
              <w:pStyle w:val="TableContents"/>
              <w:spacing w:before="0" w:after="0"/>
              <w:ind w:left="0" w:right="0" w:hanging="0"/>
              <w:rPr/>
            </w:pPr>
            <w:r>
              <w:rPr/>
              <w:t xml:space="preserve">  </w:t>
            </w:r>
          </w:p>
        </w:tc>
        <w:tc>
          <w:tcPr>
            <w:tcW w:w="30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5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12,297</w:t>
            </w:r>
          </w:p>
        </w:tc>
        <w:tc>
          <w:tcPr>
            <w:tcW w:w="230" w:type="dxa"/>
            <w:tcBorders/>
            <w:shd w:fill="CCEEFF" w:val="clear"/>
            <w:vAlign w:val="center"/>
          </w:tcPr>
          <w:p>
            <w:pPr>
              <w:pStyle w:val="TableContents"/>
              <w:spacing w:before="0" w:after="0"/>
              <w:ind w:left="0" w:right="0" w:hanging="0"/>
              <w:rPr/>
            </w:pPr>
            <w:r>
              <w:rPr/>
              <w:t xml:space="preserve">  </w:t>
            </w:r>
          </w:p>
        </w:tc>
        <w:tc>
          <w:tcPr>
            <w:tcW w:w="230" w:type="dxa"/>
            <w:tcBorders/>
            <w:shd w:fill="CCEEFF" w:val="clear"/>
            <w:vAlign w:val="center"/>
          </w:tcPr>
          <w:p>
            <w:pPr>
              <w:pStyle w:val="TableContents"/>
              <w:spacing w:before="0" w:after="0"/>
              <w:ind w:left="0" w:right="0" w:hanging="0"/>
              <w:rPr/>
            </w:pPr>
            <w:r>
              <w:rPr/>
              <w:t xml:space="preserve">  </w:t>
            </w:r>
          </w:p>
        </w:tc>
        <w:tc>
          <w:tcPr>
            <w:tcW w:w="30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5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14,042</w:t>
            </w:r>
          </w:p>
        </w:tc>
        <w:tc>
          <w:tcPr>
            <w:tcW w:w="283" w:type="dxa"/>
            <w:tcBorders/>
            <w:shd w:fill="CCEEFF" w:val="clear"/>
            <w:vAlign w:val="center"/>
          </w:tcPr>
          <w:p>
            <w:pPr>
              <w:pStyle w:val="TableContents"/>
              <w:spacing w:before="0" w:after="0"/>
              <w:ind w:left="0" w:right="0" w:hanging="0"/>
              <w:rPr/>
            </w:pPr>
            <w:r>
              <w:rPr/>
              <w:t xml:space="preserve">  </w:t>
            </w:r>
          </w:p>
        </w:tc>
      </w:tr>
      <w:tr>
        <w:trPr/>
        <w:tc>
          <w:tcPr>
            <w:tcW w:w="519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Asia (including Middle East) and Australia </w:t>
            </w:r>
          </w:p>
        </w:tc>
        <w:tc>
          <w:tcPr>
            <w:tcW w:w="217" w:type="dxa"/>
            <w:tcBorders/>
            <w:shd w:fill="auto" w:val="clear"/>
            <w:vAlign w:val="center"/>
          </w:tcPr>
          <w:p>
            <w:pPr>
              <w:pStyle w:val="TableContents"/>
              <w:spacing w:before="0" w:after="0"/>
              <w:ind w:left="0" w:right="0" w:hanging="0"/>
              <w:rPr/>
            </w:pPr>
            <w:r>
              <w:rPr/>
              <w:t xml:space="preserve">  </w:t>
            </w:r>
          </w:p>
        </w:tc>
        <w:tc>
          <w:tcPr>
            <w:tcW w:w="307" w:type="dxa"/>
            <w:tcBorders/>
            <w:shd w:fill="auto" w:val="clear"/>
            <w:vAlign w:val="center"/>
          </w:tcPr>
          <w:p>
            <w:pPr>
              <w:pStyle w:val="TableContents"/>
              <w:spacing w:before="0" w:after="0"/>
              <w:ind w:left="0" w:right="0" w:hanging="0"/>
              <w:rPr/>
            </w:pPr>
            <w:r>
              <w:rPr/>
              <w:t xml:space="preserve">  </w:t>
            </w:r>
          </w:p>
        </w:tc>
        <w:tc>
          <w:tcPr>
            <w:tcW w:w="95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7,828</w:t>
            </w:r>
          </w:p>
        </w:tc>
        <w:tc>
          <w:tcPr>
            <w:tcW w:w="230" w:type="dxa"/>
            <w:tcBorders/>
            <w:shd w:fill="auto" w:val="clear"/>
            <w:vAlign w:val="center"/>
          </w:tcPr>
          <w:p>
            <w:pPr>
              <w:pStyle w:val="TableContents"/>
              <w:spacing w:before="0" w:after="0"/>
              <w:ind w:left="0" w:right="0" w:hanging="0"/>
              <w:rPr/>
            </w:pPr>
            <w:r>
              <w:rPr/>
              <w:t xml:space="preserve">  </w:t>
            </w:r>
          </w:p>
        </w:tc>
        <w:tc>
          <w:tcPr>
            <w:tcW w:w="230" w:type="dxa"/>
            <w:tcBorders/>
            <w:shd w:fill="auto" w:val="clear"/>
            <w:vAlign w:val="center"/>
          </w:tcPr>
          <w:p>
            <w:pPr>
              <w:pStyle w:val="TableContents"/>
              <w:spacing w:before="0" w:after="0"/>
              <w:ind w:left="0" w:right="0" w:hanging="0"/>
              <w:rPr/>
            </w:pPr>
            <w:r>
              <w:rPr/>
              <w:t xml:space="preserve">  </w:t>
            </w:r>
          </w:p>
        </w:tc>
        <w:tc>
          <w:tcPr>
            <w:tcW w:w="307" w:type="dxa"/>
            <w:tcBorders/>
            <w:shd w:fill="auto" w:val="clear"/>
            <w:vAlign w:val="center"/>
          </w:tcPr>
          <w:p>
            <w:pPr>
              <w:pStyle w:val="TableContents"/>
              <w:spacing w:before="0" w:after="0"/>
              <w:ind w:left="0" w:right="0" w:hanging="0"/>
              <w:rPr/>
            </w:pPr>
            <w:r>
              <w:rPr/>
              <w:t xml:space="preserve">  </w:t>
            </w:r>
          </w:p>
        </w:tc>
        <w:tc>
          <w:tcPr>
            <w:tcW w:w="95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8,197</w:t>
            </w:r>
          </w:p>
        </w:tc>
        <w:tc>
          <w:tcPr>
            <w:tcW w:w="283" w:type="dxa"/>
            <w:tcBorders/>
            <w:shd w:fill="auto" w:val="clear"/>
            <w:vAlign w:val="center"/>
          </w:tcPr>
          <w:p>
            <w:pPr>
              <w:pStyle w:val="TableContents"/>
              <w:spacing w:before="0" w:after="0"/>
              <w:ind w:left="0" w:right="0" w:hanging="0"/>
              <w:rPr/>
            </w:pPr>
            <w:r>
              <w:rPr/>
              <w:t xml:space="preserve">  </w:t>
            </w:r>
          </w:p>
        </w:tc>
      </w:tr>
      <w:tr>
        <w:trPr/>
        <w:tc>
          <w:tcPr>
            <w:tcW w:w="519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Europe and Africa </w:t>
            </w:r>
          </w:p>
        </w:tc>
        <w:tc>
          <w:tcPr>
            <w:tcW w:w="217" w:type="dxa"/>
            <w:tcBorders/>
            <w:shd w:fill="CCEEFF" w:val="clear"/>
            <w:vAlign w:val="center"/>
          </w:tcPr>
          <w:p>
            <w:pPr>
              <w:pStyle w:val="TableContents"/>
              <w:spacing w:before="0" w:after="0"/>
              <w:ind w:left="0" w:right="0" w:hanging="0"/>
              <w:rPr/>
            </w:pPr>
            <w:r>
              <w:rPr/>
              <w:t xml:space="preserve">  </w:t>
            </w:r>
          </w:p>
        </w:tc>
        <w:tc>
          <w:tcPr>
            <w:tcW w:w="307" w:type="dxa"/>
            <w:tcBorders/>
            <w:shd w:fill="CCEEFF" w:val="clear"/>
            <w:vAlign w:val="center"/>
          </w:tcPr>
          <w:p>
            <w:pPr>
              <w:pStyle w:val="TableContents"/>
              <w:spacing w:before="0" w:after="0"/>
              <w:ind w:left="0" w:right="0" w:hanging="0"/>
              <w:rPr/>
            </w:pPr>
            <w:r>
              <w:rPr/>
              <w:t xml:space="preserve">  </w:t>
            </w:r>
          </w:p>
        </w:tc>
        <w:tc>
          <w:tcPr>
            <w:tcW w:w="95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5,080</w:t>
            </w:r>
          </w:p>
        </w:tc>
        <w:tc>
          <w:tcPr>
            <w:tcW w:w="230" w:type="dxa"/>
            <w:tcBorders/>
            <w:shd w:fill="CCEEFF" w:val="clear"/>
            <w:vAlign w:val="center"/>
          </w:tcPr>
          <w:p>
            <w:pPr>
              <w:pStyle w:val="TableContents"/>
              <w:spacing w:before="0" w:after="0"/>
              <w:ind w:left="0" w:right="0" w:hanging="0"/>
              <w:rPr/>
            </w:pPr>
            <w:r>
              <w:rPr/>
              <w:t xml:space="preserve">  </w:t>
            </w:r>
          </w:p>
        </w:tc>
        <w:tc>
          <w:tcPr>
            <w:tcW w:w="230" w:type="dxa"/>
            <w:tcBorders/>
            <w:shd w:fill="CCEEFF" w:val="clear"/>
            <w:vAlign w:val="center"/>
          </w:tcPr>
          <w:p>
            <w:pPr>
              <w:pStyle w:val="TableContents"/>
              <w:spacing w:before="0" w:after="0"/>
              <w:ind w:left="0" w:right="0" w:hanging="0"/>
              <w:rPr/>
            </w:pPr>
            <w:r>
              <w:rPr/>
              <w:t xml:space="preserve">  </w:t>
            </w:r>
          </w:p>
        </w:tc>
        <w:tc>
          <w:tcPr>
            <w:tcW w:w="307" w:type="dxa"/>
            <w:tcBorders/>
            <w:shd w:fill="CCEEFF" w:val="clear"/>
            <w:vAlign w:val="center"/>
          </w:tcPr>
          <w:p>
            <w:pPr>
              <w:pStyle w:val="TableContents"/>
              <w:spacing w:before="0" w:after="0"/>
              <w:ind w:left="0" w:right="0" w:hanging="0"/>
              <w:rPr/>
            </w:pPr>
            <w:r>
              <w:rPr/>
              <w:t xml:space="preserve">  </w:t>
            </w:r>
          </w:p>
        </w:tc>
        <w:tc>
          <w:tcPr>
            <w:tcW w:w="95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6,728</w:t>
            </w:r>
          </w:p>
        </w:tc>
        <w:tc>
          <w:tcPr>
            <w:tcW w:w="283" w:type="dxa"/>
            <w:tcBorders/>
            <w:shd w:fill="CCEEFF" w:val="clear"/>
            <w:vAlign w:val="center"/>
          </w:tcPr>
          <w:p>
            <w:pPr>
              <w:pStyle w:val="TableContents"/>
              <w:spacing w:before="0" w:after="0"/>
              <w:ind w:left="0" w:right="0" w:hanging="0"/>
              <w:rPr/>
            </w:pPr>
            <w:r>
              <w:rPr/>
            </w:r>
          </w:p>
        </w:tc>
      </w:tr>
      <w:tr>
        <w:trPr/>
        <w:tc>
          <w:tcPr>
            <w:tcW w:w="5196" w:type="dxa"/>
            <w:tcBorders/>
            <w:shd w:fill="auto" w:val="clear"/>
            <w:vAlign w:val="center"/>
          </w:tcPr>
          <w:p>
            <w:pPr>
              <w:pStyle w:val="TableContents"/>
              <w:spacing w:before="0" w:after="0"/>
              <w:ind w:left="0" w:right="0" w:hanging="0"/>
              <w:rPr/>
            </w:pPr>
            <w:r>
              <w:rPr/>
              <w:t xml:space="preserve">  </w:t>
            </w:r>
          </w:p>
        </w:tc>
        <w:tc>
          <w:tcPr>
            <w:tcW w:w="217" w:type="dxa"/>
            <w:tcBorders/>
            <w:shd w:fill="auto" w:val="clear"/>
            <w:vAlign w:val="center"/>
          </w:tcPr>
          <w:p>
            <w:pPr>
              <w:pStyle w:val="TableContents"/>
              <w:spacing w:before="0" w:after="0"/>
              <w:ind w:left="0" w:right="0" w:hanging="0"/>
              <w:rPr/>
            </w:pPr>
            <w:r>
              <w:rPr/>
              <w:t xml:space="preserve">  </w:t>
            </w:r>
          </w:p>
        </w:tc>
        <w:tc>
          <w:tcPr>
            <w:tcW w:w="307" w:type="dxa"/>
            <w:tcBorders>
              <w:top w:val="single" w:sz="2" w:space="0" w:color="000000"/>
              <w:bottom w:val="double" w:sz="7" w:space="0" w:color="000000"/>
            </w:tcBorders>
            <w:shd w:fill="auto" w:val="clear"/>
            <w:tcMar>
              <w:top w:w="28" w:type="dxa"/>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52" w:type="dxa"/>
            <w:tcBorders>
              <w:top w:val="single" w:sz="2" w:space="0" w:color="000000"/>
              <w:bottom w:val="double" w:sz="7"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25,205</w:t>
            </w:r>
          </w:p>
        </w:tc>
        <w:tc>
          <w:tcPr>
            <w:tcW w:w="230" w:type="dxa"/>
            <w:tcBorders/>
            <w:shd w:fill="auto" w:val="clear"/>
            <w:vAlign w:val="center"/>
          </w:tcPr>
          <w:p>
            <w:pPr>
              <w:pStyle w:val="TableContents"/>
              <w:spacing w:before="0" w:after="0"/>
              <w:ind w:left="0" w:right="0" w:hanging="0"/>
              <w:rPr/>
            </w:pPr>
            <w:r>
              <w:rPr/>
              <w:t xml:space="preserve">  </w:t>
            </w:r>
          </w:p>
        </w:tc>
        <w:tc>
          <w:tcPr>
            <w:tcW w:w="230" w:type="dxa"/>
            <w:tcBorders/>
            <w:shd w:fill="auto" w:val="clear"/>
            <w:vAlign w:val="center"/>
          </w:tcPr>
          <w:p>
            <w:pPr>
              <w:pStyle w:val="TableContents"/>
              <w:spacing w:before="0" w:after="0"/>
              <w:ind w:left="0" w:right="0" w:hanging="0"/>
              <w:rPr/>
            </w:pPr>
            <w:r>
              <w:rPr/>
              <w:t xml:space="preserve">  </w:t>
            </w:r>
          </w:p>
        </w:tc>
        <w:tc>
          <w:tcPr>
            <w:tcW w:w="307" w:type="dxa"/>
            <w:tcBorders>
              <w:top w:val="single" w:sz="2" w:space="0" w:color="000000"/>
              <w:bottom w:val="double" w:sz="7" w:space="0" w:color="000000"/>
            </w:tcBorders>
            <w:shd w:fill="auto" w:val="clear"/>
            <w:tcMar>
              <w:top w:w="28" w:type="dxa"/>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52" w:type="dxa"/>
            <w:tcBorders>
              <w:top w:val="single" w:sz="2" w:space="0" w:color="000000"/>
              <w:bottom w:val="double" w:sz="7"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28,967</w:t>
            </w:r>
          </w:p>
        </w:tc>
        <w:tc>
          <w:tcPr>
            <w:tcW w:w="283" w:type="dxa"/>
            <w:tcBorders/>
            <w:shd w:fill="auto" w:val="clear"/>
            <w:vAlign w:val="center"/>
          </w:tcPr>
          <w:p>
            <w:pPr>
              <w:pStyle w:val="TableContents"/>
              <w:spacing w:before="0" w:after="0"/>
              <w:ind w:left="0" w:right="0" w:hanging="0"/>
              <w:rPr/>
            </w:pPr>
            <w:r>
              <w:rPr/>
              <w:t xml:space="preserve">  </w:t>
            </w:r>
          </w:p>
        </w:tc>
      </w:tr>
    </w:tbl>
    <w:p>
      <w:pPr>
        <w:pStyle w:val="TextBody"/>
        <w:spacing w:lineRule="auto" w:line="240" w:before="0" w:after="0"/>
        <w:ind w:left="144" w:right="144"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Warranty Costs</w:t>
      </w:r>
      <w:r>
        <w:rPr>
          <w:rFonts w:ascii="times new roman;times" w:hAnsi="times new roman;times"/>
          <w:sz w:val="20"/>
        </w:rPr>
        <w:t xml:space="preserve"> – </w:t>
      </w:r>
      <w:r>
        <w:rPr>
          <w:rFonts w:ascii="Times New Roman" w:hAnsi="Times New Roman"/>
          <w:sz w:val="20"/>
        </w:rPr>
        <w:t>The Company accrues for warranty costs based on estimated warranty return rates and estimated costs to repair. These reserve costs are 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pStyle w:val="TextBody"/>
        <w:spacing w:lineRule="auto" w:line="240" w:before="0" w:after="0"/>
        <w:ind w:left="144" w:right="144"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details of changes in the Company’s warranty accrual are as follows:</w:t>
      </w:r>
    </w:p>
    <w:p>
      <w:pPr>
        <w:pStyle w:val="TextBody"/>
        <w:spacing w:lineRule="auto" w:line="240" w:before="0" w:after="0"/>
        <w:ind w:left="144" w:right="144" w:hanging="0"/>
        <w:jc w:val="both"/>
        <w:rPr/>
      </w:pPr>
      <w:r>
        <w:rPr/>
        <w:t> </w:t>
      </w:r>
    </w:p>
    <w:tbl>
      <w:tblPr>
        <w:tblW w:w="4250" w:type="pct"/>
        <w:jc w:val="left"/>
        <w:tblInd w:w="0" w:type="dxa"/>
        <w:tblCellMar>
          <w:top w:w="0" w:type="dxa"/>
          <w:left w:w="0" w:type="dxa"/>
          <w:bottom w:w="0" w:type="dxa"/>
          <w:right w:w="0" w:type="dxa"/>
        </w:tblCellMar>
      </w:tblPr>
      <w:tblGrid>
        <w:gridCol w:w="4629"/>
        <w:gridCol w:w="252"/>
        <w:gridCol w:w="485"/>
        <w:gridCol w:w="884"/>
        <w:gridCol w:w="363"/>
        <w:gridCol w:w="364"/>
        <w:gridCol w:w="485"/>
        <w:gridCol w:w="883"/>
        <w:gridCol w:w="329"/>
      </w:tblGrid>
      <w:tr>
        <w:trPr/>
        <w:tc>
          <w:tcPr>
            <w:tcW w:w="4629" w:type="dxa"/>
            <w:tcBorders/>
            <w:shd w:fill="auto" w:val="clear"/>
            <w:vAlign w:val="center"/>
          </w:tcPr>
          <w:p>
            <w:pPr>
              <w:pStyle w:val="TableContents"/>
              <w:spacing w:before="0" w:after="0"/>
              <w:ind w:left="0" w:right="0" w:hanging="0"/>
              <w:rPr/>
            </w:pPr>
            <w:r>
              <w:rPr/>
              <w:t xml:space="preserve">  </w:t>
            </w:r>
          </w:p>
        </w:tc>
        <w:tc>
          <w:tcPr>
            <w:tcW w:w="252" w:type="dxa"/>
            <w:tcBorders/>
            <w:shd w:fill="auto" w:val="clear"/>
            <w:vAlign w:val="center"/>
          </w:tcPr>
          <w:p>
            <w:pPr>
              <w:pStyle w:val="TableContents"/>
              <w:spacing w:before="0" w:after="0"/>
              <w:ind w:left="0" w:right="0" w:hanging="0"/>
              <w:rPr/>
            </w:pPr>
            <w:r>
              <w:rPr/>
              <w:t xml:space="preserve">  </w:t>
            </w:r>
          </w:p>
        </w:tc>
        <w:tc>
          <w:tcPr>
            <w:tcW w:w="3464"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329" w:type="dxa"/>
            <w:tcBorders/>
            <w:shd w:fill="auto" w:val="clear"/>
            <w:vAlign w:val="center"/>
          </w:tcPr>
          <w:p>
            <w:pPr>
              <w:pStyle w:val="TableContents"/>
              <w:spacing w:before="0" w:after="0"/>
              <w:ind w:left="0" w:right="0" w:hanging="0"/>
              <w:rPr/>
            </w:pPr>
            <w:r>
              <w:rPr/>
              <w:t xml:space="preserve">  </w:t>
            </w:r>
          </w:p>
        </w:tc>
      </w:tr>
      <w:tr>
        <w:trPr/>
        <w:tc>
          <w:tcPr>
            <w:tcW w:w="4629" w:type="dxa"/>
            <w:tcBorders/>
            <w:shd w:fill="auto" w:val="clear"/>
            <w:vAlign w:val="center"/>
          </w:tcPr>
          <w:p>
            <w:pPr>
              <w:pStyle w:val="TableContents"/>
              <w:spacing w:before="0" w:after="0"/>
              <w:ind w:left="0" w:right="0" w:hanging="0"/>
              <w:rPr/>
            </w:pPr>
            <w:r>
              <w:rPr/>
              <w:t xml:space="preserve">  </w:t>
            </w:r>
          </w:p>
        </w:tc>
        <w:tc>
          <w:tcPr>
            <w:tcW w:w="252" w:type="dxa"/>
            <w:tcBorders/>
            <w:shd w:fill="auto" w:val="clear"/>
            <w:vAlign w:val="center"/>
          </w:tcPr>
          <w:p>
            <w:pPr>
              <w:pStyle w:val="TableContents"/>
              <w:spacing w:before="0" w:after="0"/>
              <w:ind w:left="0" w:right="0" w:hanging="0"/>
              <w:rPr/>
            </w:pPr>
            <w:r>
              <w:rPr/>
              <w:t xml:space="preserve">  </w:t>
            </w:r>
          </w:p>
        </w:tc>
        <w:tc>
          <w:tcPr>
            <w:tcW w:w="1369"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363" w:type="dxa"/>
            <w:tcBorders/>
            <w:shd w:fill="auto" w:val="clear"/>
            <w:vAlign w:val="center"/>
          </w:tcPr>
          <w:p>
            <w:pPr>
              <w:pStyle w:val="TableContents"/>
              <w:spacing w:before="0" w:after="0"/>
              <w:ind w:left="0" w:right="0" w:hanging="0"/>
              <w:rPr/>
            </w:pPr>
            <w:r>
              <w:rPr/>
              <w:t xml:space="preserve">  </w:t>
            </w:r>
          </w:p>
        </w:tc>
        <w:tc>
          <w:tcPr>
            <w:tcW w:w="364" w:type="dxa"/>
            <w:tcBorders/>
            <w:shd w:fill="auto" w:val="clear"/>
            <w:vAlign w:val="center"/>
          </w:tcPr>
          <w:p>
            <w:pPr>
              <w:pStyle w:val="TableContents"/>
              <w:spacing w:before="0" w:after="0"/>
              <w:ind w:left="0" w:right="0" w:hanging="0"/>
              <w:rPr/>
            </w:pPr>
            <w:r>
              <w:rPr/>
              <w:t xml:space="preserve">  </w:t>
            </w:r>
          </w:p>
        </w:tc>
        <w:tc>
          <w:tcPr>
            <w:tcW w:w="1368"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329" w:type="dxa"/>
            <w:tcBorders/>
            <w:shd w:fill="auto" w:val="clear"/>
            <w:vAlign w:val="center"/>
          </w:tcPr>
          <w:p>
            <w:pPr>
              <w:pStyle w:val="TableContents"/>
              <w:spacing w:before="0" w:after="0"/>
              <w:ind w:left="0" w:right="0" w:hanging="0"/>
              <w:rPr/>
            </w:pPr>
            <w:r>
              <w:rPr/>
              <w:t xml:space="preserve">  </w:t>
            </w:r>
          </w:p>
        </w:tc>
      </w:tr>
      <w:tr>
        <w:trPr/>
        <w:tc>
          <w:tcPr>
            <w:tcW w:w="462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the beginning of year </w:t>
            </w:r>
          </w:p>
        </w:tc>
        <w:tc>
          <w:tcPr>
            <w:tcW w:w="252" w:type="dxa"/>
            <w:tcBorders/>
            <w:shd w:fill="CCEEFF" w:val="clear"/>
            <w:vAlign w:val="center"/>
          </w:tcPr>
          <w:p>
            <w:pPr>
              <w:pStyle w:val="TableContents"/>
              <w:spacing w:before="0" w:after="0"/>
              <w:ind w:left="0" w:right="0" w:hanging="0"/>
              <w:rPr/>
            </w:pPr>
            <w:r>
              <w:rPr/>
              <w:t xml:space="preserve">  </w:t>
            </w:r>
          </w:p>
        </w:tc>
        <w:tc>
          <w:tcPr>
            <w:tcW w:w="4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8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363" w:type="dxa"/>
            <w:tcBorders/>
            <w:shd w:fill="CCEEFF" w:val="clear"/>
            <w:vAlign w:val="center"/>
          </w:tcPr>
          <w:p>
            <w:pPr>
              <w:pStyle w:val="TableContents"/>
              <w:spacing w:before="0" w:after="0"/>
              <w:ind w:left="0" w:right="0" w:hanging="0"/>
              <w:rPr/>
            </w:pPr>
            <w:r>
              <w:rPr/>
              <w:t xml:space="preserve">  </w:t>
            </w:r>
          </w:p>
        </w:tc>
        <w:tc>
          <w:tcPr>
            <w:tcW w:w="364" w:type="dxa"/>
            <w:tcBorders/>
            <w:shd w:fill="CCEEFF" w:val="clear"/>
            <w:vAlign w:val="center"/>
          </w:tcPr>
          <w:p>
            <w:pPr>
              <w:pStyle w:val="TableContents"/>
              <w:spacing w:before="0" w:after="0"/>
              <w:ind w:left="0" w:right="0" w:hanging="0"/>
              <w:rPr/>
            </w:pPr>
            <w:r>
              <w:rPr/>
              <w:t xml:space="preserve">  </w:t>
            </w:r>
          </w:p>
        </w:tc>
        <w:tc>
          <w:tcPr>
            <w:tcW w:w="48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8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329" w:type="dxa"/>
            <w:tcBorders/>
            <w:shd w:fill="CCEEFF" w:val="clear"/>
            <w:vAlign w:val="center"/>
          </w:tcPr>
          <w:p>
            <w:pPr>
              <w:pStyle w:val="TableContents"/>
              <w:spacing w:before="0" w:after="0"/>
              <w:ind w:left="0" w:right="0" w:hanging="0"/>
              <w:rPr/>
            </w:pPr>
            <w:r>
              <w:rPr/>
              <w:t xml:space="preserve">  </w:t>
            </w:r>
          </w:p>
        </w:tc>
      </w:tr>
      <w:tr>
        <w:trPr/>
        <w:tc>
          <w:tcPr>
            <w:tcW w:w="4629"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Accruals/additions </w:t>
            </w:r>
          </w:p>
        </w:tc>
        <w:tc>
          <w:tcPr>
            <w:tcW w:w="252" w:type="dxa"/>
            <w:tcBorders/>
            <w:shd w:fill="auto" w:val="clear"/>
            <w:vAlign w:val="center"/>
          </w:tcPr>
          <w:p>
            <w:pPr>
              <w:pStyle w:val="TableContents"/>
              <w:spacing w:before="0" w:after="0"/>
              <w:ind w:left="0" w:right="0" w:hanging="0"/>
              <w:rPr/>
            </w:pPr>
            <w:r>
              <w:rPr/>
              <w:t xml:space="preserve">  </w:t>
            </w:r>
          </w:p>
        </w:tc>
        <w:tc>
          <w:tcPr>
            <w:tcW w:w="485" w:type="dxa"/>
            <w:tcBorders/>
            <w:shd w:fill="auto" w:val="clear"/>
            <w:vAlign w:val="center"/>
          </w:tcPr>
          <w:p>
            <w:pPr>
              <w:pStyle w:val="TableContents"/>
              <w:spacing w:before="0" w:after="0"/>
              <w:ind w:left="0" w:right="0" w:hanging="0"/>
              <w:rPr/>
            </w:pPr>
            <w:r>
              <w:rPr/>
              <w:t xml:space="preserve">  </w:t>
            </w:r>
          </w:p>
        </w:tc>
        <w:tc>
          <w:tcPr>
            <w:tcW w:w="884" w:type="dxa"/>
            <w:tcBorders/>
            <w:shd w:fill="auto" w:val="clear"/>
            <w:vAlign w:val="center"/>
          </w:tcPr>
          <w:p>
            <w:pPr>
              <w:pStyle w:val="TableContents"/>
              <w:spacing w:before="0" w:after="0"/>
              <w:ind w:left="0" w:right="0" w:hanging="0"/>
              <w:jc w:val="right"/>
              <w:rPr/>
            </w:pPr>
            <w:r>
              <w:rPr/>
              <w:t>—</w:t>
            </w:r>
          </w:p>
        </w:tc>
        <w:tc>
          <w:tcPr>
            <w:tcW w:w="363" w:type="dxa"/>
            <w:tcBorders/>
            <w:shd w:fill="auto" w:val="clear"/>
            <w:vAlign w:val="center"/>
          </w:tcPr>
          <w:p>
            <w:pPr>
              <w:pStyle w:val="TableContents"/>
              <w:spacing w:before="0" w:after="0"/>
              <w:ind w:left="0" w:right="0" w:hanging="0"/>
              <w:rPr/>
            </w:pPr>
            <w:r>
              <w:rPr/>
              <w:t xml:space="preserve">  </w:t>
            </w:r>
          </w:p>
        </w:tc>
        <w:tc>
          <w:tcPr>
            <w:tcW w:w="364" w:type="dxa"/>
            <w:tcBorders/>
            <w:shd w:fill="auto" w:val="clear"/>
            <w:vAlign w:val="center"/>
          </w:tcPr>
          <w:p>
            <w:pPr>
              <w:pStyle w:val="TableContents"/>
              <w:spacing w:before="0" w:after="0"/>
              <w:ind w:left="0" w:right="0" w:hanging="0"/>
              <w:rPr/>
            </w:pPr>
            <w:r>
              <w:rPr/>
              <w:t xml:space="preserve">  </w:t>
            </w:r>
          </w:p>
        </w:tc>
        <w:tc>
          <w:tcPr>
            <w:tcW w:w="485" w:type="dxa"/>
            <w:tcBorders/>
            <w:shd w:fill="auto" w:val="clear"/>
            <w:vAlign w:val="center"/>
          </w:tcPr>
          <w:p>
            <w:pPr>
              <w:pStyle w:val="TableContents"/>
              <w:spacing w:before="0" w:after="0"/>
              <w:ind w:left="0" w:right="0" w:hanging="0"/>
              <w:rPr/>
            </w:pPr>
            <w:r>
              <w:rPr/>
              <w:t xml:space="preserve">  </w:t>
            </w:r>
          </w:p>
        </w:tc>
        <w:tc>
          <w:tcPr>
            <w:tcW w:w="883" w:type="dxa"/>
            <w:tcBorders/>
            <w:shd w:fill="auto" w:val="clear"/>
            <w:vAlign w:val="center"/>
          </w:tcPr>
          <w:p>
            <w:pPr>
              <w:pStyle w:val="TableContents"/>
              <w:spacing w:before="0" w:after="0"/>
              <w:ind w:left="0" w:right="0" w:hanging="0"/>
              <w:jc w:val="right"/>
              <w:rPr/>
            </w:pPr>
            <w:r>
              <w:rPr/>
              <w:t>—</w:t>
            </w:r>
          </w:p>
        </w:tc>
        <w:tc>
          <w:tcPr>
            <w:tcW w:w="329" w:type="dxa"/>
            <w:tcBorders/>
            <w:shd w:fill="auto" w:val="clear"/>
            <w:vAlign w:val="center"/>
          </w:tcPr>
          <w:p>
            <w:pPr>
              <w:pStyle w:val="TableContents"/>
              <w:spacing w:before="0" w:after="0"/>
              <w:ind w:left="0" w:right="0" w:hanging="0"/>
              <w:rPr/>
            </w:pPr>
            <w:r>
              <w:rPr/>
              <w:t xml:space="preserve">  </w:t>
            </w:r>
          </w:p>
        </w:tc>
      </w:tr>
      <w:tr>
        <w:trPr/>
        <w:tc>
          <w:tcPr>
            <w:tcW w:w="4629"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Usage/claims </w:t>
            </w:r>
          </w:p>
        </w:tc>
        <w:tc>
          <w:tcPr>
            <w:tcW w:w="252" w:type="dxa"/>
            <w:tcBorders/>
            <w:shd w:fill="CCEEFF" w:val="clear"/>
            <w:vAlign w:val="center"/>
          </w:tcPr>
          <w:p>
            <w:pPr>
              <w:pStyle w:val="TableContents"/>
              <w:spacing w:before="0" w:after="0"/>
              <w:ind w:left="0" w:right="0" w:hanging="0"/>
              <w:rPr/>
            </w:pPr>
            <w:r>
              <w:rPr/>
              <w:t xml:space="preserve">  </w:t>
            </w:r>
          </w:p>
        </w:tc>
        <w:tc>
          <w:tcPr>
            <w:tcW w:w="485" w:type="dxa"/>
            <w:tcBorders/>
            <w:shd w:fill="CCEEFF" w:val="clear"/>
            <w:vAlign w:val="center"/>
          </w:tcPr>
          <w:p>
            <w:pPr>
              <w:pStyle w:val="TableContents"/>
              <w:spacing w:before="0" w:after="0"/>
              <w:ind w:left="0" w:right="0" w:hanging="0"/>
              <w:rPr/>
            </w:pPr>
            <w:r>
              <w:rPr/>
              <w:t xml:space="preserve">  </w:t>
            </w:r>
          </w:p>
        </w:tc>
        <w:tc>
          <w:tcPr>
            <w:tcW w:w="884" w:type="dxa"/>
            <w:tcBorders/>
            <w:shd w:fill="CCEEFF" w:val="clear"/>
            <w:vAlign w:val="center"/>
          </w:tcPr>
          <w:p>
            <w:pPr>
              <w:pStyle w:val="TableContents"/>
              <w:spacing w:before="0" w:after="0"/>
              <w:ind w:left="0" w:right="0" w:hanging="0"/>
              <w:jc w:val="right"/>
              <w:rPr/>
            </w:pPr>
            <w:r>
              <w:rPr/>
              <w:t>—</w:t>
            </w:r>
          </w:p>
        </w:tc>
        <w:tc>
          <w:tcPr>
            <w:tcW w:w="363" w:type="dxa"/>
            <w:tcBorders/>
            <w:shd w:fill="CCEEFF" w:val="clear"/>
            <w:vAlign w:val="center"/>
          </w:tcPr>
          <w:p>
            <w:pPr>
              <w:pStyle w:val="TableContents"/>
              <w:spacing w:before="0" w:after="283"/>
              <w:rPr>
                <w:sz w:val="4"/>
                <w:szCs w:val="4"/>
              </w:rPr>
            </w:pPr>
            <w:r>
              <w:rPr>
                <w:sz w:val="4"/>
                <w:szCs w:val="4"/>
              </w:rPr>
            </w:r>
          </w:p>
        </w:tc>
        <w:tc>
          <w:tcPr>
            <w:tcW w:w="364" w:type="dxa"/>
            <w:tcBorders/>
            <w:shd w:fill="CCEEFF" w:val="clear"/>
            <w:vAlign w:val="center"/>
          </w:tcPr>
          <w:p>
            <w:pPr>
              <w:pStyle w:val="TableContents"/>
              <w:spacing w:before="0" w:after="0"/>
              <w:ind w:left="0" w:right="0" w:hanging="0"/>
              <w:rPr/>
            </w:pPr>
            <w:r>
              <w:rPr/>
              <w:t xml:space="preserve">  </w:t>
            </w:r>
          </w:p>
        </w:tc>
        <w:tc>
          <w:tcPr>
            <w:tcW w:w="485" w:type="dxa"/>
            <w:tcBorders/>
            <w:shd w:fill="CCEEFF" w:val="clear"/>
            <w:vAlign w:val="center"/>
          </w:tcPr>
          <w:p>
            <w:pPr>
              <w:pStyle w:val="TableContents"/>
              <w:spacing w:before="0" w:after="0"/>
              <w:ind w:left="0" w:right="0" w:hanging="0"/>
              <w:rPr/>
            </w:pPr>
            <w:r>
              <w:rPr/>
              <w:t xml:space="preserve">  </w:t>
            </w:r>
          </w:p>
        </w:tc>
        <w:tc>
          <w:tcPr>
            <w:tcW w:w="883" w:type="dxa"/>
            <w:tcBorders/>
            <w:shd w:fill="CCEEFF" w:val="clear"/>
            <w:vAlign w:val="center"/>
          </w:tcPr>
          <w:p>
            <w:pPr>
              <w:pStyle w:val="TableContents"/>
              <w:spacing w:before="0" w:after="0"/>
              <w:ind w:left="0" w:right="0" w:hanging="0"/>
              <w:jc w:val="right"/>
              <w:rPr/>
            </w:pPr>
            <w:r>
              <w:rPr/>
              <w:t>—</w:t>
            </w:r>
          </w:p>
        </w:tc>
        <w:tc>
          <w:tcPr>
            <w:tcW w:w="329" w:type="dxa"/>
            <w:tcBorders/>
            <w:shd w:fill="CCEEFF" w:val="clear"/>
            <w:vAlign w:val="center"/>
          </w:tcPr>
          <w:p>
            <w:pPr>
              <w:pStyle w:val="TableContents"/>
              <w:spacing w:before="0" w:after="283"/>
              <w:rPr>
                <w:sz w:val="4"/>
                <w:szCs w:val="4"/>
              </w:rPr>
            </w:pPr>
            <w:r>
              <w:rPr>
                <w:sz w:val="4"/>
                <w:szCs w:val="4"/>
              </w:rPr>
            </w:r>
          </w:p>
        </w:tc>
      </w:tr>
      <w:tr>
        <w:trPr/>
        <w:tc>
          <w:tcPr>
            <w:tcW w:w="462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Balance at end of year </w:t>
            </w:r>
          </w:p>
        </w:tc>
        <w:tc>
          <w:tcPr>
            <w:tcW w:w="252" w:type="dxa"/>
            <w:tcBorders/>
            <w:shd w:fill="auto" w:val="clear"/>
            <w:vAlign w:val="center"/>
          </w:tcPr>
          <w:p>
            <w:pPr>
              <w:pStyle w:val="TableContents"/>
              <w:spacing w:before="0" w:after="0"/>
              <w:ind w:left="0" w:right="0" w:hanging="0"/>
              <w:rPr/>
            </w:pPr>
            <w:r>
              <w:rPr/>
              <w:t xml:space="preserve">  </w:t>
            </w:r>
          </w:p>
        </w:tc>
        <w:tc>
          <w:tcPr>
            <w:tcW w:w="485"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84"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363" w:type="dxa"/>
            <w:tcBorders/>
            <w:shd w:fill="auto" w:val="clear"/>
            <w:vAlign w:val="center"/>
          </w:tcPr>
          <w:p>
            <w:pPr>
              <w:pStyle w:val="TableContents"/>
              <w:spacing w:before="0" w:after="0"/>
              <w:ind w:left="0" w:right="0" w:hanging="0"/>
              <w:rPr/>
            </w:pPr>
            <w:r>
              <w:rPr/>
              <w:t xml:space="preserve">  </w:t>
            </w:r>
          </w:p>
        </w:tc>
        <w:tc>
          <w:tcPr>
            <w:tcW w:w="364" w:type="dxa"/>
            <w:tcBorders/>
            <w:shd w:fill="auto" w:val="clear"/>
            <w:vAlign w:val="center"/>
          </w:tcPr>
          <w:p>
            <w:pPr>
              <w:pStyle w:val="TableContents"/>
              <w:spacing w:before="0" w:after="0"/>
              <w:ind w:left="0" w:right="0" w:hanging="0"/>
              <w:rPr/>
            </w:pPr>
            <w:r>
              <w:rPr/>
              <w:t xml:space="preserve">  </w:t>
            </w:r>
          </w:p>
        </w:tc>
        <w:tc>
          <w:tcPr>
            <w:tcW w:w="485"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83"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329" w:type="dxa"/>
            <w:tcBorders/>
            <w:shd w:fill="auto" w:val="clear"/>
            <w:vAlign w:val="center"/>
          </w:tcPr>
          <w:p>
            <w:pPr>
              <w:pStyle w:val="TableContents"/>
              <w:spacing w:before="0" w:after="0"/>
              <w:ind w:left="0" w:right="0" w:hanging="0"/>
              <w:rPr/>
            </w:pPr>
            <w:r>
              <w:rPr/>
              <w:t xml:space="preserve">  </w:t>
            </w:r>
          </w:p>
        </w:tc>
      </w:tr>
    </w:tbl>
    <w:p>
      <w:pPr>
        <w:pStyle w:val="TextBody"/>
        <w:widowControl/>
        <w:spacing w:lineRule="auto" w:line="240" w:before="0" w:after="0"/>
        <w:ind w:left="0" w:right="0" w:hanging="0"/>
        <w:jc w:val="both"/>
        <w:rPr>
          <w:rFonts w:ascii="Times New Roman" w:hAnsi="Times New Roman"/>
          <w:i/>
          <w:sz w:val="20"/>
        </w:rPr>
      </w:pPr>
      <w:r>
        <w:rPr>
          <w:rFonts w:ascii="Times New Roman" w:hAnsi="Times New Roman"/>
          <w:i/>
          <w:sz w:val="20"/>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Advertising</w:t>
      </w:r>
      <w:r>
        <w:rPr>
          <w:rFonts w:ascii="times new roman;times" w:hAnsi="times new roman;times"/>
          <w:b w:val="false"/>
          <w:i w:val="false"/>
          <w:caps w:val="false"/>
          <w:smallCaps w:val="false"/>
          <w:color w:val="000000"/>
          <w:spacing w:val="0"/>
          <w:sz w:val="20"/>
        </w:rPr>
        <w:t xml:space="preserve"> – </w:t>
      </w:r>
      <w:r>
        <w:rPr>
          <w:rFonts w:ascii="Times New Roman" w:hAnsi="Times New Roman"/>
          <w:b w:val="false"/>
          <w:i w:val="false"/>
          <w:caps w:val="false"/>
          <w:smallCaps w:val="false"/>
          <w:color w:val="000000"/>
          <w:spacing w:val="0"/>
          <w:sz w:val="20"/>
        </w:rPr>
        <w:t>The Company expenses advertising costs as incurred. Advertising costs consist of trade shows, magazine advertisements, and other forms of media. Advertising expenses for the years ended December 31, 2022 and 2021</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totaled $572</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$508, respectively, and are included in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sales and marketing on the consolidated statements of operations and comprehensive income (loss).</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Income Taxes</w:t>
      </w:r>
      <w:r>
        <w:rPr>
          <w:rFonts w:ascii="times new roman;times" w:hAnsi="times new roman;times"/>
          <w:b w:val="false"/>
          <w:i w:val="false"/>
          <w:caps w:val="false"/>
          <w:smallCaps w:val="false"/>
          <w:color w:val="000000"/>
          <w:spacing w:val="0"/>
          <w:sz w:val="20"/>
        </w:rPr>
        <w:t> – The Company uses the asset and liability method of accounting for income taxes. Under the asset and liability method, deferred tax assets 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w:t>
      </w:r>
      <w:r>
        <w:rPr>
          <w:rFonts w:ascii="times new roman;times" w:hAnsi="times new roman;times"/>
          <w:b w:val="false"/>
          <w:i w:val="false"/>
          <w:caps w:val="false"/>
          <w:smallCaps w:val="false"/>
          <w:color w:val="000000"/>
          <w:spacing w:val="0"/>
          <w:sz w:val="2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F-12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144" w:right="144" w:hanging="0"/>
        <w:rPr/>
      </w:pPr>
      <w:r>
        <w:rPr/>
        <w:t> </w:t>
      </w:r>
    </w:p>
    <w:p>
      <w:pPr>
        <w:pStyle w:val="TextBody"/>
        <w:spacing w:before="0" w:after="0"/>
        <w:ind w:left="144" w:right="144"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144" w:right="144" w:hanging="0"/>
        <w:jc w:val="center"/>
        <w:rPr>
          <w:rFonts w:ascii="Times New Roman" w:hAnsi="Times New Roman"/>
          <w:b/>
          <w:sz w:val="20"/>
        </w:rPr>
      </w:pPr>
      <w:r>
        <w:rPr>
          <w:rFonts w:ascii="Times New Roman" w:hAnsi="Times New Roman"/>
          <w:b/>
          <w:sz w:val="20"/>
        </w:rPr>
        <w:t>(Dollars in thousands, except share and per share amounts)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144" w:right="144"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w:t>
      </w:r>
      <w:r>
        <w:rPr>
          <w:rFonts w:ascii="times new roman;times" w:hAnsi="times new roman;times"/>
          <w:sz w:val="20"/>
        </w:rPr>
        <w:t> 2018</w:t>
      </w:r>
      <w:r>
        <w:rPr>
          <w:rFonts w:ascii="Times New Roman" w:hAnsi="Times New Roman"/>
          <w:sz w:val="20"/>
        </w:rPr>
        <w:t>, as a result of negative evidence, principally</w:t>
      </w:r>
      <w:r>
        <w:rPr>
          <w:rFonts w:ascii="times new roman;times" w:hAnsi="times new roman;times"/>
          <w:sz w:val="20"/>
        </w:rPr>
        <w:t> three years </w:t>
      </w:r>
      <w:r>
        <w:rPr>
          <w:rFonts w:ascii="Times New Roman" w:hAnsi="Times New Roman"/>
          <w:sz w:val="20"/>
        </w:rPr>
        <w:t>of cumulative pre-tax operating losses, we concluded that it was more likely than not that net operating losses, tax credits and other deferred tax assets were not realizable and therefore, we recorded a full valuation allowance against those net deferred tax assets. We continue to record full valuation against our net deferred tax assets. Adjustments to the valuation allowance increase or decrease the Company’s</w:t>
      </w:r>
      <w:r>
        <w:rPr>
          <w:rFonts w:ascii="times new roman;times" w:hAnsi="times new roman;times"/>
          <w:sz w:val="20"/>
        </w:rPr>
        <w:t> </w:t>
      </w:r>
      <w:r>
        <w:rPr>
          <w:rFonts w:ascii="Times New Roman" w:hAnsi="Times New Roman"/>
          <w:sz w:val="20"/>
        </w:rPr>
        <w:t>income tax provision or benefit.</w:t>
      </w:r>
    </w:p>
    <w:p>
      <w:pPr>
        <w:pStyle w:val="TextBody"/>
        <w:widowControl/>
        <w:spacing w:lineRule="auto" w:line="240" w:before="0" w:after="0"/>
        <w:ind w:left="0" w:right="0" w:hanging="0"/>
        <w:rPr/>
      </w:pPr>
      <w:r>
        <w:rPr/>
      </w:r>
    </w:p>
    <w:p>
      <w:pPr>
        <w:pStyle w:val="TextBody"/>
        <w:widowControl/>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2022 the Company had no net deferred tax assets due to valuation allowances recorded to account for the consecutive quarters with losses before taxes.</w:t>
      </w:r>
    </w:p>
    <w:p>
      <w:pPr>
        <w:pStyle w:val="TextBody"/>
        <w:widowControl/>
        <w:spacing w:lineRule="auto"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Recent changes: </w:t>
      </w:r>
      <w:r>
        <w:rPr>
          <w:rFonts w:ascii="Times New Roman" w:hAnsi="Times New Roman"/>
          <w:b w:val="false"/>
          <w:i w:val="false"/>
          <w:caps w:val="false"/>
          <w:smallCaps w:val="false"/>
          <w:color w:val="000000"/>
          <w:spacing w:val="0"/>
          <w:sz w:val="20"/>
        </w:rPr>
        <w:t>There were no changes that had a material impact on the Company's consolidated financial position, results of operations or cash flows.</w:t>
      </w:r>
    </w:p>
    <w:p>
      <w:pPr>
        <w:pStyle w:val="TextBody"/>
        <w:widowControl/>
        <w:spacing w:before="0" w:after="0"/>
        <w:ind w:left="0" w:right="0" w:hanging="0"/>
        <w:rPr/>
      </w:pPr>
      <w:r>
        <w:rPr/>
      </w:r>
    </w:p>
    <w:p>
      <w:pPr>
        <w:pStyle w:val="TextBody"/>
        <w:spacing w:lineRule="auto" w:line="240" w:before="0" w:after="0"/>
        <w:ind w:left="0" w:right="0" w:hanging="0"/>
        <w:rPr>
          <w:rFonts w:ascii="times new roman;times" w:hAnsi="times new roman;times"/>
          <w:sz w:val="20"/>
        </w:rPr>
      </w:pPr>
      <w:r>
        <w:rPr>
          <w:rFonts w:ascii="Times New Roman" w:hAnsi="Times New Roman"/>
          <w:i/>
          <w:sz w:val="20"/>
        </w:rPr>
        <w:t>Earnings Per Share</w:t>
      </w:r>
      <w:r>
        <w:rPr>
          <w:rFonts w:ascii="times new roman;times" w:hAnsi="times new roman;times"/>
          <w:sz w:val="20"/>
        </w:rPr>
        <w:t xml:space="preserve"> – </w:t>
      </w:r>
      <w:r>
        <w:rPr>
          <w:rFonts w:ascii="Times New Roman" w:hAnsi="Times New Roman"/>
          <w:sz w:val="20"/>
        </w:rPr>
        <w:t>The following table sets forth the computation of basic and diluted loss per common share: </w:t>
      </w:r>
    </w:p>
    <w:p>
      <w:pPr>
        <w:pStyle w:val="TextBody"/>
        <w:spacing w:lineRule="auto" w:line="288" w:before="0" w:after="0"/>
        <w:ind w:left="144" w:right="144" w:hanging="0"/>
        <w:rPr/>
      </w:pPr>
      <w:r>
        <w:rPr/>
        <w:t> </w:t>
      </w:r>
    </w:p>
    <w:tbl>
      <w:tblPr>
        <w:tblW w:w="5000" w:type="pct"/>
        <w:jc w:val="left"/>
        <w:tblInd w:w="0" w:type="dxa"/>
        <w:tblCellMar>
          <w:top w:w="0" w:type="dxa"/>
          <w:left w:w="0" w:type="dxa"/>
          <w:bottom w:w="0" w:type="dxa"/>
          <w:right w:w="0" w:type="dxa"/>
        </w:tblCellMar>
      </w:tblPr>
      <w:tblGrid>
        <w:gridCol w:w="7102"/>
        <w:gridCol w:w="132"/>
        <w:gridCol w:w="187"/>
        <w:gridCol w:w="980"/>
        <w:gridCol w:w="132"/>
        <w:gridCol w:w="132"/>
        <w:gridCol w:w="187"/>
        <w:gridCol w:w="980"/>
        <w:gridCol w:w="142"/>
        <w:gridCol w:w="231"/>
      </w:tblGrid>
      <w:tr>
        <w:trPr/>
        <w:tc>
          <w:tcPr>
            <w:tcW w:w="7102"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2598"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142" w:type="dxa"/>
            <w:tcBorders/>
            <w:shd w:fill="auto" w:val="clear"/>
            <w:vAlign w:val="center"/>
          </w:tcPr>
          <w:p>
            <w:pPr>
              <w:pStyle w:val="TableContents"/>
              <w:spacing w:before="0" w:after="0"/>
              <w:ind w:left="0" w:right="0" w:hanging="0"/>
              <w:rPr/>
            </w:pPr>
            <w:r>
              <w:rPr/>
              <w:t xml:space="preserve">  </w:t>
            </w:r>
          </w:p>
        </w:tc>
        <w:tc>
          <w:tcPr>
            <w:tcW w:w="231" w:type="dxa"/>
            <w:tcBorders/>
            <w:shd w:fill="auto" w:val="clear"/>
            <w:vAlign w:val="center"/>
          </w:tcPr>
          <w:p>
            <w:pPr>
              <w:pStyle w:val="TableContents"/>
              <w:spacing w:before="0" w:after="283"/>
              <w:rPr>
                <w:sz w:val="4"/>
                <w:szCs w:val="4"/>
              </w:rPr>
            </w:pPr>
            <w:r>
              <w:rPr>
                <w:sz w:val="4"/>
                <w:szCs w:val="4"/>
              </w:rPr>
            </w:r>
          </w:p>
        </w:tc>
      </w:tr>
      <w:tr>
        <w:trPr/>
        <w:tc>
          <w:tcPr>
            <w:tcW w:w="7102"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1167"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132"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1167"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142" w:type="dxa"/>
            <w:tcBorders/>
            <w:shd w:fill="auto" w:val="clear"/>
            <w:vAlign w:val="center"/>
          </w:tcPr>
          <w:p>
            <w:pPr>
              <w:pStyle w:val="TableContents"/>
              <w:spacing w:before="0" w:after="0"/>
              <w:ind w:left="0" w:right="0" w:hanging="0"/>
              <w:rPr/>
            </w:pPr>
            <w:r>
              <w:rPr/>
              <w:t xml:space="preserve">  </w:t>
            </w:r>
          </w:p>
        </w:tc>
        <w:tc>
          <w:tcPr>
            <w:tcW w:w="231" w:type="dxa"/>
            <w:tcBorders/>
            <w:shd w:fill="auto" w:val="clear"/>
            <w:vAlign w:val="center"/>
          </w:tcPr>
          <w:p>
            <w:pPr>
              <w:pStyle w:val="TableContents"/>
              <w:spacing w:before="0" w:after="283"/>
              <w:rPr>
                <w:sz w:val="4"/>
                <w:szCs w:val="4"/>
              </w:rPr>
            </w:pPr>
            <w:r>
              <w:rPr>
                <w:sz w:val="4"/>
                <w:szCs w:val="4"/>
              </w:rPr>
            </w:r>
          </w:p>
        </w:tc>
      </w:tr>
      <w:tr>
        <w:trPr/>
        <w:tc>
          <w:tcPr>
            <w:tcW w:w="710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Numerator: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rPr/>
            </w:pPr>
            <w:r>
              <w:rPr/>
              <w:t xml:space="preserve">  </w:t>
            </w:r>
          </w:p>
        </w:tc>
        <w:tc>
          <w:tcPr>
            <w:tcW w:w="142" w:type="dxa"/>
            <w:tcBorders/>
            <w:shd w:fill="CCEEFF" w:val="clear"/>
            <w:vAlign w:val="center"/>
          </w:tcPr>
          <w:p>
            <w:pPr>
              <w:pStyle w:val="TableContents"/>
              <w:spacing w:before="0" w:after="0"/>
              <w:ind w:left="0" w:right="0" w:hanging="0"/>
              <w:rPr/>
            </w:pPr>
            <w:r>
              <w:rPr/>
              <w:t xml:space="preserve">  </w:t>
            </w:r>
          </w:p>
        </w:tc>
        <w:tc>
          <w:tcPr>
            <w:tcW w:w="231" w:type="dxa"/>
            <w:tcBorders/>
            <w:shd w:fill="CCEEFF" w:val="clear"/>
            <w:vAlign w:val="center"/>
          </w:tcPr>
          <w:p>
            <w:pPr>
              <w:pStyle w:val="TableContents"/>
              <w:spacing w:before="0" w:after="283"/>
              <w:ind w:left="0" w:right="0" w:firstLine="150"/>
              <w:rPr>
                <w:sz w:val="4"/>
                <w:szCs w:val="4"/>
              </w:rPr>
            </w:pPr>
            <w:r>
              <w:rPr>
                <w:sz w:val="4"/>
                <w:szCs w:val="4"/>
              </w:rPr>
            </w:r>
          </w:p>
        </w:tc>
      </w:tr>
      <w:tr>
        <w:trPr/>
        <w:tc>
          <w:tcPr>
            <w:tcW w:w="7102" w:type="dxa"/>
            <w:tcBorders/>
            <w:shd w:fill="auto" w:val="clear"/>
            <w:vAlign w:val="center"/>
          </w:tcPr>
          <w:p>
            <w:pPr>
              <w:pStyle w:val="TableContents"/>
              <w:spacing w:before="0" w:after="0"/>
              <w:ind w:left="0" w:right="0" w:firstLine="150"/>
              <w:rPr>
                <w:rFonts w:ascii="Times New Roman" w:hAnsi="Times New Roman"/>
                <w:sz w:val="20"/>
              </w:rPr>
            </w:pPr>
            <w:r>
              <w:rPr>
                <w:rFonts w:ascii="Times New Roman" w:hAnsi="Times New Roman"/>
                <w:sz w:val="20"/>
              </w:rPr>
              <w:t xml:space="preserve">Net income (loss)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20,556</w:t>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(7,694</w:t>
            </w:r>
          </w:p>
        </w:tc>
        <w:tc>
          <w:tcPr>
            <w:tcW w:w="142"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ind w:left="0" w:right="0" w:firstLine="150"/>
              <w:rPr>
                <w:sz w:val="4"/>
                <w:szCs w:val="4"/>
              </w:rPr>
            </w:pPr>
            <w:r>
              <w:rPr>
                <w:sz w:val="4"/>
                <w:szCs w:val="4"/>
              </w:rPr>
            </w:r>
          </w:p>
        </w:tc>
      </w:tr>
      <w:tr>
        <w:trPr/>
        <w:tc>
          <w:tcPr>
            <w:tcW w:w="7102" w:type="dxa"/>
            <w:tcBorders/>
            <w:shd w:fill="CCEEFF" w:val="clear"/>
            <w:vAlign w:val="center"/>
          </w:tcPr>
          <w:p>
            <w:pPr>
              <w:pStyle w:val="TableContents"/>
              <w:spacing w:before="0" w:after="283"/>
              <w:rPr/>
            </w:pPr>
            <w:r>
              <w:rPr/>
              <w:t>Interest adjustment under if-converted method</w:t>
            </w:r>
          </w:p>
        </w:tc>
        <w:tc>
          <w:tcPr>
            <w:tcW w:w="132" w:type="dxa"/>
            <w:tcBorders/>
            <w:shd w:fill="CCEEFF" w:val="clear"/>
            <w:vAlign w:val="center"/>
          </w:tcPr>
          <w:p>
            <w:pPr>
              <w:pStyle w:val="TableContents"/>
              <w:spacing w:before="0" w:after="283"/>
              <w:rPr/>
            </w:pPr>
            <w:r>
              <w:rPr/>
            </w:r>
          </w:p>
        </w:tc>
        <w:tc>
          <w:tcPr>
            <w:tcW w:w="187" w:type="dxa"/>
            <w:tcBorders/>
            <w:shd w:fill="CCEEFF" w:val="clear"/>
            <w:vAlign w:val="center"/>
          </w:tcPr>
          <w:p>
            <w:pPr>
              <w:pStyle w:val="TableContents"/>
              <w:spacing w:before="0" w:after="283"/>
              <w:rPr/>
            </w:pPr>
            <w:r>
              <w:rPr/>
            </w:r>
          </w:p>
        </w:tc>
        <w:tc>
          <w:tcPr>
            <w:tcW w:w="980" w:type="dxa"/>
            <w:tcBorders/>
            <w:shd w:fill="CCEEFF" w:val="clear"/>
            <w:vAlign w:val="center"/>
          </w:tcPr>
          <w:p>
            <w:pPr>
              <w:pStyle w:val="TableContents"/>
              <w:spacing w:before="0" w:after="283"/>
              <w:jc w:val="right"/>
              <w:rPr/>
            </w:pPr>
            <w:r>
              <w:rPr/>
              <w:t>285</w:t>
            </w:r>
          </w:p>
        </w:tc>
        <w:tc>
          <w:tcPr>
            <w:tcW w:w="132" w:type="dxa"/>
            <w:tcBorders/>
            <w:shd w:fill="CCEEFF" w:val="clear"/>
            <w:vAlign w:val="center"/>
          </w:tcPr>
          <w:p>
            <w:pPr>
              <w:pStyle w:val="TableContents"/>
              <w:spacing w:before="0" w:after="283"/>
              <w:rPr/>
            </w:pPr>
            <w:r>
              <w:rPr/>
            </w:r>
          </w:p>
        </w:tc>
        <w:tc>
          <w:tcPr>
            <w:tcW w:w="132" w:type="dxa"/>
            <w:tcBorders/>
            <w:shd w:fill="CCEEFF" w:val="clear"/>
            <w:vAlign w:val="center"/>
          </w:tcPr>
          <w:p>
            <w:pPr>
              <w:pStyle w:val="TableContents"/>
              <w:spacing w:before="0" w:after="283"/>
              <w:rPr/>
            </w:pPr>
            <w:r>
              <w:rPr/>
            </w:r>
          </w:p>
        </w:tc>
        <w:tc>
          <w:tcPr>
            <w:tcW w:w="187" w:type="dxa"/>
            <w:tcBorders/>
            <w:shd w:fill="CCEEFF" w:val="clear"/>
            <w:vAlign w:val="center"/>
          </w:tcPr>
          <w:p>
            <w:pPr>
              <w:pStyle w:val="TableContents"/>
              <w:spacing w:before="0" w:after="283"/>
              <w:rPr/>
            </w:pPr>
            <w:r>
              <w:rPr/>
            </w:r>
          </w:p>
        </w:tc>
        <w:tc>
          <w:tcPr>
            <w:tcW w:w="980" w:type="dxa"/>
            <w:tcBorders/>
            <w:shd w:fill="CCEEFF" w:val="clear"/>
            <w:vAlign w:val="center"/>
          </w:tcPr>
          <w:p>
            <w:pPr>
              <w:pStyle w:val="TableContents"/>
              <w:spacing w:before="0" w:after="283"/>
              <w:jc w:val="right"/>
              <w:rPr/>
            </w:pPr>
            <w:r>
              <w:rPr/>
              <w:t>—</w:t>
            </w:r>
          </w:p>
        </w:tc>
        <w:tc>
          <w:tcPr>
            <w:tcW w:w="142" w:type="dxa"/>
            <w:tcBorders/>
            <w:shd w:fill="CCEEFF" w:val="clear"/>
            <w:vAlign w:val="center"/>
          </w:tcPr>
          <w:p>
            <w:pPr>
              <w:pStyle w:val="TableContents"/>
              <w:spacing w:before="0" w:after="283"/>
              <w:rPr/>
            </w:pPr>
            <w:r>
              <w:rPr/>
            </w:r>
          </w:p>
        </w:tc>
        <w:tc>
          <w:tcPr>
            <w:tcW w:w="231" w:type="dxa"/>
            <w:tcBorders/>
            <w:shd w:fill="CCEEFF" w:val="clear"/>
            <w:vAlign w:val="center"/>
          </w:tcPr>
          <w:p>
            <w:pPr>
              <w:pStyle w:val="TableContents"/>
              <w:spacing w:before="0" w:after="283"/>
              <w:rPr/>
            </w:pPr>
            <w:r>
              <w:rPr/>
            </w:r>
          </w:p>
        </w:tc>
      </w:tr>
      <w:tr>
        <w:trPr/>
        <w:tc>
          <w:tcPr>
            <w:tcW w:w="7102" w:type="dxa"/>
            <w:tcBorders/>
            <w:shd w:fill="auto" w:val="clear"/>
            <w:vAlign w:val="center"/>
          </w:tcPr>
          <w:p>
            <w:pPr>
              <w:pStyle w:val="TableContents"/>
              <w:spacing w:before="0" w:after="283"/>
              <w:rPr/>
            </w:pPr>
            <w:r>
              <w:rPr/>
            </w:r>
          </w:p>
        </w:tc>
        <w:tc>
          <w:tcPr>
            <w:tcW w:w="132" w:type="dxa"/>
            <w:tcBorders/>
            <w:shd w:fill="auto" w:val="clear"/>
            <w:vAlign w:val="center"/>
          </w:tcPr>
          <w:p>
            <w:pPr>
              <w:pStyle w:val="TableContents"/>
              <w:spacing w:before="0" w:after="283"/>
              <w:rPr/>
            </w:pPr>
            <w:r>
              <w:rPr/>
            </w:r>
          </w:p>
        </w:tc>
        <w:tc>
          <w:tcPr>
            <w:tcW w:w="187"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283"/>
              <w:rPr/>
            </w:pPr>
            <w:r>
              <w:rPr/>
            </w:r>
          </w:p>
        </w:tc>
        <w:tc>
          <w:tcPr>
            <w:tcW w:w="980"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283"/>
              <w:jc w:val="right"/>
              <w:rPr/>
            </w:pPr>
            <w:r>
              <w:rPr/>
              <w:t>20,841</w:t>
            </w:r>
          </w:p>
        </w:tc>
        <w:tc>
          <w:tcPr>
            <w:tcW w:w="132" w:type="dxa"/>
            <w:tcBorders/>
            <w:shd w:fill="auto" w:val="clear"/>
            <w:vAlign w:val="center"/>
          </w:tcPr>
          <w:p>
            <w:pPr>
              <w:pStyle w:val="TableContents"/>
              <w:spacing w:before="0" w:after="283"/>
              <w:rPr/>
            </w:pPr>
            <w:r>
              <w:rPr/>
            </w:r>
          </w:p>
        </w:tc>
        <w:tc>
          <w:tcPr>
            <w:tcW w:w="132" w:type="dxa"/>
            <w:tcBorders/>
            <w:shd w:fill="auto" w:val="clear"/>
            <w:vAlign w:val="center"/>
          </w:tcPr>
          <w:p>
            <w:pPr>
              <w:pStyle w:val="TableContents"/>
              <w:spacing w:before="0" w:after="283"/>
              <w:rPr/>
            </w:pPr>
            <w:r>
              <w:rPr/>
            </w:r>
          </w:p>
        </w:tc>
        <w:tc>
          <w:tcPr>
            <w:tcW w:w="187"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283"/>
              <w:rPr/>
            </w:pPr>
            <w:r>
              <w:rPr/>
            </w:r>
          </w:p>
        </w:tc>
        <w:tc>
          <w:tcPr>
            <w:tcW w:w="980"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283"/>
              <w:jc w:val="right"/>
              <w:rPr/>
            </w:pPr>
            <w:r>
              <w:rPr/>
              <w:t>(7,694</w:t>
            </w:r>
          </w:p>
        </w:tc>
        <w:tc>
          <w:tcPr>
            <w:tcW w:w="142"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283"/>
              <w:rPr/>
            </w:pPr>
            <w:r>
              <w:rPr/>
            </w:r>
          </w:p>
        </w:tc>
      </w:tr>
      <w:tr>
        <w:trPr/>
        <w:tc>
          <w:tcPr>
            <w:tcW w:w="7102" w:type="dxa"/>
            <w:tcBorders/>
            <w:shd w:fill="auto" w:val="clear"/>
            <w:vAlign w:val="center"/>
          </w:tcPr>
          <w:p>
            <w:pPr>
              <w:pStyle w:val="TableContents"/>
              <w:spacing w:before="0" w:after="283"/>
              <w:rPr/>
            </w:pPr>
            <w:r>
              <w:rPr/>
            </w:r>
          </w:p>
        </w:tc>
        <w:tc>
          <w:tcPr>
            <w:tcW w:w="132" w:type="dxa"/>
            <w:tcBorders/>
            <w:shd w:fill="auto" w:val="clear"/>
            <w:vAlign w:val="center"/>
          </w:tcPr>
          <w:p>
            <w:pPr>
              <w:pStyle w:val="TableContents"/>
              <w:spacing w:before="0" w:after="283"/>
              <w:rPr/>
            </w:pPr>
            <w:r>
              <w:rPr/>
            </w:r>
          </w:p>
        </w:tc>
        <w:tc>
          <w:tcPr>
            <w:tcW w:w="187" w:type="dxa"/>
            <w:tcBorders/>
            <w:shd w:fill="auto" w:val="clear"/>
            <w:vAlign w:val="center"/>
          </w:tcPr>
          <w:p>
            <w:pPr>
              <w:pStyle w:val="TableContents"/>
              <w:spacing w:before="0" w:after="283"/>
              <w:rPr/>
            </w:pPr>
            <w:r>
              <w:rPr/>
            </w:r>
          </w:p>
        </w:tc>
        <w:tc>
          <w:tcPr>
            <w:tcW w:w="980" w:type="dxa"/>
            <w:tcBorders/>
            <w:shd w:fill="auto" w:val="clear"/>
            <w:vAlign w:val="center"/>
          </w:tcPr>
          <w:p>
            <w:pPr>
              <w:pStyle w:val="TableContents"/>
              <w:spacing w:before="0" w:after="283"/>
              <w:rPr/>
            </w:pPr>
            <w:r>
              <w:rPr/>
            </w:r>
          </w:p>
        </w:tc>
        <w:tc>
          <w:tcPr>
            <w:tcW w:w="132" w:type="dxa"/>
            <w:tcBorders/>
            <w:shd w:fill="auto" w:val="clear"/>
            <w:vAlign w:val="center"/>
          </w:tcPr>
          <w:p>
            <w:pPr>
              <w:pStyle w:val="TableContents"/>
              <w:spacing w:before="0" w:after="283"/>
              <w:rPr/>
            </w:pPr>
            <w:r>
              <w:rPr/>
            </w:r>
          </w:p>
        </w:tc>
        <w:tc>
          <w:tcPr>
            <w:tcW w:w="132" w:type="dxa"/>
            <w:tcBorders/>
            <w:shd w:fill="auto" w:val="clear"/>
            <w:vAlign w:val="center"/>
          </w:tcPr>
          <w:p>
            <w:pPr>
              <w:pStyle w:val="TableContents"/>
              <w:spacing w:before="0" w:after="283"/>
              <w:rPr/>
            </w:pPr>
            <w:r>
              <w:rPr/>
            </w:r>
          </w:p>
        </w:tc>
        <w:tc>
          <w:tcPr>
            <w:tcW w:w="187" w:type="dxa"/>
            <w:tcBorders/>
            <w:shd w:fill="auto" w:val="clear"/>
            <w:vAlign w:val="center"/>
          </w:tcPr>
          <w:p>
            <w:pPr>
              <w:pStyle w:val="TableContents"/>
              <w:spacing w:before="0" w:after="283"/>
              <w:rPr/>
            </w:pPr>
            <w:r>
              <w:rPr/>
            </w:r>
          </w:p>
        </w:tc>
        <w:tc>
          <w:tcPr>
            <w:tcW w:w="980" w:type="dxa"/>
            <w:tcBorders/>
            <w:shd w:fill="auto" w:val="clear"/>
            <w:vAlign w:val="center"/>
          </w:tcPr>
          <w:p>
            <w:pPr>
              <w:pStyle w:val="TableContents"/>
              <w:spacing w:before="0" w:after="283"/>
              <w:rPr/>
            </w:pPr>
            <w:r>
              <w:rPr/>
            </w:r>
          </w:p>
        </w:tc>
        <w:tc>
          <w:tcPr>
            <w:tcW w:w="142" w:type="dxa"/>
            <w:tcBorders/>
            <w:shd w:fill="auto" w:val="clear"/>
            <w:vAlign w:val="center"/>
          </w:tcPr>
          <w:p>
            <w:pPr>
              <w:pStyle w:val="TableContents"/>
              <w:spacing w:before="0" w:after="283"/>
              <w:rPr/>
            </w:pPr>
            <w:r>
              <w:rPr/>
            </w:r>
          </w:p>
        </w:tc>
        <w:tc>
          <w:tcPr>
            <w:tcW w:w="231" w:type="dxa"/>
            <w:tcBorders/>
            <w:shd w:fill="auto" w:val="clear"/>
            <w:vAlign w:val="center"/>
          </w:tcPr>
          <w:p>
            <w:pPr>
              <w:pStyle w:val="TableContents"/>
              <w:spacing w:before="0" w:after="283"/>
              <w:rPr/>
            </w:pPr>
            <w:r>
              <w:rPr/>
            </w:r>
          </w:p>
        </w:tc>
      </w:tr>
      <w:tr>
        <w:trPr/>
        <w:tc>
          <w:tcPr>
            <w:tcW w:w="710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Denominator: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rPr/>
            </w:pPr>
            <w:r>
              <w:rPr/>
              <w:t xml:space="preserve">  </w:t>
            </w:r>
          </w:p>
        </w:tc>
        <w:tc>
          <w:tcPr>
            <w:tcW w:w="142" w:type="dxa"/>
            <w:tcBorders/>
            <w:shd w:fill="CCEEFF" w:val="clear"/>
            <w:vAlign w:val="center"/>
          </w:tcPr>
          <w:p>
            <w:pPr>
              <w:pStyle w:val="TableContents"/>
              <w:spacing w:before="0" w:after="0"/>
              <w:ind w:left="0" w:right="0" w:hanging="0"/>
              <w:rPr/>
            </w:pPr>
            <w:r>
              <w:rPr/>
              <w:t xml:space="preserve">  </w:t>
            </w:r>
          </w:p>
        </w:tc>
        <w:tc>
          <w:tcPr>
            <w:tcW w:w="231" w:type="dxa"/>
            <w:tcBorders/>
            <w:shd w:fill="CCEEFF" w:val="clear"/>
            <w:vAlign w:val="center"/>
          </w:tcPr>
          <w:p>
            <w:pPr>
              <w:pStyle w:val="TableContents"/>
              <w:spacing w:before="0" w:after="283"/>
              <w:rPr>
                <w:sz w:val="4"/>
                <w:szCs w:val="4"/>
              </w:rPr>
            </w:pPr>
            <w:r>
              <w:rPr>
                <w:sz w:val="4"/>
                <w:szCs w:val="4"/>
              </w:rPr>
            </w:r>
          </w:p>
        </w:tc>
      </w:tr>
      <w:tr>
        <w:trPr/>
        <w:tc>
          <w:tcPr>
            <w:tcW w:w="7102"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Basic weighted average shares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23,937,962</w:t>
            </w:r>
          </w:p>
        </w:tc>
        <w:tc>
          <w:tcPr>
            <w:tcW w:w="132"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19,859,817</w:t>
            </w:r>
          </w:p>
        </w:tc>
        <w:tc>
          <w:tcPr>
            <w:tcW w:w="142" w:type="dxa"/>
            <w:tcBorders/>
            <w:shd w:fill="auto" w:val="clear"/>
            <w:vAlign w:val="center"/>
          </w:tcPr>
          <w:p>
            <w:pPr>
              <w:pStyle w:val="TableContents"/>
              <w:spacing w:before="0" w:after="0"/>
              <w:ind w:left="0" w:right="0" w:hanging="0"/>
              <w:rPr/>
            </w:pPr>
            <w:r>
              <w:rPr/>
              <w:t xml:space="preserve">  </w:t>
            </w:r>
          </w:p>
        </w:tc>
        <w:tc>
          <w:tcPr>
            <w:tcW w:w="231" w:type="dxa"/>
            <w:tcBorders/>
            <w:shd w:fill="auto" w:val="clear"/>
            <w:vAlign w:val="center"/>
          </w:tcPr>
          <w:p>
            <w:pPr>
              <w:pStyle w:val="TableContents"/>
              <w:spacing w:before="0" w:after="283"/>
              <w:rPr>
                <w:sz w:val="4"/>
                <w:szCs w:val="4"/>
              </w:rPr>
            </w:pPr>
            <w:r>
              <w:rPr>
                <w:sz w:val="4"/>
                <w:szCs w:val="4"/>
              </w:rPr>
            </w:r>
          </w:p>
        </w:tc>
      </w:tr>
      <w:tr>
        <w:trPr/>
        <w:tc>
          <w:tcPr>
            <w:tcW w:w="7102"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Dilutive common stock equivalents using if-converted method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909,953</w:t>
            </w:r>
          </w:p>
        </w:tc>
        <w:tc>
          <w:tcPr>
            <w:tcW w:w="132"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jc w:val="right"/>
              <w:rPr/>
            </w:pPr>
            <w:r>
              <w:rPr/>
              <w:t>—</w:t>
            </w:r>
          </w:p>
        </w:tc>
        <w:tc>
          <w:tcPr>
            <w:tcW w:w="142" w:type="dxa"/>
            <w:tcBorders/>
            <w:shd w:fill="CCEEFF" w:val="clear"/>
            <w:vAlign w:val="center"/>
          </w:tcPr>
          <w:p>
            <w:pPr>
              <w:pStyle w:val="TableContents"/>
              <w:spacing w:before="0" w:after="0"/>
              <w:ind w:left="0" w:right="0" w:hanging="0"/>
              <w:rPr/>
            </w:pPr>
            <w:r>
              <w:rPr/>
              <w:t xml:space="preserve">  </w:t>
            </w:r>
          </w:p>
        </w:tc>
        <w:tc>
          <w:tcPr>
            <w:tcW w:w="231" w:type="dxa"/>
            <w:tcBorders/>
            <w:shd w:fill="CCEEFF" w:val="clear"/>
            <w:vAlign w:val="center"/>
          </w:tcPr>
          <w:p>
            <w:pPr>
              <w:pStyle w:val="TableContents"/>
              <w:spacing w:before="0" w:after="283"/>
              <w:rPr>
                <w:sz w:val="4"/>
                <w:szCs w:val="4"/>
              </w:rPr>
            </w:pPr>
            <w:r>
              <w:rPr>
                <w:sz w:val="4"/>
                <w:szCs w:val="4"/>
              </w:rPr>
            </w:r>
          </w:p>
        </w:tc>
      </w:tr>
      <w:tr>
        <w:trPr/>
        <w:tc>
          <w:tcPr>
            <w:tcW w:w="7102"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Diluted weighted average shares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0"/>
              <w:ind w:left="0" w:right="0" w:hanging="0"/>
              <w:rPr/>
            </w:pPr>
            <w:r>
              <w:rPr/>
              <w:t xml:space="preserve">  </w:t>
            </w:r>
          </w:p>
        </w:tc>
        <w:tc>
          <w:tcPr>
            <w:tcW w:w="980"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25,189,147</w:t>
            </w:r>
          </w:p>
        </w:tc>
        <w:tc>
          <w:tcPr>
            <w:tcW w:w="132"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0"/>
              <w:ind w:left="0" w:right="0" w:hanging="0"/>
              <w:rPr/>
            </w:pPr>
            <w:r>
              <w:rPr/>
              <w:t xml:space="preserve">  </w:t>
            </w:r>
          </w:p>
        </w:tc>
        <w:tc>
          <w:tcPr>
            <w:tcW w:w="980" w:type="dxa"/>
            <w:tcBorders>
              <w:top w:val="single" w:sz="8" w:space="0" w:color="000000"/>
              <w:bottom w:val="double" w:sz="7" w:space="0" w:color="000000"/>
            </w:tcBorders>
            <w:shd w:fill="auto"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19,859,817</w:t>
            </w:r>
          </w:p>
        </w:tc>
        <w:tc>
          <w:tcPr>
            <w:tcW w:w="142" w:type="dxa"/>
            <w:tcBorders/>
            <w:shd w:fill="auto" w:val="clear"/>
            <w:vAlign w:val="center"/>
          </w:tcPr>
          <w:p>
            <w:pPr>
              <w:pStyle w:val="TableContents"/>
              <w:spacing w:before="0" w:after="0"/>
              <w:ind w:left="0" w:right="0" w:hanging="0"/>
              <w:rPr/>
            </w:pPr>
            <w:r>
              <w:rPr/>
              <w:t xml:space="preserve">  </w:t>
            </w:r>
          </w:p>
        </w:tc>
        <w:tc>
          <w:tcPr>
            <w:tcW w:w="231" w:type="dxa"/>
            <w:tcBorders/>
            <w:shd w:fill="auto" w:val="clear"/>
            <w:vAlign w:val="center"/>
          </w:tcPr>
          <w:p>
            <w:pPr>
              <w:pStyle w:val="TableContents"/>
              <w:spacing w:before="0" w:after="283"/>
              <w:rPr>
                <w:sz w:val="4"/>
                <w:szCs w:val="4"/>
              </w:rPr>
            </w:pPr>
            <w:r>
              <w:rPr>
                <w:sz w:val="4"/>
                <w:szCs w:val="4"/>
              </w:rPr>
            </w:r>
          </w:p>
        </w:tc>
      </w:tr>
      <w:tr>
        <w:trPr/>
        <w:tc>
          <w:tcPr>
            <w:tcW w:w="7102"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rPr/>
            </w:pPr>
            <w:r>
              <w:rPr/>
              <w:t xml:space="preserve">  </w:t>
            </w:r>
          </w:p>
        </w:tc>
        <w:tc>
          <w:tcPr>
            <w:tcW w:w="142" w:type="dxa"/>
            <w:tcBorders/>
            <w:shd w:fill="CCEEFF" w:val="clear"/>
            <w:vAlign w:val="center"/>
          </w:tcPr>
          <w:p>
            <w:pPr>
              <w:pStyle w:val="TableContents"/>
              <w:spacing w:before="0" w:after="0"/>
              <w:ind w:left="0" w:right="0" w:hanging="0"/>
              <w:rPr/>
            </w:pPr>
            <w:r>
              <w:rPr/>
              <w:t xml:space="preserve">  </w:t>
            </w:r>
          </w:p>
        </w:tc>
        <w:tc>
          <w:tcPr>
            <w:tcW w:w="231" w:type="dxa"/>
            <w:tcBorders/>
            <w:shd w:fill="CCEEFF" w:val="clear"/>
            <w:vAlign w:val="center"/>
          </w:tcPr>
          <w:p>
            <w:pPr>
              <w:pStyle w:val="TableContents"/>
              <w:spacing w:before="0" w:after="283"/>
              <w:rPr>
                <w:sz w:val="4"/>
                <w:szCs w:val="4"/>
              </w:rPr>
            </w:pPr>
            <w:r>
              <w:rPr>
                <w:sz w:val="4"/>
                <w:szCs w:val="4"/>
              </w:rPr>
            </w:r>
          </w:p>
        </w:tc>
      </w:tr>
      <w:tr>
        <w:trPr/>
        <w:tc>
          <w:tcPr>
            <w:tcW w:w="710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Basic income (loss) per common share: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0.86</w:t>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(0.39</w:t>
            </w:r>
          </w:p>
        </w:tc>
        <w:tc>
          <w:tcPr>
            <w:tcW w:w="142" w:type="dxa"/>
            <w:tcBorders/>
            <w:shd w:fill="auto" w:val="clear"/>
            <w:vAlign w:val="center"/>
          </w:tcPr>
          <w:p>
            <w:pPr>
              <w:pStyle w:val="TableContents"/>
              <w:spacing w:before="0" w:after="283"/>
              <w:rPr/>
            </w:pPr>
            <w:r>
              <w:rPr/>
              <w:t>)</w:t>
            </w:r>
          </w:p>
        </w:tc>
        <w:tc>
          <w:tcPr>
            <w:tcW w:w="231" w:type="dxa"/>
            <w:tcBorders/>
            <w:shd w:fill="auto" w:val="clear"/>
            <w:vAlign w:val="center"/>
          </w:tcPr>
          <w:p>
            <w:pPr>
              <w:pStyle w:val="TableContents"/>
              <w:spacing w:before="0" w:after="0"/>
              <w:ind w:left="0" w:right="0" w:hanging="0"/>
              <w:rPr/>
            </w:pPr>
            <w:r>
              <w:rPr/>
              <w:t xml:space="preserve">  </w:t>
            </w:r>
          </w:p>
        </w:tc>
      </w:tr>
      <w:tr>
        <w:trPr/>
        <w:tc>
          <w:tcPr>
            <w:tcW w:w="710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Diluted income (loss) per common share: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0.83</w:t>
            </w:r>
          </w:p>
        </w:tc>
        <w:tc>
          <w:tcPr>
            <w:tcW w:w="132" w:type="dxa"/>
            <w:tcBorders/>
            <w:shd w:fill="CCEEFF" w:val="clear"/>
            <w:vAlign w:val="center"/>
          </w:tcPr>
          <w:p>
            <w:pPr>
              <w:pStyle w:val="TableContents"/>
              <w:spacing w:before="0" w:after="283"/>
              <w:rPr>
                <w:sz w:val="4"/>
                <w:szCs w:val="4"/>
              </w:rPr>
            </w:pPr>
            <w:r>
              <w:rPr>
                <w:sz w:val="4"/>
                <w:szCs w:val="4"/>
              </w:rPr>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(0.39</w:t>
            </w:r>
          </w:p>
        </w:tc>
        <w:tc>
          <w:tcPr>
            <w:tcW w:w="142" w:type="dxa"/>
            <w:tcBorders/>
            <w:shd w:fill="CCEEFF" w:val="clear"/>
            <w:vAlign w:val="center"/>
          </w:tcPr>
          <w:p>
            <w:pPr>
              <w:pStyle w:val="TableContents"/>
              <w:spacing w:before="0" w:after="283"/>
              <w:rPr/>
            </w:pPr>
            <w:r>
              <w:rPr/>
              <w:t>)</w:t>
            </w:r>
          </w:p>
        </w:tc>
        <w:tc>
          <w:tcPr>
            <w:tcW w:w="231" w:type="dxa"/>
            <w:tcBorders/>
            <w:shd w:fill="CCEEFF" w:val="clear"/>
            <w:vAlign w:val="center"/>
          </w:tcPr>
          <w:p>
            <w:pPr>
              <w:pStyle w:val="TableContents"/>
              <w:spacing w:before="0" w:after="0"/>
              <w:ind w:left="0" w:right="0" w:hanging="0"/>
              <w:rPr/>
            </w:pPr>
            <w:r>
              <w:rPr/>
              <w:t xml:space="preserve">  </w:t>
            </w:r>
          </w:p>
        </w:tc>
      </w:tr>
      <w:tr>
        <w:trPr/>
        <w:tc>
          <w:tcPr>
            <w:tcW w:w="7102"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rPr/>
            </w:pPr>
            <w:r>
              <w:rPr/>
              <w:t xml:space="preserve">  </w:t>
            </w:r>
          </w:p>
        </w:tc>
        <w:tc>
          <w:tcPr>
            <w:tcW w:w="142" w:type="dxa"/>
            <w:tcBorders/>
            <w:shd w:fill="auto" w:val="clear"/>
            <w:vAlign w:val="center"/>
          </w:tcPr>
          <w:p>
            <w:pPr>
              <w:pStyle w:val="TableContents"/>
              <w:spacing w:before="0" w:after="0"/>
              <w:ind w:left="0" w:right="0" w:hanging="0"/>
              <w:rPr/>
            </w:pPr>
            <w:r>
              <w:rPr/>
              <w:t xml:space="preserve">  </w:t>
            </w:r>
          </w:p>
        </w:tc>
        <w:tc>
          <w:tcPr>
            <w:tcW w:w="231" w:type="dxa"/>
            <w:tcBorders/>
            <w:shd w:fill="auto" w:val="clear"/>
            <w:vAlign w:val="center"/>
          </w:tcPr>
          <w:p>
            <w:pPr>
              <w:pStyle w:val="TableContents"/>
              <w:spacing w:before="0" w:after="0"/>
              <w:ind w:left="0" w:right="0" w:hanging="0"/>
              <w:rPr/>
            </w:pPr>
            <w:r>
              <w:rPr/>
              <w:t xml:space="preserve">  </w:t>
            </w:r>
          </w:p>
        </w:tc>
      </w:tr>
      <w:tr>
        <w:trPr/>
        <w:tc>
          <w:tcPr>
            <w:tcW w:w="710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Weighted average options, warrants and convertible portion of senior convertible notes outstanding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6,788,671</w:t>
            </w:r>
          </w:p>
        </w:tc>
        <w:tc>
          <w:tcPr>
            <w:tcW w:w="132" w:type="dxa"/>
            <w:tcBorders/>
            <w:shd w:fill="CCEEFF" w:val="clear"/>
            <w:vAlign w:val="center"/>
          </w:tcPr>
          <w:p>
            <w:pPr>
              <w:pStyle w:val="TableContents"/>
              <w:spacing w:before="0" w:after="0"/>
              <w:ind w:left="0" w:right="0" w:hanging="0"/>
              <w:rPr/>
            </w:pPr>
            <w:r>
              <w:rPr/>
              <w:t xml:space="preserve">  </w:t>
            </w:r>
          </w:p>
        </w:tc>
        <w:tc>
          <w:tcPr>
            <w:tcW w:w="132" w:type="dxa"/>
            <w:tcBorders/>
            <w:shd w:fill="CCEEFF" w:val="clear"/>
            <w:vAlign w:val="center"/>
          </w:tcPr>
          <w:p>
            <w:pPr>
              <w:pStyle w:val="TableContents"/>
              <w:spacing w:before="0" w:after="0"/>
              <w:ind w:left="0" w:right="0" w:hanging="0"/>
              <w:rPr/>
            </w:pPr>
            <w:r>
              <w:rPr/>
              <w:t xml:space="preserve">  </w:t>
            </w:r>
          </w:p>
        </w:tc>
        <w:tc>
          <w:tcPr>
            <w:tcW w:w="187" w:type="dxa"/>
            <w:tcBorders/>
            <w:shd w:fill="CCEEFF" w:val="clear"/>
            <w:vAlign w:val="center"/>
          </w:tcPr>
          <w:p>
            <w:pPr>
              <w:pStyle w:val="TableContents"/>
              <w:spacing w:before="0" w:after="0"/>
              <w:ind w:left="0" w:right="0" w:hanging="0"/>
              <w:rPr/>
            </w:pPr>
            <w:r>
              <w:rPr/>
              <w:t xml:space="preserve">  </w:t>
            </w:r>
          </w:p>
        </w:tc>
        <w:tc>
          <w:tcPr>
            <w:tcW w:w="98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4,654,601</w:t>
            </w:r>
          </w:p>
        </w:tc>
        <w:tc>
          <w:tcPr>
            <w:tcW w:w="142" w:type="dxa"/>
            <w:tcBorders/>
            <w:shd w:fill="CCEEFF" w:val="clear"/>
            <w:vAlign w:val="center"/>
          </w:tcPr>
          <w:p>
            <w:pPr>
              <w:pStyle w:val="TableContents"/>
              <w:spacing w:before="0" w:after="0"/>
              <w:ind w:left="0" w:right="0" w:hanging="0"/>
              <w:rPr/>
            </w:pPr>
            <w:r>
              <w:rPr/>
              <w:t xml:space="preserve">  </w:t>
            </w:r>
          </w:p>
        </w:tc>
        <w:tc>
          <w:tcPr>
            <w:tcW w:w="231" w:type="dxa"/>
            <w:tcBorders/>
            <w:shd w:fill="CCEEFF" w:val="clear"/>
            <w:vAlign w:val="center"/>
          </w:tcPr>
          <w:p>
            <w:pPr>
              <w:pStyle w:val="TableContents"/>
              <w:spacing w:before="0" w:after="0"/>
              <w:ind w:left="0" w:right="0" w:hanging="0"/>
              <w:rPr/>
            </w:pPr>
            <w:r>
              <w:rPr/>
              <w:t xml:space="preserve">  </w:t>
            </w:r>
          </w:p>
        </w:tc>
      </w:tr>
      <w:tr>
        <w:trPr/>
        <w:tc>
          <w:tcPr>
            <w:tcW w:w="710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Anti-dilutive options, warrants and convertible portion of senior convertible notes not included in the computation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5,510,600</w:t>
            </w:r>
          </w:p>
        </w:tc>
        <w:tc>
          <w:tcPr>
            <w:tcW w:w="132" w:type="dxa"/>
            <w:tcBorders/>
            <w:shd w:fill="auto" w:val="clear"/>
            <w:vAlign w:val="cente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0"/>
              <w:ind w:left="0" w:right="0" w:hanging="0"/>
              <w:rPr/>
            </w:pPr>
            <w:r>
              <w:rPr/>
              <w:t xml:space="preserve">  </w:t>
            </w:r>
          </w:p>
        </w:tc>
        <w:tc>
          <w:tcPr>
            <w:tcW w:w="98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4,654,601</w:t>
            </w:r>
          </w:p>
        </w:tc>
        <w:tc>
          <w:tcPr>
            <w:tcW w:w="142" w:type="dxa"/>
            <w:tcBorders/>
            <w:shd w:fill="auto" w:val="clear"/>
            <w:vAlign w:val="center"/>
          </w:tcPr>
          <w:p>
            <w:pPr>
              <w:pStyle w:val="TableContents"/>
              <w:spacing w:before="0" w:after="0"/>
              <w:ind w:left="0" w:right="0" w:hanging="0"/>
              <w:rPr/>
            </w:pPr>
            <w:r>
              <w:rPr/>
              <w:t xml:space="preserve">  </w:t>
            </w:r>
          </w:p>
        </w:tc>
        <w:tc>
          <w:tcPr>
            <w:tcW w:w="231" w:type="dxa"/>
            <w:tcBorders/>
            <w:shd w:fill="auto" w:val="cle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 w:hAnsi="Times New Roman"/>
          <w:i/>
          <w:sz w:val="20"/>
        </w:rPr>
        <w:t>Share-Based Payment</w:t>
      </w:r>
      <w:r>
        <w:rPr>
          <w:rFonts w:ascii="times new roman;times" w:hAnsi="times new roman;times"/>
          <w:sz w:val="20"/>
        </w:rPr>
        <w:t xml:space="preserve"> – </w:t>
      </w:r>
      <w:r>
        <w:rPr>
          <w:rFonts w:ascii="Times New Roman" w:hAnsi="Times New Roman"/>
          <w:sz w:val="20"/>
        </w:rPr>
        <w:t>We estimate the fair value of stock options using the Black-Scholes option-pricing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pStyle w:val="TextBody"/>
        <w:widowControl/>
        <w:spacing w:before="0" w:after="0"/>
        <w:ind w:left="0" w:right="0" w:hanging="0"/>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i/>
          <w:sz w:val="20"/>
        </w:rPr>
        <w:t>Other recent accounting pronouncements:</w:t>
      </w:r>
      <w:r>
        <w:rPr>
          <w:rFonts w:ascii="times new roman;times" w:hAnsi="times new roman;times"/>
          <w:sz w:val="20"/>
        </w:rPr>
        <w:t> The Company has determined that other recently issued accounting standards will not have a material impact on its consolidated financial position, results of operations or cash flows.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F-13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t> </w:t>
      </w:r>
      <w:r>
        <w:rPr>
          <w:rFonts w:eastAsia="times new roman;times" w:cs="times new roman;times" w:ascii="times new roman;times" w:hAnsi="times new roman;times"/>
          <w:b/>
          <w:i/>
          <w:sz w:val="20"/>
          <w:szCs w:val="20"/>
        </w:rPr>
        <w:t>Liquidity:</w:t>
      </w:r>
    </w:p>
    <w:p>
      <w:pPr>
        <w:pStyle w:val="TextBody"/>
        <w:spacing w:lineRule="auto" w:line="240" w:before="0" w:after="0"/>
        <w:ind w:left="0" w:right="0" w:hanging="0"/>
        <w:jc w:val="both"/>
        <w:rPr/>
      </w:pPr>
      <w:r>
        <w:rPr/>
      </w:r>
    </w:p>
    <w:p>
      <w:pPr>
        <w:pStyle w:val="TextBody"/>
        <w:widowControl/>
        <w:spacing w:lineRule="auto" w:line="288"/>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December 31, 2022, cash and cash equivalents were approximately $984 compared to $1,071 as of December 31, 2021. Our working capital was $69,307 as of December 31, 2022 compared to $17,969 as of December 31, 2021. Net cash used in operating activities was $4,179 for the twelve months ended December 31, 2022, a decrease of cash used of $215 from $4,394 of cash used in operating activities in the twelve months ended December 31, 2021.</w:t>
      </w:r>
    </w:p>
    <w:p>
      <w:pPr>
        <w:pStyle w:val="TextBody"/>
        <w:spacing w:lineRule="auto" w:line="240" w:before="0" w:after="0"/>
        <w:ind w:left="0" w:right="0" w:hanging="0"/>
        <w:jc w:val="both"/>
        <w:rPr/>
      </w:pPr>
      <w:r>
        <w:rPr/>
      </w:r>
    </w:p>
    <w:p>
      <w:pPr>
        <w:pStyle w:val="TextBody"/>
        <w:widowControl/>
        <w:spacing w:lineRule="auto" w:line="240" w:before="0" w:after="0"/>
        <w:ind w:left="0" w:right="0" w:hanging="0"/>
        <w:jc w:val="both"/>
        <w:rPr>
          <w:rFonts w:ascii="times new roman;times" w:hAnsi="times new roman;times"/>
          <w:sz w:val="20"/>
        </w:rPr>
      </w:pPr>
      <w:r>
        <w:rPr>
          <w:rFonts w:ascii="Times New Roman" w:hAnsi="Times New Roman"/>
          <w:b w:val="false"/>
          <w:i w:val="false"/>
          <w:caps w:val="false"/>
          <w:smallCaps w:val="false"/>
          <w:color w:val="000000"/>
          <w:spacing w:val="0"/>
          <w:sz w:val="20"/>
        </w:rPr>
        <w:t>In order to maintain liquidity, the Company has been actively engaged in preserving cash by implementing company-wide cost reduction measures and raising additional capital. The company raised additional capital in</w:t>
      </w:r>
      <w:r>
        <w:rPr>
          <w:rFonts w:ascii="times new roman;times" w:hAnsi="times new roman;times"/>
          <w:caps w:val="false"/>
          <w:smallCaps w:val="false"/>
          <w:color w:val="000000"/>
          <w:spacing w:val="0"/>
          <w:sz w:val="20"/>
        </w:rPr>
        <w:t> </w:t>
      </w:r>
      <w:r>
        <w:rPr>
          <w:rFonts w:ascii="Times New Roman" w:hAnsi="Times New Roman"/>
          <w:b w:val="false"/>
          <w:i w:val="false"/>
          <w:caps w:val="false"/>
          <w:smallCaps w:val="false"/>
          <w:color w:val="000000"/>
          <w:spacing w:val="0"/>
          <w:sz w:val="20"/>
        </w:rPr>
        <w:t>2019 </w:t>
      </w:r>
      <w:r>
        <w:rPr>
          <w:rFonts w:ascii="Times New Roman" w:hAnsi="Times New Roman"/>
          <w:b w:val="false"/>
          <w:i w:val="false"/>
          <w:caps w:val="false"/>
          <w:smallCaps w:val="false"/>
          <w:color w:val="000000"/>
          <w:spacing w:val="0"/>
          <w:sz w:val="20"/>
        </w:rPr>
        <w:t>by issuing senior convertible notes, in 2020 by borrowing through the CARES Act Paycheck Protection Program and issuing common stock and warrants and in 2021 by issuing short-term notes and issuing common stock and warrants. In January 2022, the Company issued $2,000 in common stock as consideration for the cancellation and termination of the short-term notes. In October 2022, the Company issued short term notes to raise $2,000. In addition, the Company has been generating additional cash as our inventory levels are brought down to historical levels.  </w:t>
      </w:r>
    </w:p>
    <w:p>
      <w:pPr>
        <w:pStyle w:val="TextBody"/>
        <w:spacing w:lineRule="auto" w:line="240" w:before="0" w:after="0"/>
        <w:ind w:left="0" w:right="0" w:hanging="0"/>
        <w:jc w:val="both"/>
        <w:rPr/>
      </w:pPr>
      <w:r>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also believes that the Company's core strategies of product innovation and prudent cost management will bring the company back to profitability in the future. The Company believes, although there can be no assurance, that all of these measures and effective management of working capital, along with the current cash balance after the receipt of proceeds from legal settlement, will provide the liquidity needed to meet our operating needs through at least March 31, 2024.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2</w:t>
      </w:r>
      <w:r>
        <w:rPr>
          <w:rFonts w:ascii="Times New Roman" w:hAnsi="Times New Roman"/>
          <w:b/>
          <w:sz w:val="20"/>
        </w:rPr>
        <w:t>. Marketable Securities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Company has classified its marketable securities as available-for-sale securities. These debt securities are carried at estimated fair value with unrealized holding gains and losses included in accumulated other comprehensive income (loss) in shareholders’ equity until realized. Gains and losses on marketable security transactions are reported on the specific-identification method. Dividend and interest income are recognized when earned.</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amortized cost, gross unrealized holding gains, gross unrealized holding losses, and fair value for available-for-sale securities by major security type and class of securities at December 31, 2021 were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2980"/>
        <w:gridCol w:w="159"/>
        <w:gridCol w:w="308"/>
        <w:gridCol w:w="1017"/>
        <w:gridCol w:w="159"/>
        <w:gridCol w:w="159"/>
        <w:gridCol w:w="495"/>
        <w:gridCol w:w="926"/>
        <w:gridCol w:w="159"/>
        <w:gridCol w:w="159"/>
        <w:gridCol w:w="593"/>
        <w:gridCol w:w="827"/>
        <w:gridCol w:w="159"/>
        <w:gridCol w:w="159"/>
        <w:gridCol w:w="415"/>
        <w:gridCol w:w="1324"/>
        <w:gridCol w:w="207"/>
      </w:tblGrid>
      <w:tr>
        <w:trPr/>
        <w:tc>
          <w:tcPr>
            <w:tcW w:w="2980"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32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Amortized cost </w:t>
            </w:r>
          </w:p>
        </w:tc>
        <w:tc>
          <w:tcPr>
            <w:tcW w:w="159"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421"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Gross unrealized</w:t>
            </w:r>
          </w:p>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holding gains </w:t>
            </w:r>
          </w:p>
        </w:tc>
        <w:tc>
          <w:tcPr>
            <w:tcW w:w="159"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420"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Gross unrealized</w:t>
            </w:r>
          </w:p>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holding losses </w:t>
            </w:r>
          </w:p>
        </w:tc>
        <w:tc>
          <w:tcPr>
            <w:tcW w:w="159"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73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Estimated fair value </w:t>
            </w:r>
          </w:p>
        </w:tc>
        <w:tc>
          <w:tcPr>
            <w:tcW w:w="207" w:type="dxa"/>
            <w:tcBorders/>
            <w:shd w:fill="auto" w:val="clear"/>
            <w:vAlign w:val="center"/>
          </w:tcPr>
          <w:p>
            <w:pPr>
              <w:pStyle w:val="TableContents"/>
              <w:spacing w:before="0" w:after="0"/>
              <w:ind w:left="0" w:right="0" w:hanging="0"/>
              <w:rPr/>
            </w:pPr>
            <w:r>
              <w:rPr/>
              <w:t xml:space="preserve">  </w:t>
            </w:r>
          </w:p>
        </w:tc>
      </w:tr>
      <w:tr>
        <w:trPr/>
        <w:tc>
          <w:tcPr>
            <w:tcW w:w="2980" w:type="dxa"/>
            <w:tcBorders/>
            <w:shd w:fill="CCEEFF"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December 31, 2021</w:t>
            </w:r>
          </w:p>
        </w:tc>
        <w:tc>
          <w:tcPr>
            <w:tcW w:w="159" w:type="dxa"/>
            <w:tcBorders/>
            <w:shd w:fill="CCEEFF" w:val="clear"/>
            <w:vAlign w:val="center"/>
          </w:tcPr>
          <w:p>
            <w:pPr>
              <w:pStyle w:val="TableContents"/>
              <w:spacing w:before="0" w:after="0"/>
              <w:ind w:left="0" w:right="0" w:hanging="0"/>
              <w:rPr/>
            </w:pPr>
            <w:r>
              <w:rPr/>
              <w:t xml:space="preserve">  </w:t>
            </w:r>
          </w:p>
        </w:tc>
        <w:tc>
          <w:tcPr>
            <w:tcW w:w="308" w:type="dxa"/>
            <w:tcBorders/>
            <w:shd w:fill="CCEEFF" w:val="clear"/>
            <w:vAlign w:val="center"/>
          </w:tcPr>
          <w:p>
            <w:pPr>
              <w:pStyle w:val="TableContents"/>
              <w:spacing w:before="0" w:after="0"/>
              <w:ind w:left="0" w:right="0" w:hanging="0"/>
              <w:rPr/>
            </w:pPr>
            <w:r>
              <w:rPr/>
              <w:t xml:space="preserve">  </w:t>
            </w:r>
          </w:p>
        </w:tc>
        <w:tc>
          <w:tcPr>
            <w:tcW w:w="1017"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495" w:type="dxa"/>
            <w:tcBorders/>
            <w:shd w:fill="CCEEFF" w:val="clear"/>
            <w:vAlign w:val="center"/>
          </w:tcPr>
          <w:p>
            <w:pPr>
              <w:pStyle w:val="TableContents"/>
              <w:spacing w:before="0" w:after="0"/>
              <w:ind w:left="0" w:right="0" w:hanging="0"/>
              <w:rPr/>
            </w:pPr>
            <w:r>
              <w:rPr/>
              <w:t xml:space="preserve">  </w:t>
            </w:r>
          </w:p>
        </w:tc>
        <w:tc>
          <w:tcPr>
            <w:tcW w:w="926"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593" w:type="dxa"/>
            <w:tcBorders/>
            <w:shd w:fill="CCEEFF" w:val="clear"/>
            <w:vAlign w:val="center"/>
          </w:tcPr>
          <w:p>
            <w:pPr>
              <w:pStyle w:val="TableContents"/>
              <w:spacing w:before="0" w:after="0"/>
              <w:ind w:left="0" w:right="0" w:hanging="0"/>
              <w:rPr/>
            </w:pPr>
            <w:r>
              <w:rPr/>
              <w:t xml:space="preserve">  </w:t>
            </w:r>
          </w:p>
        </w:tc>
        <w:tc>
          <w:tcPr>
            <w:tcW w:w="827"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415" w:type="dxa"/>
            <w:tcBorders/>
            <w:shd w:fill="CCEEFF" w:val="clear"/>
            <w:vAlign w:val="center"/>
          </w:tcPr>
          <w:p>
            <w:pPr>
              <w:pStyle w:val="TableContents"/>
              <w:spacing w:before="0" w:after="0"/>
              <w:ind w:left="0" w:right="0" w:hanging="0"/>
              <w:rPr/>
            </w:pPr>
            <w:r>
              <w:rPr/>
              <w:t xml:space="preserve">  </w:t>
            </w:r>
          </w:p>
        </w:tc>
        <w:tc>
          <w:tcPr>
            <w:tcW w:w="1324" w:type="dxa"/>
            <w:tcBorders/>
            <w:shd w:fill="CCEEFF" w:val="clear"/>
            <w:vAlign w:val="center"/>
          </w:tcPr>
          <w:p>
            <w:pPr>
              <w:pStyle w:val="TableContents"/>
              <w:spacing w:before="0" w:after="0"/>
              <w:ind w:left="0" w:right="0" w:hanging="0"/>
              <w:rPr/>
            </w:pPr>
            <w:r>
              <w:rPr/>
              <w:t xml:space="preserve">  </w:t>
            </w:r>
          </w:p>
        </w:tc>
        <w:tc>
          <w:tcPr>
            <w:tcW w:w="207" w:type="dxa"/>
            <w:tcBorders/>
            <w:shd w:fill="CCEEFF" w:val="clear"/>
            <w:vAlign w:val="center"/>
          </w:tcPr>
          <w:p>
            <w:pPr>
              <w:pStyle w:val="TableContents"/>
              <w:spacing w:before="0" w:after="0"/>
              <w:ind w:left="0" w:right="0" w:hanging="0"/>
              <w:rPr/>
            </w:pPr>
            <w:r>
              <w:rPr/>
              <w:t xml:space="preserve">  </w:t>
            </w:r>
          </w:p>
        </w:tc>
      </w:tr>
      <w:tr>
        <w:trPr/>
        <w:tc>
          <w:tcPr>
            <w:tcW w:w="298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Available-for-sale securities: </w:t>
            </w:r>
          </w:p>
        </w:tc>
        <w:tc>
          <w:tcPr>
            <w:tcW w:w="159" w:type="dxa"/>
            <w:tcBorders/>
            <w:shd w:fill="auto" w:val="clear"/>
            <w:vAlign w:val="center"/>
          </w:tcPr>
          <w:p>
            <w:pPr>
              <w:pStyle w:val="TableContents"/>
              <w:spacing w:before="0" w:after="0"/>
              <w:ind w:left="0" w:right="0" w:hanging="0"/>
              <w:rPr/>
            </w:pPr>
            <w:r>
              <w:rPr/>
              <w:t xml:space="preserve">  </w:t>
            </w:r>
          </w:p>
        </w:tc>
        <w:tc>
          <w:tcPr>
            <w:tcW w:w="308" w:type="dxa"/>
            <w:tcBorders/>
            <w:shd w:fill="auto" w:val="clear"/>
            <w:vAlign w:val="center"/>
          </w:tcPr>
          <w:p>
            <w:pPr>
              <w:pStyle w:val="TableContents"/>
              <w:spacing w:before="0" w:after="0"/>
              <w:ind w:left="0" w:right="0" w:hanging="0"/>
              <w:rPr/>
            </w:pPr>
            <w:r>
              <w:rPr/>
              <w:t xml:space="preserve">  </w:t>
            </w:r>
          </w:p>
        </w:tc>
        <w:tc>
          <w:tcPr>
            <w:tcW w:w="1017"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495" w:type="dxa"/>
            <w:tcBorders/>
            <w:shd w:fill="auto" w:val="clear"/>
            <w:vAlign w:val="center"/>
          </w:tcPr>
          <w:p>
            <w:pPr>
              <w:pStyle w:val="TableContents"/>
              <w:spacing w:before="0" w:after="0"/>
              <w:ind w:left="0" w:right="0" w:hanging="0"/>
              <w:rPr/>
            </w:pPr>
            <w:r>
              <w:rPr/>
              <w:t xml:space="preserve">  </w:t>
            </w:r>
          </w:p>
        </w:tc>
        <w:tc>
          <w:tcPr>
            <w:tcW w:w="926"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593" w:type="dxa"/>
            <w:tcBorders/>
            <w:shd w:fill="auto" w:val="clear"/>
            <w:vAlign w:val="center"/>
          </w:tcPr>
          <w:p>
            <w:pPr>
              <w:pStyle w:val="TableContents"/>
              <w:spacing w:before="0" w:after="0"/>
              <w:ind w:left="0" w:right="0" w:hanging="0"/>
              <w:rPr/>
            </w:pPr>
            <w:r>
              <w:rPr/>
              <w:t xml:space="preserve">  </w:t>
            </w:r>
          </w:p>
        </w:tc>
        <w:tc>
          <w:tcPr>
            <w:tcW w:w="827"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415" w:type="dxa"/>
            <w:tcBorders/>
            <w:shd w:fill="auto" w:val="clear"/>
            <w:vAlign w:val="center"/>
          </w:tcPr>
          <w:p>
            <w:pPr>
              <w:pStyle w:val="TableContents"/>
              <w:spacing w:before="0" w:after="0"/>
              <w:ind w:left="0" w:right="0" w:hanging="0"/>
              <w:rPr/>
            </w:pPr>
            <w:r>
              <w:rPr/>
              <w:t xml:space="preserve">  </w:t>
            </w:r>
          </w:p>
        </w:tc>
        <w:tc>
          <w:tcPr>
            <w:tcW w:w="1324" w:type="dxa"/>
            <w:tcBorders/>
            <w:shd w:fill="auto" w:val="clear"/>
            <w:vAlign w:val="cente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0"/>
              <w:ind w:left="0" w:right="0" w:hanging="0"/>
              <w:rPr/>
            </w:pPr>
            <w:r>
              <w:rPr/>
              <w:t xml:space="preserve">  </w:t>
            </w:r>
          </w:p>
        </w:tc>
      </w:tr>
      <w:tr>
        <w:trPr/>
        <w:tc>
          <w:tcPr>
            <w:tcW w:w="2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bonds and notes </w:t>
            </w:r>
          </w:p>
        </w:tc>
        <w:tc>
          <w:tcPr>
            <w:tcW w:w="159" w:type="dxa"/>
            <w:tcBorders/>
            <w:shd w:fill="CCEEFF" w:val="clear"/>
            <w:vAlign w:val="center"/>
          </w:tcPr>
          <w:p>
            <w:pPr>
              <w:pStyle w:val="TableContents"/>
              <w:spacing w:before="0" w:after="0"/>
              <w:ind w:left="0" w:right="0" w:hanging="0"/>
              <w:rPr/>
            </w:pPr>
            <w:r>
              <w:rPr/>
              <w:t xml:space="preserve">  </w:t>
            </w:r>
          </w:p>
        </w:tc>
        <w:tc>
          <w:tcPr>
            <w:tcW w:w="30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1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1,434</w:t>
            </w:r>
          </w:p>
        </w:tc>
        <w:tc>
          <w:tcPr>
            <w:tcW w:w="159"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4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2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c>
          <w:tcPr>
            <w:tcW w:w="159"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59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2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c>
          <w:tcPr>
            <w:tcW w:w="159" w:type="dxa"/>
            <w:tcBorders/>
            <w:shd w:fill="CCEEFF" w:val="clear"/>
            <w:vAlign w:val="center"/>
          </w:tcPr>
          <w:p>
            <w:pPr>
              <w:pStyle w:val="TableContents"/>
              <w:spacing w:before="0" w:after="283"/>
              <w:rPr>
                <w:sz w:val="4"/>
                <w:szCs w:val="4"/>
              </w:rPr>
            </w:pPr>
            <w:r>
              <w:rPr>
                <w:sz w:val="4"/>
                <w:szCs w:val="4"/>
              </w:rPr>
            </w:r>
          </w:p>
        </w:tc>
        <w:tc>
          <w:tcPr>
            <w:tcW w:w="159" w:type="dxa"/>
            <w:tcBorders/>
            <w:shd w:fill="CCEEFF" w:val="clear"/>
            <w:vAlign w:val="center"/>
          </w:tcPr>
          <w:p>
            <w:pPr>
              <w:pStyle w:val="TableContents"/>
              <w:spacing w:before="0" w:after="0"/>
              <w:ind w:left="0" w:right="0" w:hanging="0"/>
              <w:rPr/>
            </w:pPr>
            <w:r>
              <w:rPr/>
              <w:t xml:space="preserve">  </w:t>
            </w:r>
          </w:p>
        </w:tc>
        <w:tc>
          <w:tcPr>
            <w:tcW w:w="4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2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1,440</w:t>
            </w:r>
          </w:p>
        </w:tc>
        <w:tc>
          <w:tcPr>
            <w:tcW w:w="207" w:type="dxa"/>
            <w:tcBorders/>
            <w:shd w:fill="CCEEFF" w:val="clear"/>
            <w:vAlign w:val="center"/>
          </w:tcPr>
          <w:p>
            <w:pPr>
              <w:pStyle w:val="TableContents"/>
              <w:spacing w:before="0" w:after="0"/>
              <w:ind w:left="0" w:right="0" w:hanging="0"/>
              <w:rPr/>
            </w:pPr>
            <w:r>
              <w:rPr/>
              <w:t xml:space="preserve">  </w:t>
            </w:r>
          </w:p>
        </w:tc>
      </w:tr>
      <w:tr>
        <w:trPr/>
        <w:tc>
          <w:tcPr>
            <w:tcW w:w="298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Municipal bonds </w:t>
            </w:r>
          </w:p>
        </w:tc>
        <w:tc>
          <w:tcPr>
            <w:tcW w:w="159" w:type="dxa"/>
            <w:tcBorders/>
            <w:shd w:fill="auto" w:val="clear"/>
            <w:vAlign w:val="center"/>
          </w:tcPr>
          <w:p>
            <w:pPr>
              <w:pStyle w:val="TableContents"/>
              <w:spacing w:before="0" w:after="0"/>
              <w:ind w:left="0" w:right="0" w:hanging="0"/>
              <w:rPr/>
            </w:pPr>
            <w:r>
              <w:rPr/>
              <w:t xml:space="preserve">  </w:t>
            </w:r>
          </w:p>
        </w:tc>
        <w:tc>
          <w:tcPr>
            <w:tcW w:w="30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17"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1,573</w:t>
            </w:r>
          </w:p>
        </w:tc>
        <w:tc>
          <w:tcPr>
            <w:tcW w:w="159"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49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26"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59"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593"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27"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0"/>
              <w:ind w:left="0" w:right="0" w:hanging="0"/>
              <w:rPr/>
            </w:pPr>
            <w:r>
              <w:rPr/>
              <w:t xml:space="preserve">  </w:t>
            </w:r>
          </w:p>
        </w:tc>
        <w:tc>
          <w:tcPr>
            <w:tcW w:w="41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324"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1,570</w:t>
            </w:r>
          </w:p>
        </w:tc>
        <w:tc>
          <w:tcPr>
            <w:tcW w:w="207" w:type="dxa"/>
            <w:tcBorders/>
            <w:shd w:fill="auto" w:val="clear"/>
            <w:vAlign w:val="center"/>
          </w:tcPr>
          <w:p>
            <w:pPr>
              <w:pStyle w:val="TableContents"/>
              <w:spacing w:before="0" w:after="0"/>
              <w:ind w:left="0" w:right="0" w:hanging="0"/>
              <w:rPr/>
            </w:pPr>
            <w:r>
              <w:rPr/>
              <w:t xml:space="preserve">  </w:t>
            </w:r>
          </w:p>
        </w:tc>
      </w:tr>
      <w:tr>
        <w:trPr/>
        <w:tc>
          <w:tcPr>
            <w:tcW w:w="2980"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available-for-sale securities </w:t>
            </w:r>
          </w:p>
        </w:tc>
        <w:tc>
          <w:tcPr>
            <w:tcW w:w="159" w:type="dxa"/>
            <w:tcBorders/>
            <w:shd w:fill="CCEEFF" w:val="clear"/>
            <w:vAlign w:val="center"/>
          </w:tcPr>
          <w:p>
            <w:pPr>
              <w:pStyle w:val="TableContents"/>
              <w:spacing w:before="0" w:after="0"/>
              <w:ind w:left="0" w:right="0" w:hanging="0"/>
              <w:rPr/>
            </w:pPr>
            <w:r>
              <w:rPr/>
              <w:t xml:space="preserve">  </w:t>
            </w:r>
          </w:p>
        </w:tc>
        <w:tc>
          <w:tcPr>
            <w:tcW w:w="30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3,007</w:t>
            </w:r>
          </w:p>
        </w:tc>
        <w:tc>
          <w:tcPr>
            <w:tcW w:w="159"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4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c>
          <w:tcPr>
            <w:tcW w:w="159"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59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w:t>
            </w:r>
          </w:p>
        </w:tc>
        <w:tc>
          <w:tcPr>
            <w:tcW w:w="159" w:type="dxa"/>
            <w:tcBorders/>
            <w:shd w:fill="CCEEFF" w:val="clear"/>
            <w:vAlign w:val="center"/>
          </w:tcPr>
          <w:p>
            <w:pPr>
              <w:pStyle w:val="TableContents"/>
              <w:spacing w:before="0" w:after="283"/>
              <w:rPr>
                <w:sz w:val="4"/>
                <w:szCs w:val="4"/>
              </w:rPr>
            </w:pPr>
            <w:r>
              <w:rPr>
                <w:sz w:val="4"/>
                <w:szCs w:val="4"/>
              </w:rPr>
            </w:r>
          </w:p>
        </w:tc>
        <w:tc>
          <w:tcPr>
            <w:tcW w:w="159" w:type="dxa"/>
            <w:tcBorders/>
            <w:shd w:fill="CCEEFF" w:val="clear"/>
            <w:vAlign w:val="center"/>
          </w:tcPr>
          <w:p>
            <w:pPr>
              <w:pStyle w:val="TableContents"/>
              <w:spacing w:before="0" w:after="0"/>
              <w:ind w:left="0" w:right="0" w:hanging="0"/>
              <w:rPr/>
            </w:pPr>
            <w:r>
              <w:rPr/>
              <w:t xml:space="preserve">  </w:t>
            </w:r>
          </w:p>
        </w:tc>
        <w:tc>
          <w:tcPr>
            <w:tcW w:w="4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3,010</w:t>
            </w:r>
          </w:p>
        </w:tc>
        <w:tc>
          <w:tcPr>
            <w:tcW w:w="207" w:type="dxa"/>
            <w:tcBorders/>
            <w:shd w:fill="CCEEFF" w:val="cle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rPr/>
      </w:pPr>
      <w:r>
        <w:rPr/>
        <w:t> </w:t>
      </w:r>
    </w:p>
    <w:p>
      <w:pPr>
        <w:pStyle w:val="TextBody"/>
        <w:widowControl/>
        <w:spacing w:lineRule="auto" w:line="240" w:before="0" w:after="0"/>
        <w:ind w:left="0" w:right="0" w:hanging="0"/>
        <w:rPr>
          <w:rFonts w:ascii="Times New Roman" w:hAnsi="Times New Roman"/>
          <w:sz w:val="20"/>
        </w:rPr>
      </w:pPr>
      <w:r>
        <w:rPr>
          <w:rFonts w:ascii="Times New Roman" w:hAnsi="Times New Roman"/>
          <w:b w:val="false"/>
          <w:i w:val="false"/>
          <w:caps w:val="false"/>
          <w:smallCaps w:val="false"/>
          <w:color w:val="000000"/>
          <w:spacing w:val="0"/>
          <w:sz w:val="20"/>
        </w:rPr>
        <w:t>There were </w:t>
      </w:r>
      <w:r>
        <w:rPr>
          <w:rFonts w:ascii="Times New Roman" w:hAnsi="Times New Roman"/>
          <w:sz w:val="20"/>
        </w:rPr>
        <w:t>no</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available-for-sale securities as of </w:t>
      </w:r>
      <w:r>
        <w:rPr>
          <w:rFonts w:ascii="times new roman;times" w:hAnsi="times new roman;times"/>
          <w:b w:val="false"/>
          <w:i w:val="false"/>
          <w:caps w:val="false"/>
          <w:smallCaps w:val="false"/>
          <w:color w:val="000000"/>
          <w:spacing w:val="0"/>
          <w:sz w:val="20"/>
        </w:rPr>
        <w:t>December 31, 2022</w:t>
      </w:r>
      <w:r>
        <w:rPr>
          <w:rFonts w:ascii="Times New Roman" w:hAnsi="Times New Roman"/>
          <w:b w:val="false"/>
          <w:i w:val="false"/>
          <w:caps w:val="false"/>
          <w:smallCaps w:val="false"/>
          <w:color w:val="000000"/>
          <w:spacing w:val="0"/>
          <w:sz w:val="20"/>
        </w:rPr>
        <w:t>.</w:t>
      </w:r>
    </w:p>
    <w:p>
      <w:pPr>
        <w:pStyle w:val="TextBody"/>
        <w:spacing w:before="0" w:after="0"/>
        <w:ind w:left="0" w:right="0" w:hanging="0"/>
        <w:jc w:val="both"/>
        <w:rPr>
          <w:rFonts w:ascii="Times New Roman" w:hAnsi="Times New Roman"/>
          <w:sz w:val="20"/>
        </w:rPr>
      </w:pPr>
      <w:r>
        <w:rPr>
          <w:rFonts w:ascii="Times New Roman" w:hAnsi="Times New Roman"/>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14</w:t>
            </w:r>
            <w:r>
              <w:rPr>
                <w:rFonts w:ascii="Times New Roman" w:hAnsi="Times New Roman"/>
                <w:b w:val="false"/>
                <w:i w:val="false"/>
                <w:caps w:val="false"/>
                <w:smallCaps w:val="false"/>
                <w:color w:val="000000"/>
                <w:spacing w:val="0"/>
                <w:sz w:val="20"/>
              </w:rPr>
              <w:t>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rPr/>
      </w:pPr>
      <w:r>
        <w:rPr/>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3. Intangible Assets</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times" w:hAnsi="times new roman;times"/>
          <w:sz w:val="20"/>
        </w:rPr>
      </w:pPr>
      <w:r>
        <w:rPr>
          <w:rFonts w:ascii="Times New Roman" w:hAnsi="Times New Roman"/>
          <w:sz w:val="20"/>
        </w:rPr>
        <w:t>Intangible assets as of December 31, 2022</w:t>
      </w:r>
      <w:r>
        <w:rPr>
          <w:rFonts w:ascii="times new roman;times" w:hAnsi="times new roman;times"/>
          <w:sz w:val="20"/>
        </w:rPr>
        <w:t> </w:t>
      </w:r>
      <w:r>
        <w:rPr>
          <w:rFonts w:ascii="Times New Roman" w:hAnsi="Times New Roman"/>
          <w:sz w:val="20"/>
        </w:rPr>
        <w:t>and 2021</w:t>
      </w:r>
      <w:r>
        <w:rPr>
          <w:rFonts w:ascii="times new roman;times" w:hAnsi="times new roman;times"/>
          <w:sz w:val="20"/>
        </w:rPr>
        <w:t xml:space="preserve"> </w:t>
      </w:r>
      <w:r>
        <w:rPr>
          <w:rFonts w:ascii="Times New Roman" w:hAnsi="Times New Roman"/>
          <w:sz w:val="20"/>
        </w:rPr>
        <w:t>consisted of the following:</w:t>
      </w:r>
    </w:p>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4222"/>
        <w:gridCol w:w="204"/>
        <w:gridCol w:w="350"/>
        <w:gridCol w:w="608"/>
        <w:gridCol w:w="608"/>
        <w:gridCol w:w="819"/>
        <w:gridCol w:w="203"/>
        <w:gridCol w:w="204"/>
        <w:gridCol w:w="271"/>
        <w:gridCol w:w="842"/>
        <w:gridCol w:w="204"/>
        <w:gridCol w:w="203"/>
        <w:gridCol w:w="272"/>
        <w:gridCol w:w="923"/>
        <w:gridCol w:w="272"/>
      </w:tblGrid>
      <w:tr>
        <w:trPr/>
        <w:tc>
          <w:tcPr>
            <w:tcW w:w="4222"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385" w:type="dxa"/>
            <w:gridSpan w:val="4"/>
            <w:tcBorders/>
            <w:shd w:fill="auto" w:val="cle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Estimated useful lives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715"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As of December 31,</w:t>
            </w:r>
          </w:p>
        </w:tc>
        <w:tc>
          <w:tcPr>
            <w:tcW w:w="272" w:type="dxa"/>
            <w:tcBorders/>
            <w:shd w:fill="auto" w:val="clear"/>
            <w:vAlign w:val="center"/>
          </w:tcPr>
          <w:p>
            <w:pPr>
              <w:pStyle w:val="TableContents"/>
              <w:spacing w:before="0" w:after="0"/>
              <w:ind w:left="0" w:right="0" w:hanging="0"/>
              <w:rPr/>
            </w:pPr>
            <w:r>
              <w:rPr/>
              <w:t xml:space="preserve">  </w:t>
            </w:r>
          </w:p>
        </w:tc>
      </w:tr>
      <w:tr>
        <w:trPr/>
        <w:tc>
          <w:tcPr>
            <w:tcW w:w="4222"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385" w:type="dxa"/>
            <w:gridSpan w:val="4"/>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(in years)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1113"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20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119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272" w:type="dxa"/>
            <w:tcBorders/>
            <w:shd w:fill="auto" w:val="clear"/>
            <w:vAlign w:val="center"/>
          </w:tcPr>
          <w:p>
            <w:pPr>
              <w:pStyle w:val="TableContents"/>
              <w:spacing w:before="0" w:after="0"/>
              <w:ind w:left="0" w:right="0" w:hanging="0"/>
              <w:rPr/>
            </w:pPr>
            <w:r>
              <w:rPr/>
              <w:t xml:space="preserve">  </w:t>
            </w:r>
          </w:p>
        </w:tc>
      </w:tr>
      <w:tr>
        <w:trPr/>
        <w:tc>
          <w:tcPr>
            <w:tcW w:w="422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Tradename </w:t>
            </w:r>
          </w:p>
        </w:tc>
        <w:tc>
          <w:tcPr>
            <w:tcW w:w="204" w:type="dxa"/>
            <w:tcBorders/>
            <w:shd w:fill="CCEEFF" w:val="clear"/>
            <w:vAlign w:val="center"/>
          </w:tcPr>
          <w:p>
            <w:pPr>
              <w:pStyle w:val="TableContents"/>
              <w:spacing w:before="0" w:after="0"/>
              <w:ind w:left="0" w:right="0" w:hanging="0"/>
              <w:rPr/>
            </w:pPr>
            <w:r>
              <w:rPr/>
              <w:t xml:space="preserve">  </w:t>
            </w:r>
          </w:p>
        </w:tc>
        <w:tc>
          <w:tcPr>
            <w:tcW w:w="350" w:type="dxa"/>
            <w:tcBorders/>
            <w:shd w:fill="CCEEFF" w:val="clear"/>
            <w:vAlign w:val="center"/>
          </w:tcPr>
          <w:p>
            <w:pPr>
              <w:pStyle w:val="TableContents"/>
              <w:spacing w:before="0" w:after="0"/>
              <w:ind w:left="0" w:right="0" w:hanging="0"/>
              <w:rPr/>
            </w:pPr>
            <w:r>
              <w:rPr/>
              <w:t xml:space="preserve">  </w:t>
            </w:r>
          </w:p>
        </w:tc>
        <w:tc>
          <w:tcPr>
            <w:tcW w:w="60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w:t>
            </w:r>
          </w:p>
        </w:tc>
        <w:tc>
          <w:tcPr>
            <w:tcW w:w="608"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81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7</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2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 </w:t>
            </w:r>
          </w:p>
        </w:tc>
        <w:tc>
          <w:tcPr>
            <w:tcW w:w="84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555</w:t>
            </w:r>
          </w:p>
        </w:tc>
        <w:tc>
          <w:tcPr>
            <w:tcW w:w="204"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7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555</w:t>
            </w:r>
          </w:p>
        </w:tc>
        <w:tc>
          <w:tcPr>
            <w:tcW w:w="272" w:type="dxa"/>
            <w:tcBorders/>
            <w:shd w:fill="CCEEFF" w:val="clear"/>
            <w:vAlign w:val="center"/>
          </w:tcPr>
          <w:p>
            <w:pPr>
              <w:pStyle w:val="TableContents"/>
              <w:spacing w:before="0" w:after="0"/>
              <w:ind w:left="0" w:right="0" w:hanging="0"/>
              <w:rPr/>
            </w:pPr>
            <w:r>
              <w:rPr/>
              <w:t xml:space="preserve">  </w:t>
            </w:r>
          </w:p>
        </w:tc>
      </w:tr>
      <w:tr>
        <w:trPr/>
        <w:tc>
          <w:tcPr>
            <w:tcW w:w="422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Patents and technological know-how </w:t>
            </w:r>
          </w:p>
        </w:tc>
        <w:tc>
          <w:tcPr>
            <w:tcW w:w="204" w:type="dxa"/>
            <w:tcBorders/>
            <w:shd w:fill="auto" w:val="clear"/>
            <w:vAlign w:val="center"/>
          </w:tcPr>
          <w:p>
            <w:pPr>
              <w:pStyle w:val="TableContents"/>
              <w:spacing w:before="0" w:after="0"/>
              <w:ind w:left="0" w:right="0" w:hanging="0"/>
              <w:rPr/>
            </w:pPr>
            <w:r>
              <w:rPr/>
              <w:t xml:space="preserve">  </w:t>
            </w:r>
          </w:p>
        </w:tc>
        <w:tc>
          <w:tcPr>
            <w:tcW w:w="350" w:type="dxa"/>
            <w:tcBorders/>
            <w:shd w:fill="auto" w:val="clear"/>
            <w:vAlign w:val="center"/>
          </w:tcPr>
          <w:p>
            <w:pPr>
              <w:pStyle w:val="TableContents"/>
              <w:spacing w:before="0" w:after="0"/>
              <w:ind w:left="0" w:right="0" w:hanging="0"/>
              <w:rPr/>
            </w:pPr>
            <w:r>
              <w:rPr/>
              <w:t xml:space="preserve">  </w:t>
            </w:r>
          </w:p>
        </w:tc>
        <w:tc>
          <w:tcPr>
            <w:tcW w:w="60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w:t>
            </w:r>
          </w:p>
        </w:tc>
        <w:tc>
          <w:tcPr>
            <w:tcW w:w="608" w:type="dxa"/>
            <w:tcBorders/>
            <w:shd w:fill="auto" w:val="clear"/>
            <w:vAlign w:val="center"/>
          </w:tcPr>
          <w:p>
            <w:pPr>
              <w:pStyle w:val="TableContents"/>
              <w:spacing w:before="0" w:after="0"/>
              <w:ind w:left="0" w:right="0" w:hanging="0"/>
              <w:jc w:val="center"/>
              <w:rPr/>
            </w:pPr>
            <w:r>
              <w:rPr/>
              <w:t>to</w:t>
            </w:r>
          </w:p>
        </w:tc>
        <w:tc>
          <w:tcPr>
            <w:tcW w:w="819"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71" w:type="dxa"/>
            <w:tcBorders/>
            <w:shd w:fill="auto" w:val="clear"/>
            <w:vAlign w:val="center"/>
          </w:tcPr>
          <w:p>
            <w:pPr>
              <w:pStyle w:val="TableContents"/>
              <w:spacing w:before="0" w:after="0"/>
              <w:ind w:left="0" w:right="0" w:hanging="0"/>
              <w:rPr/>
            </w:pPr>
            <w:r>
              <w:rPr/>
              <w:t xml:space="preserve">  </w:t>
            </w:r>
          </w:p>
        </w:tc>
        <w:tc>
          <w:tcPr>
            <w:tcW w:w="842"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7,053</w:t>
            </w:r>
          </w:p>
        </w:tc>
        <w:tc>
          <w:tcPr>
            <w:tcW w:w="20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72" w:type="dxa"/>
            <w:tcBorders/>
            <w:shd w:fill="auto" w:val="clear"/>
            <w:vAlign w:val="center"/>
          </w:tcPr>
          <w:p>
            <w:pPr>
              <w:pStyle w:val="TableContents"/>
              <w:spacing w:before="0" w:after="0"/>
              <w:ind w:left="0" w:right="0" w:hanging="0"/>
              <w:rPr/>
            </w:pPr>
            <w:r>
              <w:rPr/>
              <w:t xml:space="preserve">  </w:t>
            </w:r>
          </w:p>
        </w:tc>
        <w:tc>
          <w:tcPr>
            <w:tcW w:w="92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33,553</w:t>
            </w:r>
          </w:p>
        </w:tc>
        <w:tc>
          <w:tcPr>
            <w:tcW w:w="272" w:type="dxa"/>
            <w:tcBorders/>
            <w:shd w:fill="auto" w:val="clear"/>
            <w:vAlign w:val="center"/>
          </w:tcPr>
          <w:p>
            <w:pPr>
              <w:pStyle w:val="TableContents"/>
              <w:spacing w:before="0" w:after="0"/>
              <w:ind w:left="0" w:right="0" w:hanging="0"/>
              <w:rPr/>
            </w:pPr>
            <w:r>
              <w:rPr/>
              <w:t xml:space="preserve">  </w:t>
            </w:r>
          </w:p>
        </w:tc>
      </w:tr>
      <w:tr>
        <w:trPr/>
        <w:tc>
          <w:tcPr>
            <w:tcW w:w="422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Proprietary software </w:t>
            </w:r>
          </w:p>
        </w:tc>
        <w:tc>
          <w:tcPr>
            <w:tcW w:w="204" w:type="dxa"/>
            <w:tcBorders/>
            <w:shd w:fill="CCEEFF" w:val="clear"/>
            <w:vAlign w:val="center"/>
          </w:tcPr>
          <w:p>
            <w:pPr>
              <w:pStyle w:val="TableContents"/>
              <w:spacing w:before="0" w:after="0"/>
              <w:ind w:left="0" w:right="0" w:hanging="0"/>
              <w:rPr/>
            </w:pPr>
            <w:r>
              <w:rPr/>
              <w:t xml:space="preserve">  </w:t>
            </w:r>
          </w:p>
        </w:tc>
        <w:tc>
          <w:tcPr>
            <w:tcW w:w="350" w:type="dxa"/>
            <w:tcBorders/>
            <w:shd w:fill="CCEEFF" w:val="clear"/>
            <w:vAlign w:val="center"/>
          </w:tcPr>
          <w:p>
            <w:pPr>
              <w:pStyle w:val="TableContents"/>
              <w:spacing w:before="0" w:after="0"/>
              <w:ind w:left="0" w:right="0" w:hanging="0"/>
              <w:rPr/>
            </w:pPr>
            <w:r>
              <w:rPr/>
              <w:t xml:space="preserve">  </w:t>
            </w:r>
          </w:p>
        </w:tc>
        <w:tc>
          <w:tcPr>
            <w:tcW w:w="60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c>
          <w:tcPr>
            <w:tcW w:w="608"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81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15</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271" w:type="dxa"/>
            <w:tcBorders/>
            <w:shd w:fill="CCEEFF" w:val="clear"/>
            <w:vAlign w:val="center"/>
          </w:tcPr>
          <w:p>
            <w:pPr>
              <w:pStyle w:val="TableContents"/>
              <w:spacing w:before="0" w:after="0"/>
              <w:ind w:left="0" w:right="0" w:hanging="0"/>
              <w:rPr/>
            </w:pPr>
            <w:r>
              <w:rPr/>
              <w:t xml:space="preserve">  </w:t>
            </w:r>
          </w:p>
        </w:tc>
        <w:tc>
          <w:tcPr>
            <w:tcW w:w="84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2,981</w:t>
            </w:r>
          </w:p>
        </w:tc>
        <w:tc>
          <w:tcPr>
            <w:tcW w:w="204"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72" w:type="dxa"/>
            <w:tcBorders/>
            <w:shd w:fill="CCEEFF" w:val="clear"/>
            <w:vAlign w:val="center"/>
          </w:tcPr>
          <w:p>
            <w:pPr>
              <w:pStyle w:val="TableContents"/>
              <w:spacing w:before="0" w:after="0"/>
              <w:ind w:left="0" w:right="0" w:hanging="0"/>
              <w:rPr/>
            </w:pPr>
            <w:r>
              <w:rPr/>
              <w:t xml:space="preserve">  </w:t>
            </w:r>
          </w:p>
        </w:tc>
        <w:tc>
          <w:tcPr>
            <w:tcW w:w="9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2,981</w:t>
            </w:r>
          </w:p>
        </w:tc>
        <w:tc>
          <w:tcPr>
            <w:tcW w:w="272" w:type="dxa"/>
            <w:tcBorders/>
            <w:shd w:fill="CCEEFF" w:val="clear"/>
            <w:vAlign w:val="center"/>
          </w:tcPr>
          <w:p>
            <w:pPr>
              <w:pStyle w:val="TableContents"/>
              <w:spacing w:before="0" w:after="0"/>
              <w:ind w:left="0" w:right="0" w:hanging="0"/>
              <w:rPr/>
            </w:pPr>
            <w:r>
              <w:rPr/>
              <w:t xml:space="preserve">  </w:t>
            </w:r>
          </w:p>
        </w:tc>
      </w:tr>
      <w:tr>
        <w:trPr/>
        <w:tc>
          <w:tcPr>
            <w:tcW w:w="422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w:t>
            </w:r>
          </w:p>
        </w:tc>
        <w:tc>
          <w:tcPr>
            <w:tcW w:w="204" w:type="dxa"/>
            <w:tcBorders/>
            <w:shd w:fill="auto" w:val="clear"/>
            <w:vAlign w:val="center"/>
          </w:tcPr>
          <w:p>
            <w:pPr>
              <w:pStyle w:val="TableContents"/>
              <w:spacing w:before="0" w:after="0"/>
              <w:ind w:left="0" w:right="0" w:hanging="0"/>
              <w:rPr/>
            </w:pPr>
            <w:r>
              <w:rPr/>
              <w:t xml:space="preserve">  </w:t>
            </w:r>
          </w:p>
        </w:tc>
        <w:tc>
          <w:tcPr>
            <w:tcW w:w="350" w:type="dxa"/>
            <w:tcBorders/>
            <w:shd w:fill="auto" w:val="clear"/>
            <w:vAlign w:val="center"/>
          </w:tcPr>
          <w:p>
            <w:pPr>
              <w:pStyle w:val="TableContents"/>
              <w:spacing w:before="0" w:after="0"/>
              <w:ind w:left="0" w:right="0" w:hanging="0"/>
              <w:rPr/>
            </w:pPr>
            <w:r>
              <w:rPr/>
              <w:t xml:space="preserve">  </w:t>
            </w:r>
          </w:p>
        </w:tc>
        <w:tc>
          <w:tcPr>
            <w:tcW w:w="60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c>
          <w:tcPr>
            <w:tcW w:w="608"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81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71"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4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323</w:t>
            </w:r>
          </w:p>
        </w:tc>
        <w:tc>
          <w:tcPr>
            <w:tcW w:w="204"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7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23"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323</w:t>
            </w:r>
          </w:p>
        </w:tc>
        <w:tc>
          <w:tcPr>
            <w:tcW w:w="272" w:type="dxa"/>
            <w:tcBorders/>
            <w:shd w:fill="auto" w:val="clear"/>
            <w:vAlign w:val="center"/>
          </w:tcPr>
          <w:p>
            <w:pPr>
              <w:pStyle w:val="TableContents"/>
              <w:spacing w:before="0" w:after="0"/>
              <w:ind w:left="0" w:right="0" w:hanging="0"/>
              <w:rPr/>
            </w:pPr>
            <w:r>
              <w:rPr/>
              <w:t xml:space="preserve">  </w:t>
            </w:r>
          </w:p>
        </w:tc>
      </w:tr>
      <w:tr>
        <w:trPr/>
        <w:tc>
          <w:tcPr>
            <w:tcW w:w="4222"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intangible assets, gross </w:t>
            </w:r>
          </w:p>
        </w:tc>
        <w:tc>
          <w:tcPr>
            <w:tcW w:w="204" w:type="dxa"/>
            <w:tcBorders/>
            <w:shd w:fill="CCEEFF" w:val="clear"/>
            <w:vAlign w:val="center"/>
          </w:tcPr>
          <w:p>
            <w:pPr>
              <w:pStyle w:val="TableContents"/>
              <w:spacing w:before="0" w:after="0"/>
              <w:ind w:left="0" w:right="0" w:hanging="0"/>
              <w:rPr/>
            </w:pPr>
            <w:r>
              <w:rPr/>
              <w:t xml:space="preserve">  </w:t>
            </w:r>
          </w:p>
        </w:tc>
        <w:tc>
          <w:tcPr>
            <w:tcW w:w="350" w:type="dxa"/>
            <w:tcBorders/>
            <w:shd w:fill="CCEEFF" w:val="clear"/>
            <w:vAlign w:val="center"/>
          </w:tcPr>
          <w:p>
            <w:pPr>
              <w:pStyle w:val="TableContents"/>
              <w:spacing w:before="0" w:after="0"/>
              <w:ind w:left="0" w:right="0" w:hanging="0"/>
              <w:rPr/>
            </w:pPr>
            <w:r>
              <w:rPr/>
              <w:t xml:space="preserve">  </w:t>
            </w:r>
          </w:p>
        </w:tc>
        <w:tc>
          <w:tcPr>
            <w:tcW w:w="608" w:type="dxa"/>
            <w:tcBorders/>
            <w:shd w:fill="CCEEFF" w:val="clear"/>
            <w:vAlign w:val="center"/>
          </w:tcPr>
          <w:p>
            <w:pPr>
              <w:pStyle w:val="TableContents"/>
              <w:spacing w:before="0" w:after="0"/>
              <w:ind w:left="0" w:right="0" w:hanging="0"/>
              <w:rPr/>
            </w:pPr>
            <w:r>
              <w:rPr/>
              <w:t xml:space="preserve">  </w:t>
            </w:r>
          </w:p>
        </w:tc>
        <w:tc>
          <w:tcPr>
            <w:tcW w:w="608" w:type="dxa"/>
            <w:tcBorders/>
            <w:shd w:fill="CCEEFF" w:val="clear"/>
            <w:vAlign w:val="center"/>
          </w:tcPr>
          <w:p>
            <w:pPr>
              <w:pStyle w:val="TableContents"/>
              <w:spacing w:before="0" w:after="0"/>
              <w:ind w:left="0" w:right="0" w:hanging="0"/>
              <w:rPr/>
            </w:pPr>
            <w:r>
              <w:rPr/>
              <w:t xml:space="preserve">  </w:t>
            </w:r>
          </w:p>
        </w:tc>
        <w:tc>
          <w:tcPr>
            <w:tcW w:w="819" w:type="dxa"/>
            <w:tcBorders/>
            <w:shd w:fill="CCEEFF" w:val="clear"/>
            <w:vAlign w:val="center"/>
          </w:tcPr>
          <w:p>
            <w:pPr>
              <w:pStyle w:val="TableContents"/>
              <w:spacing w:before="0" w:after="0"/>
              <w:ind w:left="0" w:right="0" w:hanging="0"/>
              <w:jc w:val="right"/>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271" w:type="dxa"/>
            <w:tcBorders/>
            <w:shd w:fill="CCEEFF" w:val="clear"/>
            <w:vAlign w:val="center"/>
          </w:tcPr>
          <w:p>
            <w:pPr>
              <w:pStyle w:val="TableContents"/>
              <w:spacing w:before="0" w:after="0"/>
              <w:ind w:left="0" w:right="0" w:hanging="0"/>
              <w:rPr/>
            </w:pPr>
            <w:r>
              <w:rPr/>
              <w:t xml:space="preserve">  </w:t>
            </w:r>
          </w:p>
        </w:tc>
        <w:tc>
          <w:tcPr>
            <w:tcW w:w="84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10,912</w:t>
            </w:r>
          </w:p>
        </w:tc>
        <w:tc>
          <w:tcPr>
            <w:tcW w:w="204"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72" w:type="dxa"/>
            <w:tcBorders/>
            <w:shd w:fill="CCEEFF" w:val="clear"/>
            <w:vAlign w:val="center"/>
          </w:tcPr>
          <w:p>
            <w:pPr>
              <w:pStyle w:val="TableContents"/>
              <w:spacing w:before="0" w:after="0"/>
              <w:ind w:left="0" w:right="0" w:hanging="0"/>
              <w:rPr/>
            </w:pPr>
            <w:r>
              <w:rPr/>
              <w:t xml:space="preserve">  </w:t>
            </w:r>
          </w:p>
        </w:tc>
        <w:tc>
          <w:tcPr>
            <w:tcW w:w="92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37,412</w:t>
            </w:r>
          </w:p>
        </w:tc>
        <w:tc>
          <w:tcPr>
            <w:tcW w:w="272" w:type="dxa"/>
            <w:tcBorders/>
            <w:shd w:fill="CCEEFF" w:val="clear"/>
            <w:vAlign w:val="center"/>
          </w:tcPr>
          <w:p>
            <w:pPr>
              <w:pStyle w:val="TableContents"/>
              <w:spacing w:before="0" w:after="0"/>
              <w:ind w:left="0" w:right="0" w:hanging="0"/>
              <w:rPr/>
            </w:pPr>
            <w:r>
              <w:rPr/>
              <w:t xml:space="preserve">  </w:t>
            </w:r>
          </w:p>
        </w:tc>
      </w:tr>
      <w:tr>
        <w:trPr/>
        <w:tc>
          <w:tcPr>
            <w:tcW w:w="422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Accumulated amortization </w:t>
            </w:r>
          </w:p>
        </w:tc>
        <w:tc>
          <w:tcPr>
            <w:tcW w:w="204" w:type="dxa"/>
            <w:tcBorders/>
            <w:shd w:fill="auto" w:val="clear"/>
            <w:vAlign w:val="center"/>
          </w:tcPr>
          <w:p>
            <w:pPr>
              <w:pStyle w:val="TableContents"/>
              <w:spacing w:before="0" w:after="0"/>
              <w:ind w:left="0" w:right="0" w:hanging="0"/>
              <w:rPr/>
            </w:pPr>
            <w:r>
              <w:rPr/>
              <w:t xml:space="preserve">  </w:t>
            </w:r>
          </w:p>
        </w:tc>
        <w:tc>
          <w:tcPr>
            <w:tcW w:w="350" w:type="dxa"/>
            <w:tcBorders/>
            <w:shd w:fill="auto" w:val="clear"/>
            <w:vAlign w:val="center"/>
          </w:tcPr>
          <w:p>
            <w:pPr>
              <w:pStyle w:val="TableContents"/>
              <w:spacing w:before="0" w:after="0"/>
              <w:ind w:left="0" w:right="0" w:hanging="0"/>
              <w:rPr/>
            </w:pPr>
            <w:r>
              <w:rPr/>
              <w:t xml:space="preserve">  </w:t>
            </w:r>
          </w:p>
        </w:tc>
        <w:tc>
          <w:tcPr>
            <w:tcW w:w="608" w:type="dxa"/>
            <w:tcBorders/>
            <w:shd w:fill="auto" w:val="clear"/>
            <w:vAlign w:val="center"/>
          </w:tcPr>
          <w:p>
            <w:pPr>
              <w:pStyle w:val="TableContents"/>
              <w:spacing w:before="0" w:after="0"/>
              <w:ind w:left="0" w:right="0" w:hanging="0"/>
              <w:rPr/>
            </w:pPr>
            <w:r>
              <w:rPr/>
              <w:t xml:space="preserve">  </w:t>
            </w:r>
          </w:p>
        </w:tc>
        <w:tc>
          <w:tcPr>
            <w:tcW w:w="608" w:type="dxa"/>
            <w:tcBorders/>
            <w:shd w:fill="auto" w:val="clear"/>
            <w:vAlign w:val="center"/>
          </w:tcPr>
          <w:p>
            <w:pPr>
              <w:pStyle w:val="TableContents"/>
              <w:spacing w:before="0" w:after="0"/>
              <w:ind w:left="0" w:right="0" w:hanging="0"/>
              <w:rPr/>
            </w:pPr>
            <w:r>
              <w:rPr/>
              <w:t xml:space="preserve">  </w:t>
            </w:r>
          </w:p>
        </w:tc>
        <w:tc>
          <w:tcPr>
            <w:tcW w:w="819" w:type="dxa"/>
            <w:tcBorders/>
            <w:shd w:fill="auto" w:val="clear"/>
            <w:vAlign w:val="center"/>
          </w:tcPr>
          <w:p>
            <w:pPr>
              <w:pStyle w:val="TableContents"/>
              <w:spacing w:before="0" w:after="0"/>
              <w:ind w:left="0" w:right="0" w:hanging="0"/>
              <w:rPr/>
            </w:pPr>
            <w:r>
              <w:rPr/>
              <w:t xml:space="preserve">  </w:t>
            </w:r>
          </w:p>
        </w:tc>
        <w:tc>
          <w:tcPr>
            <w:tcW w:w="203" w:type="dxa"/>
            <w:tcBorders/>
            <w:shd w:fill="auto" w:val="clear"/>
            <w:vAlign w:val="center"/>
          </w:tcPr>
          <w:p>
            <w:pPr>
              <w:pStyle w:val="TableContents"/>
              <w:spacing w:before="0" w:after="0"/>
              <w:ind w:left="0" w:right="0" w:hanging="0"/>
              <w:rPr/>
            </w:pPr>
            <w:r>
              <w:rPr/>
              <w:t xml:space="preserve">  </w:t>
            </w:r>
          </w:p>
        </w:tc>
        <w:tc>
          <w:tcPr>
            <w:tcW w:w="204" w:type="dxa"/>
            <w:tcBorders/>
            <w:shd w:fill="auto" w:val="clear"/>
            <w:vAlign w:val="center"/>
          </w:tcPr>
          <w:p>
            <w:pPr>
              <w:pStyle w:val="TableContents"/>
              <w:spacing w:before="0" w:after="0"/>
              <w:ind w:left="0" w:right="0" w:hanging="0"/>
              <w:rPr/>
            </w:pPr>
            <w:r>
              <w:rPr/>
              <w:t xml:space="preserve">  </w:t>
            </w:r>
          </w:p>
        </w:tc>
        <w:tc>
          <w:tcPr>
            <w:tcW w:w="271"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4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(8,841</w:t>
            </w:r>
          </w:p>
        </w:tc>
        <w:tc>
          <w:tcPr>
            <w:tcW w:w="204" w:type="dxa"/>
            <w:tcBorders/>
            <w:shd w:fill="auto" w:val="clear"/>
            <w:vAlign w:val="center"/>
          </w:tcPr>
          <w:p>
            <w:pPr>
              <w:pStyle w:val="TableContents"/>
              <w:spacing w:before="0" w:after="283"/>
              <w:rPr/>
            </w:pPr>
            <w:r>
              <w:rPr/>
              <w:t>)</w:t>
            </w:r>
          </w:p>
        </w:tc>
        <w:tc>
          <w:tcPr>
            <w:tcW w:w="203" w:type="dxa"/>
            <w:tcBorders/>
            <w:shd w:fill="auto" w:val="clear"/>
            <w:vAlign w:val="center"/>
          </w:tcPr>
          <w:p>
            <w:pPr>
              <w:pStyle w:val="TableContents"/>
              <w:spacing w:before="0" w:after="0"/>
              <w:ind w:left="0" w:right="0" w:hanging="0"/>
              <w:rPr/>
            </w:pPr>
            <w:r>
              <w:rPr/>
              <w:t xml:space="preserve">  </w:t>
            </w:r>
          </w:p>
        </w:tc>
        <w:tc>
          <w:tcPr>
            <w:tcW w:w="27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23"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(12,326</w:t>
            </w:r>
          </w:p>
        </w:tc>
        <w:tc>
          <w:tcPr>
            <w:tcW w:w="272" w:type="dxa"/>
            <w:tcBorders/>
            <w:shd w:fill="auto" w:val="clear"/>
            <w:vAlign w:val="bottom"/>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4222"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Total intangible assets, net </w:t>
            </w:r>
          </w:p>
        </w:tc>
        <w:tc>
          <w:tcPr>
            <w:tcW w:w="204" w:type="dxa"/>
            <w:tcBorders/>
            <w:shd w:fill="CCEEFF" w:val="clear"/>
            <w:vAlign w:val="center"/>
          </w:tcPr>
          <w:p>
            <w:pPr>
              <w:pStyle w:val="TableContents"/>
              <w:spacing w:before="0" w:after="0"/>
              <w:ind w:left="0" w:right="0" w:hanging="0"/>
              <w:rPr/>
            </w:pPr>
            <w:r>
              <w:rPr/>
              <w:t xml:space="preserve">  </w:t>
            </w:r>
          </w:p>
        </w:tc>
        <w:tc>
          <w:tcPr>
            <w:tcW w:w="350" w:type="dxa"/>
            <w:tcBorders/>
            <w:shd w:fill="CCEEFF" w:val="clear"/>
            <w:vAlign w:val="center"/>
          </w:tcPr>
          <w:p>
            <w:pPr>
              <w:pStyle w:val="TableContents"/>
              <w:spacing w:before="0" w:after="0"/>
              <w:ind w:left="0" w:right="0" w:hanging="0"/>
              <w:rPr/>
            </w:pPr>
            <w:r>
              <w:rPr/>
              <w:t xml:space="preserve">  </w:t>
            </w:r>
          </w:p>
        </w:tc>
        <w:tc>
          <w:tcPr>
            <w:tcW w:w="608" w:type="dxa"/>
            <w:tcBorders/>
            <w:shd w:fill="CCEEFF" w:val="clear"/>
            <w:vAlign w:val="center"/>
          </w:tcPr>
          <w:p>
            <w:pPr>
              <w:pStyle w:val="TableContents"/>
              <w:spacing w:before="0" w:after="0"/>
              <w:ind w:left="0" w:right="0" w:hanging="0"/>
              <w:rPr/>
            </w:pPr>
            <w:r>
              <w:rPr/>
              <w:t xml:space="preserve">  </w:t>
            </w:r>
          </w:p>
        </w:tc>
        <w:tc>
          <w:tcPr>
            <w:tcW w:w="608" w:type="dxa"/>
            <w:tcBorders/>
            <w:shd w:fill="CCEEFF" w:val="clear"/>
            <w:vAlign w:val="center"/>
          </w:tcPr>
          <w:p>
            <w:pPr>
              <w:pStyle w:val="TableContents"/>
              <w:spacing w:before="0" w:after="0"/>
              <w:ind w:left="0" w:right="0" w:hanging="0"/>
              <w:rPr/>
            </w:pPr>
            <w:r>
              <w:rPr/>
              <w:t xml:space="preserve">  </w:t>
            </w:r>
          </w:p>
        </w:tc>
        <w:tc>
          <w:tcPr>
            <w:tcW w:w="819"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04" w:type="dxa"/>
            <w:tcBorders/>
            <w:shd w:fill="CCEEFF" w:val="clear"/>
            <w:vAlign w:val="center"/>
          </w:tcPr>
          <w:p>
            <w:pPr>
              <w:pStyle w:val="TableContents"/>
              <w:spacing w:before="0" w:after="0"/>
              <w:ind w:left="0" w:right="0" w:hanging="0"/>
              <w:rPr/>
            </w:pPr>
            <w:r>
              <w:rPr/>
              <w:t xml:space="preserve">  </w:t>
            </w:r>
          </w:p>
        </w:tc>
        <w:tc>
          <w:tcPr>
            <w:tcW w:w="27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4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2,071</w:t>
            </w:r>
          </w:p>
        </w:tc>
        <w:tc>
          <w:tcPr>
            <w:tcW w:w="204" w:type="dxa"/>
            <w:tcBorders/>
            <w:shd w:fill="CCEEFF" w:val="clear"/>
            <w:vAlign w:val="center"/>
          </w:tcPr>
          <w:p>
            <w:pPr>
              <w:pStyle w:val="TableContents"/>
              <w:spacing w:before="0" w:after="0"/>
              <w:ind w:left="0" w:right="0" w:hanging="0"/>
              <w:rPr/>
            </w:pPr>
            <w:r>
              <w:rPr/>
              <w:t xml:space="preserve">  </w:t>
            </w:r>
          </w:p>
        </w:tc>
        <w:tc>
          <w:tcPr>
            <w:tcW w:w="203" w:type="dxa"/>
            <w:tcBorders/>
            <w:shd w:fill="CCEEFF" w:val="clear"/>
            <w:vAlign w:val="center"/>
          </w:tcPr>
          <w:p>
            <w:pPr>
              <w:pStyle w:val="TableContents"/>
              <w:spacing w:before="0" w:after="0"/>
              <w:ind w:left="0" w:right="0" w:hanging="0"/>
              <w:rPr/>
            </w:pPr>
            <w:r>
              <w:rPr/>
              <w:t xml:space="preserve">  </w:t>
            </w:r>
          </w:p>
        </w:tc>
        <w:tc>
          <w:tcPr>
            <w:tcW w:w="27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2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25,086</w:t>
            </w:r>
          </w:p>
        </w:tc>
        <w:tc>
          <w:tcPr>
            <w:tcW w:w="272" w:type="dxa"/>
            <w:tcBorders/>
            <w:shd w:fill="CCEEFF" w:val="cle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Patents and technological know-how as of December 31, 2021 include capitalized legal expenses, net of amortization of $22,637 related to our defense of patents from infringement by our competitors. Legal expenses were capitalized upon satisfaction of two conditions: (a) a determination being made that a successful defense of this litigation is probable, and (b) that the monetary benefits arising out of such successful defense will be in excess of the costs for the defense. </w:t>
      </w:r>
      <w:r>
        <w:rPr>
          <w:rFonts w:ascii="Times New Roman" w:hAnsi="Times New Roman"/>
          <w:color w:val="000000"/>
          <w:sz w:val="20"/>
        </w:rPr>
        <w:t>The Company capitalized $737 and $7,836 of litigation expenses related to this matter during the twelve months ended December 31, 2022 and 2021, respectively. A gain of $33,623 was recognized and included under other income after deducting the entire capitalized legal costs amounting to $27,374 net of amortized costs of $5,997 from the one-time legal settlement amount of $55,000, which is included in the balance sheet under legal settlement receivable as of December 31, 2022. </w:t>
      </w:r>
      <w:r>
        <w:rPr>
          <w:rFonts w:ascii="Times New Roman" w:hAnsi="Times New Roman"/>
          <w:sz w:val="20"/>
        </w:rPr>
        <w:t xml:space="preserve">Please refer to </w:t>
      </w:r>
      <w:r>
        <w:rPr>
          <w:rFonts w:ascii="Times New Roman" w:hAnsi="Times New Roman"/>
          <w:sz w:val="20"/>
          <w:u w:val="single"/>
        </w:rPr>
        <w:t>Note 8 - Commitments and Contingencies </w:t>
      </w:r>
      <w:r>
        <w:rPr>
          <w:rFonts w:ascii="Times New Roman" w:hAnsi="Times New Roman"/>
          <w:sz w:val="20"/>
        </w:rPr>
        <w:t>for additional information.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During the years ended December 31, 2022 and 2021, amortization of these intangible assets were$2,512</w:t>
      </w:r>
      <w:r>
        <w:rPr>
          <w:rFonts w:ascii="times new roman;times" w:hAnsi="times new roman;times"/>
          <w:sz w:val="20"/>
        </w:rPr>
        <w:t xml:space="preserve"> </w:t>
      </w:r>
      <w:r>
        <w:rPr>
          <w:rFonts w:ascii="Times New Roman" w:hAnsi="Times New Roman"/>
          <w:sz w:val="20"/>
        </w:rPr>
        <w:t>and $2,288</w:t>
      </w:r>
      <w:r>
        <w:rPr>
          <w:rFonts w:ascii="times new roman;times" w:hAnsi="times new roman;times"/>
          <w:sz w:val="20"/>
        </w:rPr>
        <w:t xml:space="preserve"> </w:t>
      </w:r>
      <w:r>
        <w:rPr>
          <w:rFonts w:ascii="Times New Roman" w:hAnsi="Times New Roman"/>
          <w:sz w:val="20"/>
        </w:rPr>
        <w:t>respectively.</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The estimated future amortization expense of intangible assets is as follows:</w:t>
      </w:r>
    </w:p>
    <w:p>
      <w:pPr>
        <w:pStyle w:val="TextBody"/>
        <w:spacing w:before="0" w:after="0"/>
        <w:ind w:left="0" w:right="0" w:hanging="0"/>
        <w:rPr/>
      </w:pPr>
      <w:r>
        <w:rPr/>
        <w:t> </w:t>
      </w:r>
    </w:p>
    <w:tbl>
      <w:tblPr>
        <w:tblW w:w="4250" w:type="pct"/>
        <w:jc w:val="left"/>
        <w:tblInd w:w="0" w:type="dxa"/>
        <w:tblCellMar>
          <w:top w:w="0" w:type="dxa"/>
          <w:left w:w="0" w:type="dxa"/>
          <w:bottom w:w="0" w:type="dxa"/>
          <w:right w:w="0" w:type="dxa"/>
        </w:tblCellMar>
      </w:tblPr>
      <w:tblGrid>
        <w:gridCol w:w="5862"/>
        <w:gridCol w:w="398"/>
        <w:gridCol w:w="530"/>
        <w:gridCol w:w="1366"/>
        <w:gridCol w:w="518"/>
      </w:tblGrid>
      <w:tr>
        <w:trPr/>
        <w:tc>
          <w:tcPr>
            <w:tcW w:w="5862" w:type="dxa"/>
            <w:tcBorders/>
            <w:shd w:fill="auto" w:val="clear"/>
            <w:vAlign w:val="center"/>
          </w:tcPr>
          <w:p>
            <w:pPr>
              <w:pStyle w:val="TableContents"/>
              <w:spacing w:before="0" w:after="0"/>
              <w:ind w:left="0" w:right="0" w:hanging="0"/>
              <w:rPr>
                <w:rFonts w:ascii="Times New Roman" w:hAnsi="Times New Roman"/>
                <w:b/>
                <w:sz w:val="18"/>
                <w:u w:val="single"/>
              </w:rPr>
            </w:pPr>
            <w:r>
              <w:rPr>
                <w:rFonts w:ascii="Times New Roman" w:hAnsi="Times New Roman"/>
                <w:b/>
                <w:sz w:val="18"/>
                <w:u w:val="single"/>
              </w:rPr>
              <w:t xml:space="preserve">Years ending December 31, </w:t>
            </w:r>
          </w:p>
        </w:tc>
        <w:tc>
          <w:tcPr>
            <w:tcW w:w="398" w:type="dxa"/>
            <w:tcBorders/>
            <w:shd w:fill="auto" w:val="clear"/>
            <w:vAlign w:val="center"/>
          </w:tcPr>
          <w:p>
            <w:pPr>
              <w:pStyle w:val="TableContents"/>
              <w:spacing w:before="0" w:after="0"/>
              <w:ind w:left="0" w:right="0" w:hanging="0"/>
              <w:rPr/>
            </w:pPr>
            <w:r>
              <w:rPr/>
              <w:t xml:space="preserve">  </w:t>
            </w:r>
          </w:p>
        </w:tc>
        <w:tc>
          <w:tcPr>
            <w:tcW w:w="530" w:type="dxa"/>
            <w:tcBorders/>
            <w:shd w:fill="auto" w:val="clear"/>
            <w:vAlign w:val="center"/>
          </w:tcPr>
          <w:p>
            <w:pPr>
              <w:pStyle w:val="TableContents"/>
              <w:spacing w:before="0" w:after="0"/>
              <w:ind w:left="0" w:right="0" w:hanging="0"/>
              <w:rPr/>
            </w:pPr>
            <w:r>
              <w:rPr/>
              <w:t xml:space="preserve">  </w:t>
            </w:r>
          </w:p>
        </w:tc>
        <w:tc>
          <w:tcPr>
            <w:tcW w:w="1366" w:type="dxa"/>
            <w:tcBorders/>
            <w:shd w:fill="auto" w:val="clear"/>
            <w:vAlign w:val="center"/>
          </w:tcPr>
          <w:p>
            <w:pPr>
              <w:pStyle w:val="TableContents"/>
              <w:spacing w:before="0" w:after="0"/>
              <w:ind w:left="0" w:right="0" w:hanging="0"/>
              <w:rPr/>
            </w:pPr>
            <w:r>
              <w:rPr/>
              <w:t xml:space="preserve">  </w:t>
            </w:r>
          </w:p>
        </w:tc>
        <w:tc>
          <w:tcPr>
            <w:tcW w:w="518" w:type="dxa"/>
            <w:tcBorders/>
            <w:shd w:fill="auto" w:val="clear"/>
            <w:vAlign w:val="center"/>
          </w:tcPr>
          <w:p>
            <w:pPr>
              <w:pStyle w:val="TableContents"/>
              <w:spacing w:before="0" w:after="0"/>
              <w:ind w:left="0" w:right="0" w:hanging="0"/>
              <w:rPr/>
            </w:pPr>
            <w:r>
              <w:rPr/>
              <w:t xml:space="preserve">  </w:t>
            </w:r>
          </w:p>
        </w:tc>
      </w:tr>
      <w:tr>
        <w:trPr/>
        <w:tc>
          <w:tcPr>
            <w:tcW w:w="58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2022</w:t>
            </w:r>
          </w:p>
        </w:tc>
        <w:tc>
          <w:tcPr>
            <w:tcW w:w="398" w:type="dxa"/>
            <w:tcBorders/>
            <w:shd w:fill="CCEEFF" w:val="clear"/>
            <w:vAlign w:val="center"/>
          </w:tcPr>
          <w:p>
            <w:pPr>
              <w:pStyle w:val="TableContents"/>
              <w:spacing w:before="0" w:after="0"/>
              <w:ind w:left="0" w:right="0" w:hanging="0"/>
              <w:rPr/>
            </w:pPr>
            <w:r>
              <w:rPr/>
              <w:t xml:space="preserve">  </w:t>
            </w:r>
          </w:p>
        </w:tc>
        <w:tc>
          <w:tcPr>
            <w:tcW w:w="53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6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512</w:t>
            </w:r>
          </w:p>
        </w:tc>
        <w:tc>
          <w:tcPr>
            <w:tcW w:w="518" w:type="dxa"/>
            <w:tcBorders/>
            <w:shd w:fill="CCEEFF" w:val="clear"/>
            <w:vAlign w:val="center"/>
          </w:tcPr>
          <w:p>
            <w:pPr>
              <w:pStyle w:val="TableContents"/>
              <w:spacing w:before="0" w:after="0"/>
              <w:ind w:left="0" w:right="0" w:hanging="0"/>
              <w:rPr/>
            </w:pPr>
            <w:r>
              <w:rPr/>
              <w:t xml:space="preserve">  </w:t>
            </w:r>
          </w:p>
        </w:tc>
      </w:tr>
      <w:tr>
        <w:trPr/>
        <w:tc>
          <w:tcPr>
            <w:tcW w:w="58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2023</w:t>
            </w:r>
          </w:p>
        </w:tc>
        <w:tc>
          <w:tcPr>
            <w:tcW w:w="398" w:type="dxa"/>
            <w:tcBorders/>
            <w:shd w:fill="auto" w:val="clear"/>
            <w:vAlign w:val="center"/>
          </w:tcPr>
          <w:p>
            <w:pPr>
              <w:pStyle w:val="TableContents"/>
              <w:spacing w:before="0" w:after="0"/>
              <w:ind w:left="0" w:right="0" w:hanging="0"/>
              <w:rPr/>
            </w:pPr>
            <w:r>
              <w:rPr/>
              <w:t xml:space="preserve">  </w:t>
            </w:r>
          </w:p>
        </w:tc>
        <w:tc>
          <w:tcPr>
            <w:tcW w:w="530" w:type="dxa"/>
            <w:tcBorders/>
            <w:shd w:fill="auto" w:val="clear"/>
            <w:vAlign w:val="center"/>
          </w:tcPr>
          <w:p>
            <w:pPr>
              <w:pStyle w:val="TableContents"/>
              <w:spacing w:before="0" w:after="0"/>
              <w:ind w:left="0" w:right="0" w:hanging="0"/>
              <w:rPr/>
            </w:pPr>
            <w:r>
              <w:rPr/>
              <w:t xml:space="preserve">  </w:t>
            </w:r>
          </w:p>
        </w:tc>
        <w:tc>
          <w:tcPr>
            <w:tcW w:w="136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249</w:t>
            </w:r>
          </w:p>
        </w:tc>
        <w:tc>
          <w:tcPr>
            <w:tcW w:w="518" w:type="dxa"/>
            <w:tcBorders/>
            <w:shd w:fill="auto" w:val="clear"/>
            <w:vAlign w:val="center"/>
          </w:tcPr>
          <w:p>
            <w:pPr>
              <w:pStyle w:val="TableContents"/>
              <w:spacing w:before="0" w:after="0"/>
              <w:ind w:left="0" w:right="0" w:hanging="0"/>
              <w:rPr/>
            </w:pPr>
            <w:r>
              <w:rPr/>
              <w:t xml:space="preserve">  </w:t>
            </w:r>
          </w:p>
        </w:tc>
      </w:tr>
      <w:tr>
        <w:trPr/>
        <w:tc>
          <w:tcPr>
            <w:tcW w:w="58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2024</w:t>
            </w:r>
          </w:p>
        </w:tc>
        <w:tc>
          <w:tcPr>
            <w:tcW w:w="398" w:type="dxa"/>
            <w:tcBorders/>
            <w:shd w:fill="CCEEFF" w:val="clear"/>
            <w:vAlign w:val="center"/>
          </w:tcPr>
          <w:p>
            <w:pPr>
              <w:pStyle w:val="TableContents"/>
              <w:spacing w:before="0" w:after="0"/>
              <w:ind w:left="0" w:right="0" w:hanging="0"/>
              <w:rPr/>
            </w:pPr>
            <w:r>
              <w:rPr/>
              <w:t xml:space="preserve">  </w:t>
            </w:r>
          </w:p>
        </w:tc>
        <w:tc>
          <w:tcPr>
            <w:tcW w:w="530" w:type="dxa"/>
            <w:tcBorders/>
            <w:shd w:fill="CCEEFF" w:val="clear"/>
            <w:vAlign w:val="center"/>
          </w:tcPr>
          <w:p>
            <w:pPr>
              <w:pStyle w:val="TableContents"/>
              <w:spacing w:before="0" w:after="0"/>
              <w:ind w:left="0" w:right="0" w:hanging="0"/>
              <w:rPr/>
            </w:pPr>
            <w:r>
              <w:rPr/>
              <w:t xml:space="preserve">  </w:t>
            </w:r>
          </w:p>
        </w:tc>
        <w:tc>
          <w:tcPr>
            <w:tcW w:w="136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188</w:t>
            </w:r>
          </w:p>
        </w:tc>
        <w:tc>
          <w:tcPr>
            <w:tcW w:w="518" w:type="dxa"/>
            <w:tcBorders/>
            <w:shd w:fill="CCEEFF" w:val="clear"/>
            <w:vAlign w:val="center"/>
          </w:tcPr>
          <w:p>
            <w:pPr>
              <w:pStyle w:val="TableContents"/>
              <w:spacing w:before="0" w:after="0"/>
              <w:ind w:left="0" w:right="0" w:hanging="0"/>
              <w:rPr/>
            </w:pPr>
            <w:r>
              <w:rPr/>
              <w:t xml:space="preserve">  </w:t>
            </w:r>
          </w:p>
        </w:tc>
      </w:tr>
      <w:tr>
        <w:trPr/>
        <w:tc>
          <w:tcPr>
            <w:tcW w:w="58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2025</w:t>
            </w:r>
          </w:p>
        </w:tc>
        <w:tc>
          <w:tcPr>
            <w:tcW w:w="398" w:type="dxa"/>
            <w:tcBorders/>
            <w:shd w:fill="auto" w:val="clear"/>
            <w:vAlign w:val="center"/>
          </w:tcPr>
          <w:p>
            <w:pPr>
              <w:pStyle w:val="TableContents"/>
              <w:spacing w:before="0" w:after="0"/>
              <w:ind w:left="0" w:right="0" w:hanging="0"/>
              <w:rPr/>
            </w:pPr>
            <w:r>
              <w:rPr/>
              <w:t xml:space="preserve">  </w:t>
            </w:r>
          </w:p>
        </w:tc>
        <w:tc>
          <w:tcPr>
            <w:tcW w:w="530" w:type="dxa"/>
            <w:tcBorders/>
            <w:shd w:fill="auto" w:val="clear"/>
            <w:vAlign w:val="center"/>
          </w:tcPr>
          <w:p>
            <w:pPr>
              <w:pStyle w:val="TableContents"/>
              <w:spacing w:before="0" w:after="0"/>
              <w:ind w:left="0" w:right="0" w:hanging="0"/>
              <w:rPr/>
            </w:pPr>
            <w:r>
              <w:rPr/>
              <w:t xml:space="preserve">  </w:t>
            </w:r>
          </w:p>
        </w:tc>
        <w:tc>
          <w:tcPr>
            <w:tcW w:w="136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187</w:t>
            </w:r>
          </w:p>
        </w:tc>
        <w:tc>
          <w:tcPr>
            <w:tcW w:w="518" w:type="dxa"/>
            <w:tcBorders/>
            <w:shd w:fill="auto" w:val="clear"/>
            <w:vAlign w:val="center"/>
          </w:tcPr>
          <w:p>
            <w:pPr>
              <w:pStyle w:val="TableContents"/>
              <w:spacing w:before="0" w:after="0"/>
              <w:ind w:left="0" w:right="0" w:hanging="0"/>
              <w:rPr/>
            </w:pPr>
            <w:r>
              <w:rPr/>
              <w:t xml:space="preserve">  </w:t>
            </w:r>
          </w:p>
        </w:tc>
      </w:tr>
      <w:tr>
        <w:trPr/>
        <w:tc>
          <w:tcPr>
            <w:tcW w:w="58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2026</w:t>
            </w:r>
          </w:p>
        </w:tc>
        <w:tc>
          <w:tcPr>
            <w:tcW w:w="398" w:type="dxa"/>
            <w:tcBorders/>
            <w:shd w:fill="CCEEFF" w:val="clear"/>
            <w:vAlign w:val="center"/>
          </w:tcPr>
          <w:p>
            <w:pPr>
              <w:pStyle w:val="TableContents"/>
              <w:spacing w:before="0" w:after="0"/>
              <w:ind w:left="0" w:right="0" w:hanging="0"/>
              <w:rPr/>
            </w:pPr>
            <w:r>
              <w:rPr/>
              <w:t xml:space="preserve">  </w:t>
            </w:r>
          </w:p>
        </w:tc>
        <w:tc>
          <w:tcPr>
            <w:tcW w:w="530" w:type="dxa"/>
            <w:tcBorders/>
            <w:shd w:fill="CCEEFF" w:val="clear"/>
            <w:vAlign w:val="center"/>
          </w:tcPr>
          <w:p>
            <w:pPr>
              <w:pStyle w:val="TableContents"/>
              <w:spacing w:before="0" w:after="0"/>
              <w:ind w:left="0" w:right="0" w:hanging="0"/>
              <w:rPr/>
            </w:pPr>
            <w:r>
              <w:rPr/>
              <w:t xml:space="preserve">  </w:t>
            </w:r>
          </w:p>
        </w:tc>
        <w:tc>
          <w:tcPr>
            <w:tcW w:w="136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57</w:t>
            </w:r>
          </w:p>
        </w:tc>
        <w:tc>
          <w:tcPr>
            <w:tcW w:w="518" w:type="dxa"/>
            <w:tcBorders/>
            <w:shd w:fill="CCEEFF" w:val="clear"/>
            <w:vAlign w:val="center"/>
          </w:tcPr>
          <w:p>
            <w:pPr>
              <w:pStyle w:val="TableContents"/>
              <w:spacing w:before="0" w:after="0"/>
              <w:ind w:left="0" w:right="0" w:hanging="0"/>
              <w:rPr/>
            </w:pPr>
            <w:r>
              <w:rPr/>
              <w:t xml:space="preserve">  </w:t>
            </w:r>
          </w:p>
        </w:tc>
      </w:tr>
      <w:tr>
        <w:trPr/>
        <w:tc>
          <w:tcPr>
            <w:tcW w:w="586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Thereafter </w:t>
            </w:r>
          </w:p>
        </w:tc>
        <w:tc>
          <w:tcPr>
            <w:tcW w:w="398" w:type="dxa"/>
            <w:tcBorders/>
            <w:shd w:fill="auto" w:val="clear"/>
            <w:vAlign w:val="center"/>
          </w:tcPr>
          <w:p>
            <w:pPr>
              <w:pStyle w:val="TableContents"/>
              <w:spacing w:before="0" w:after="0"/>
              <w:ind w:left="0" w:right="0" w:hanging="0"/>
              <w:rPr/>
            </w:pPr>
            <w:r>
              <w:rPr/>
              <w:t xml:space="preserve">  </w:t>
            </w:r>
          </w:p>
        </w:tc>
        <w:tc>
          <w:tcPr>
            <w:tcW w:w="530"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366"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878</w:t>
            </w:r>
          </w:p>
        </w:tc>
        <w:tc>
          <w:tcPr>
            <w:tcW w:w="518" w:type="dxa"/>
            <w:tcBorders/>
            <w:shd w:fill="auto" w:val="clear"/>
            <w:vAlign w:val="center"/>
          </w:tcPr>
          <w:p>
            <w:pPr>
              <w:pStyle w:val="TableContents"/>
              <w:spacing w:before="0" w:after="0"/>
              <w:ind w:left="0" w:right="0" w:hanging="0"/>
              <w:rPr/>
            </w:pPr>
            <w:r>
              <w:rPr/>
              <w:t xml:space="preserve">  </w:t>
            </w:r>
          </w:p>
        </w:tc>
      </w:tr>
      <w:tr>
        <w:trPr/>
        <w:tc>
          <w:tcPr>
            <w:tcW w:w="58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398" w:type="dxa"/>
            <w:tcBorders/>
            <w:shd w:fill="CCEEFF" w:val="clear"/>
            <w:vAlign w:val="center"/>
          </w:tcPr>
          <w:p>
            <w:pPr>
              <w:pStyle w:val="TableContents"/>
              <w:spacing w:before="0" w:after="0"/>
              <w:ind w:left="0" w:right="0" w:hanging="0"/>
              <w:rPr/>
            </w:pPr>
            <w:r>
              <w:rPr/>
              <w:t xml:space="preserve">  </w:t>
            </w:r>
          </w:p>
        </w:tc>
        <w:tc>
          <w:tcPr>
            <w:tcW w:w="5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3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2,071</w:t>
            </w:r>
          </w:p>
        </w:tc>
        <w:tc>
          <w:tcPr>
            <w:tcW w:w="518"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144" w:right="144"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F-15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4</w:t>
      </w:r>
      <w:r>
        <w:rPr>
          <w:rFonts w:ascii="Times New Roman" w:hAnsi="Times New Roman"/>
          <w:b/>
          <w:sz w:val="20"/>
        </w:rPr>
        <w:t>. Inventories</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Inventories, net of reserves, consisted of the following:</w:t>
      </w:r>
    </w:p>
    <w:p>
      <w:pPr>
        <w:pStyle w:val="TextBody"/>
        <w:spacing w:lineRule="auto" w:line="240" w:before="0" w:after="0"/>
        <w:ind w:left="0" w:right="0" w:hanging="0"/>
        <w:rPr/>
      </w:pPr>
      <w:r>
        <w:rPr/>
        <w:t> </w:t>
      </w:r>
    </w:p>
    <w:tbl>
      <w:tblPr>
        <w:tblW w:w="4250" w:type="pct"/>
        <w:jc w:val="left"/>
        <w:tblInd w:w="0" w:type="dxa"/>
        <w:tblCellMar>
          <w:top w:w="0" w:type="dxa"/>
          <w:left w:w="0" w:type="dxa"/>
          <w:bottom w:w="0" w:type="dxa"/>
          <w:right w:w="0" w:type="dxa"/>
        </w:tblCellMar>
      </w:tblPr>
      <w:tblGrid>
        <w:gridCol w:w="3325"/>
        <w:gridCol w:w="368"/>
        <w:gridCol w:w="490"/>
        <w:gridCol w:w="1264"/>
        <w:gridCol w:w="368"/>
        <w:gridCol w:w="368"/>
        <w:gridCol w:w="491"/>
        <w:gridCol w:w="1521"/>
        <w:gridCol w:w="479"/>
      </w:tblGrid>
      <w:tr>
        <w:trPr/>
        <w:tc>
          <w:tcPr>
            <w:tcW w:w="3325"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4502"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As of December 31,</w:t>
            </w:r>
          </w:p>
        </w:tc>
        <w:tc>
          <w:tcPr>
            <w:tcW w:w="479" w:type="dxa"/>
            <w:tcBorders/>
            <w:shd w:fill="auto" w:val="clear"/>
            <w:vAlign w:val="center"/>
          </w:tcPr>
          <w:p>
            <w:pPr>
              <w:pStyle w:val="TableContents"/>
              <w:spacing w:before="0" w:after="0"/>
              <w:ind w:left="0" w:right="0" w:hanging="0"/>
              <w:rPr/>
            </w:pPr>
            <w:r>
              <w:rPr/>
              <w:t xml:space="preserve">  </w:t>
            </w:r>
          </w:p>
        </w:tc>
      </w:tr>
      <w:tr>
        <w:trPr/>
        <w:tc>
          <w:tcPr>
            <w:tcW w:w="3325"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1754"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368"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201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479" w:type="dxa"/>
            <w:tcBorders/>
            <w:shd w:fill="auto" w:val="clear"/>
            <w:vAlign w:val="center"/>
          </w:tcPr>
          <w:p>
            <w:pPr>
              <w:pStyle w:val="TableContents"/>
              <w:spacing w:before="0" w:after="0"/>
              <w:ind w:left="0" w:right="0" w:hanging="0"/>
              <w:rPr/>
            </w:pPr>
            <w:r>
              <w:rPr/>
              <w:t xml:space="preserve">  </w:t>
            </w:r>
          </w:p>
        </w:tc>
      </w:tr>
      <w:tr>
        <w:trPr/>
        <w:tc>
          <w:tcPr>
            <w:tcW w:w="332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w:t>
            </w:r>
          </w:p>
        </w:tc>
        <w:tc>
          <w:tcPr>
            <w:tcW w:w="368" w:type="dxa"/>
            <w:tcBorders/>
            <w:shd w:fill="CCEEFF" w:val="clear"/>
            <w:vAlign w:val="center"/>
          </w:tcPr>
          <w:p>
            <w:pPr>
              <w:pStyle w:val="TableContents"/>
              <w:spacing w:before="0" w:after="0"/>
              <w:ind w:left="0" w:right="0" w:hanging="0"/>
              <w:rPr/>
            </w:pPr>
            <w:r>
              <w:rPr/>
              <w:t xml:space="preserve">  </w:t>
            </w:r>
          </w:p>
        </w:tc>
        <w:tc>
          <w:tcPr>
            <w:tcW w:w="490" w:type="dxa"/>
            <w:tcBorders/>
            <w:shd w:fill="CCEEFF" w:val="clear"/>
            <w:vAlign w:val="center"/>
          </w:tcPr>
          <w:p>
            <w:pPr>
              <w:pStyle w:val="TableContents"/>
              <w:spacing w:before="0" w:after="0"/>
              <w:ind w:left="0" w:right="0" w:hanging="0"/>
              <w:rPr/>
            </w:pPr>
            <w:r>
              <w:rPr/>
              <w:t xml:space="preserve">  </w:t>
            </w:r>
          </w:p>
        </w:tc>
        <w:tc>
          <w:tcPr>
            <w:tcW w:w="1264" w:type="dxa"/>
            <w:tcBorders/>
            <w:shd w:fill="CCEEFF" w:val="clear"/>
            <w:vAlign w:val="center"/>
          </w:tcPr>
          <w:p>
            <w:pPr>
              <w:pStyle w:val="TableContents"/>
              <w:spacing w:before="0" w:after="0"/>
              <w:ind w:left="0" w:right="0" w:hanging="0"/>
              <w:rPr/>
            </w:pPr>
            <w:r>
              <w:rPr/>
              <w:t xml:space="preserve">  </w:t>
            </w:r>
          </w:p>
        </w:tc>
        <w:tc>
          <w:tcPr>
            <w:tcW w:w="368" w:type="dxa"/>
            <w:tcBorders/>
            <w:shd w:fill="CCEEFF" w:val="clear"/>
            <w:vAlign w:val="center"/>
          </w:tcPr>
          <w:p>
            <w:pPr>
              <w:pStyle w:val="TableContents"/>
              <w:spacing w:before="0" w:after="0"/>
              <w:ind w:left="0" w:right="0" w:hanging="0"/>
              <w:rPr/>
            </w:pPr>
            <w:r>
              <w:rPr/>
              <w:t xml:space="preserve">  </w:t>
            </w:r>
          </w:p>
        </w:tc>
        <w:tc>
          <w:tcPr>
            <w:tcW w:w="368" w:type="dxa"/>
            <w:tcBorders/>
            <w:shd w:fill="CCEEFF" w:val="clear"/>
            <w:vAlign w:val="center"/>
          </w:tcPr>
          <w:p>
            <w:pPr>
              <w:pStyle w:val="TableContents"/>
              <w:spacing w:before="0" w:after="0"/>
              <w:ind w:left="0" w:right="0" w:hanging="0"/>
              <w:rPr/>
            </w:pPr>
            <w:r>
              <w:rPr/>
              <w:t xml:space="preserve">  </w:t>
            </w:r>
          </w:p>
        </w:tc>
        <w:tc>
          <w:tcPr>
            <w:tcW w:w="491" w:type="dxa"/>
            <w:tcBorders/>
            <w:shd w:fill="CCEEFF" w:val="clear"/>
            <w:vAlign w:val="center"/>
          </w:tcPr>
          <w:p>
            <w:pPr>
              <w:pStyle w:val="TableContents"/>
              <w:spacing w:before="0" w:after="0"/>
              <w:ind w:left="0" w:right="0" w:hanging="0"/>
              <w:rPr/>
            </w:pPr>
            <w:r>
              <w:rPr/>
              <w:t xml:space="preserve">  </w:t>
            </w:r>
          </w:p>
        </w:tc>
        <w:tc>
          <w:tcPr>
            <w:tcW w:w="1521" w:type="dxa"/>
            <w:tcBorders/>
            <w:shd w:fill="CCEEFF" w:val="clear"/>
            <w:vAlign w:val="center"/>
          </w:tcPr>
          <w:p>
            <w:pPr>
              <w:pStyle w:val="TableContents"/>
              <w:spacing w:before="0" w:after="0"/>
              <w:ind w:left="0" w:right="0" w:hanging="0"/>
              <w:rPr/>
            </w:pPr>
            <w:r>
              <w:rPr/>
              <w:t xml:space="preserve">  </w:t>
            </w:r>
          </w:p>
        </w:tc>
        <w:tc>
          <w:tcPr>
            <w:tcW w:w="479" w:type="dxa"/>
            <w:tcBorders/>
            <w:shd w:fill="CCEEFF" w:val="clear"/>
            <w:vAlign w:val="center"/>
          </w:tcPr>
          <w:p>
            <w:pPr>
              <w:pStyle w:val="TableContents"/>
              <w:spacing w:before="0" w:after="0"/>
              <w:ind w:left="0" w:right="0" w:hanging="0"/>
              <w:rPr/>
            </w:pPr>
            <w:r>
              <w:rPr/>
              <w:t xml:space="preserve">  </w:t>
            </w:r>
          </w:p>
        </w:tc>
      </w:tr>
      <w:tr>
        <w:trPr/>
        <w:tc>
          <w:tcPr>
            <w:tcW w:w="3325"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Raw materials </w:t>
            </w:r>
          </w:p>
        </w:tc>
        <w:tc>
          <w:tcPr>
            <w:tcW w:w="368" w:type="dxa"/>
            <w:tcBorders/>
            <w:shd w:fill="auto" w:val="clear"/>
            <w:vAlign w:val="center"/>
          </w:tcPr>
          <w:p>
            <w:pPr>
              <w:pStyle w:val="TableContents"/>
              <w:spacing w:before="0" w:after="0"/>
              <w:ind w:left="0" w:right="0" w:hanging="0"/>
              <w:rPr/>
            </w:pPr>
            <w:r>
              <w:rPr/>
              <w:t xml:space="preserve">  </w:t>
            </w:r>
          </w:p>
        </w:tc>
        <w:tc>
          <w:tcPr>
            <w:tcW w:w="49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6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4,499</w:t>
            </w:r>
          </w:p>
        </w:tc>
        <w:tc>
          <w:tcPr>
            <w:tcW w:w="368"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49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52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4,085</w:t>
            </w:r>
          </w:p>
        </w:tc>
        <w:tc>
          <w:tcPr>
            <w:tcW w:w="479" w:type="dxa"/>
            <w:tcBorders/>
            <w:shd w:fill="auto" w:val="clear"/>
            <w:vAlign w:val="center"/>
          </w:tcPr>
          <w:p>
            <w:pPr>
              <w:pStyle w:val="TableContents"/>
              <w:spacing w:before="0" w:after="0"/>
              <w:ind w:left="0" w:right="0" w:hanging="0"/>
              <w:rPr/>
            </w:pPr>
            <w:r>
              <w:rPr/>
              <w:t xml:space="preserve">  </w:t>
            </w:r>
          </w:p>
        </w:tc>
      </w:tr>
      <w:tr>
        <w:trPr/>
        <w:tc>
          <w:tcPr>
            <w:tcW w:w="3325" w:type="dxa"/>
            <w:tcBorders/>
            <w:shd w:fill="CCEEFF"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Finished goods </w:t>
            </w:r>
          </w:p>
        </w:tc>
        <w:tc>
          <w:tcPr>
            <w:tcW w:w="368" w:type="dxa"/>
            <w:tcBorders/>
            <w:shd w:fill="CCEEFF" w:val="clear"/>
            <w:vAlign w:val="center"/>
          </w:tcPr>
          <w:p>
            <w:pPr>
              <w:pStyle w:val="TableContents"/>
              <w:spacing w:before="0" w:after="0"/>
              <w:ind w:left="0" w:right="0" w:hanging="0"/>
              <w:rPr/>
            </w:pPr>
            <w:r>
              <w:rPr/>
              <w:t xml:space="preserve">  </w:t>
            </w:r>
          </w:p>
        </w:tc>
        <w:tc>
          <w:tcPr>
            <w:tcW w:w="490"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264"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4,462</w:t>
            </w:r>
          </w:p>
        </w:tc>
        <w:tc>
          <w:tcPr>
            <w:tcW w:w="368" w:type="dxa"/>
            <w:tcBorders/>
            <w:shd w:fill="CCEEFF" w:val="clear"/>
            <w:vAlign w:val="center"/>
          </w:tcPr>
          <w:p>
            <w:pPr>
              <w:pStyle w:val="TableContents"/>
              <w:spacing w:before="0" w:after="0"/>
              <w:ind w:left="0" w:right="0" w:hanging="0"/>
              <w:rPr/>
            </w:pPr>
            <w:r>
              <w:rPr/>
              <w:t xml:space="preserve">  </w:t>
            </w:r>
          </w:p>
        </w:tc>
        <w:tc>
          <w:tcPr>
            <w:tcW w:w="368" w:type="dxa"/>
            <w:tcBorders/>
            <w:shd w:fill="CCEEFF" w:val="clear"/>
            <w:vAlign w:val="center"/>
          </w:tcPr>
          <w:p>
            <w:pPr>
              <w:pStyle w:val="TableContents"/>
              <w:spacing w:before="0" w:after="0"/>
              <w:ind w:left="0" w:right="0" w:hanging="0"/>
              <w:rPr/>
            </w:pPr>
            <w:r>
              <w:rPr/>
              <w:t xml:space="preserve">  </w:t>
            </w:r>
          </w:p>
        </w:tc>
        <w:tc>
          <w:tcPr>
            <w:tcW w:w="491"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521"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5,948</w:t>
            </w:r>
          </w:p>
        </w:tc>
        <w:tc>
          <w:tcPr>
            <w:tcW w:w="479" w:type="dxa"/>
            <w:tcBorders/>
            <w:shd w:fill="CCEEFF" w:val="clear"/>
            <w:vAlign w:val="center"/>
          </w:tcPr>
          <w:p>
            <w:pPr>
              <w:pStyle w:val="TableContents"/>
              <w:spacing w:before="0" w:after="0"/>
              <w:ind w:left="0" w:right="0" w:hanging="0"/>
              <w:rPr/>
            </w:pPr>
            <w:r>
              <w:rPr/>
              <w:t xml:space="preserve">  </w:t>
            </w:r>
          </w:p>
        </w:tc>
      </w:tr>
      <w:tr>
        <w:trPr/>
        <w:tc>
          <w:tcPr>
            <w:tcW w:w="3325"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Total </w:t>
            </w:r>
          </w:p>
        </w:tc>
        <w:tc>
          <w:tcPr>
            <w:tcW w:w="368" w:type="dxa"/>
            <w:tcBorders/>
            <w:shd w:fill="auto" w:val="clear"/>
            <w:vAlign w:val="center"/>
          </w:tcPr>
          <w:p>
            <w:pPr>
              <w:pStyle w:val="TableContents"/>
              <w:spacing w:before="0" w:after="0"/>
              <w:ind w:left="0" w:right="0" w:hanging="0"/>
              <w:rPr/>
            </w:pPr>
            <w:r>
              <w:rPr/>
              <w:t xml:space="preserve">  </w:t>
            </w:r>
          </w:p>
        </w:tc>
        <w:tc>
          <w:tcPr>
            <w:tcW w:w="49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6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8,961</w:t>
            </w:r>
          </w:p>
        </w:tc>
        <w:tc>
          <w:tcPr>
            <w:tcW w:w="368"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49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5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10,033</w:t>
            </w:r>
          </w:p>
        </w:tc>
        <w:tc>
          <w:tcPr>
            <w:tcW w:w="479" w:type="dxa"/>
            <w:tcBorders/>
            <w:shd w:fill="auto" w:val="clear"/>
            <w:vAlign w:val="center"/>
          </w:tcPr>
          <w:p>
            <w:pPr>
              <w:pStyle w:val="TableContents"/>
              <w:spacing w:before="0" w:after="0"/>
              <w:ind w:left="0" w:right="0" w:hanging="0"/>
              <w:rPr/>
            </w:pPr>
            <w:r>
              <w:rPr/>
              <w:t xml:space="preserve">  </w:t>
            </w:r>
          </w:p>
        </w:tc>
      </w:tr>
      <w:tr>
        <w:trPr/>
        <w:tc>
          <w:tcPr>
            <w:tcW w:w="332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Long-term: </w:t>
            </w:r>
          </w:p>
        </w:tc>
        <w:tc>
          <w:tcPr>
            <w:tcW w:w="368" w:type="dxa"/>
            <w:tcBorders/>
            <w:shd w:fill="CCEEFF" w:val="clear"/>
            <w:vAlign w:val="center"/>
          </w:tcPr>
          <w:p>
            <w:pPr>
              <w:pStyle w:val="TableContents"/>
              <w:spacing w:before="0" w:after="0"/>
              <w:ind w:left="0" w:right="0" w:hanging="0"/>
              <w:rPr/>
            </w:pPr>
            <w:r>
              <w:rPr/>
              <w:t xml:space="preserve">  </w:t>
            </w:r>
          </w:p>
        </w:tc>
        <w:tc>
          <w:tcPr>
            <w:tcW w:w="490" w:type="dxa"/>
            <w:tcBorders/>
            <w:shd w:fill="CCEEFF" w:val="clear"/>
            <w:vAlign w:val="center"/>
          </w:tcPr>
          <w:p>
            <w:pPr>
              <w:pStyle w:val="TableContents"/>
              <w:spacing w:before="0" w:after="0"/>
              <w:ind w:left="0" w:right="0" w:hanging="0"/>
              <w:rPr/>
            </w:pPr>
            <w:r>
              <w:rPr/>
              <w:t xml:space="preserve">  </w:t>
            </w:r>
          </w:p>
        </w:tc>
        <w:tc>
          <w:tcPr>
            <w:tcW w:w="1264" w:type="dxa"/>
            <w:tcBorders/>
            <w:shd w:fill="CCEEFF" w:val="clear"/>
            <w:vAlign w:val="center"/>
          </w:tcPr>
          <w:p>
            <w:pPr>
              <w:pStyle w:val="TableContents"/>
              <w:spacing w:before="0" w:after="0"/>
              <w:ind w:left="0" w:right="0" w:hanging="0"/>
              <w:rPr/>
            </w:pPr>
            <w:r>
              <w:rPr/>
              <w:t xml:space="preserve">  </w:t>
            </w:r>
          </w:p>
        </w:tc>
        <w:tc>
          <w:tcPr>
            <w:tcW w:w="368" w:type="dxa"/>
            <w:tcBorders/>
            <w:shd w:fill="CCEEFF" w:val="clear"/>
            <w:vAlign w:val="center"/>
          </w:tcPr>
          <w:p>
            <w:pPr>
              <w:pStyle w:val="TableContents"/>
              <w:spacing w:before="0" w:after="0"/>
              <w:ind w:left="0" w:right="0" w:hanging="0"/>
              <w:rPr/>
            </w:pPr>
            <w:r>
              <w:rPr/>
              <w:t xml:space="preserve">  </w:t>
            </w:r>
          </w:p>
        </w:tc>
        <w:tc>
          <w:tcPr>
            <w:tcW w:w="368" w:type="dxa"/>
            <w:tcBorders/>
            <w:shd w:fill="CCEEFF" w:val="clear"/>
            <w:vAlign w:val="center"/>
          </w:tcPr>
          <w:p>
            <w:pPr>
              <w:pStyle w:val="TableContents"/>
              <w:spacing w:before="0" w:after="0"/>
              <w:ind w:left="0" w:right="0" w:hanging="0"/>
              <w:rPr/>
            </w:pPr>
            <w:r>
              <w:rPr/>
              <w:t xml:space="preserve">  </w:t>
            </w:r>
          </w:p>
        </w:tc>
        <w:tc>
          <w:tcPr>
            <w:tcW w:w="491" w:type="dxa"/>
            <w:tcBorders/>
            <w:shd w:fill="CCEEFF" w:val="clear"/>
            <w:vAlign w:val="center"/>
          </w:tcPr>
          <w:p>
            <w:pPr>
              <w:pStyle w:val="TableContents"/>
              <w:spacing w:before="0" w:after="0"/>
              <w:ind w:left="0" w:right="0" w:hanging="0"/>
              <w:rPr/>
            </w:pPr>
            <w:r>
              <w:rPr/>
              <w:t xml:space="preserve">  </w:t>
            </w:r>
          </w:p>
        </w:tc>
        <w:tc>
          <w:tcPr>
            <w:tcW w:w="1521" w:type="dxa"/>
            <w:tcBorders/>
            <w:shd w:fill="CCEEFF" w:val="clear"/>
            <w:vAlign w:val="center"/>
          </w:tcPr>
          <w:p>
            <w:pPr>
              <w:pStyle w:val="TableContents"/>
              <w:spacing w:before="0" w:after="0"/>
              <w:ind w:left="0" w:right="0" w:hanging="0"/>
              <w:rPr/>
            </w:pPr>
            <w:r>
              <w:rPr/>
              <w:t xml:space="preserve">  </w:t>
            </w:r>
          </w:p>
        </w:tc>
        <w:tc>
          <w:tcPr>
            <w:tcW w:w="479" w:type="dxa"/>
            <w:tcBorders/>
            <w:shd w:fill="CCEEFF" w:val="clear"/>
            <w:vAlign w:val="center"/>
          </w:tcPr>
          <w:p>
            <w:pPr>
              <w:pStyle w:val="TableContents"/>
              <w:spacing w:before="0" w:after="0"/>
              <w:ind w:left="0" w:right="0" w:hanging="0"/>
              <w:rPr/>
            </w:pPr>
            <w:r>
              <w:rPr/>
              <w:t xml:space="preserve">  </w:t>
            </w:r>
          </w:p>
        </w:tc>
      </w:tr>
      <w:tr>
        <w:trPr/>
        <w:tc>
          <w:tcPr>
            <w:tcW w:w="3325"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Raw materials </w:t>
            </w:r>
          </w:p>
        </w:tc>
        <w:tc>
          <w:tcPr>
            <w:tcW w:w="368" w:type="dxa"/>
            <w:tcBorders/>
            <w:shd w:fill="auto" w:val="clear"/>
            <w:vAlign w:val="center"/>
          </w:tcPr>
          <w:p>
            <w:pPr>
              <w:pStyle w:val="TableContents"/>
              <w:spacing w:before="0" w:after="0"/>
              <w:ind w:left="0" w:right="0" w:hanging="0"/>
              <w:rPr/>
            </w:pPr>
            <w:r>
              <w:rPr/>
              <w:t xml:space="preserve">  </w:t>
            </w:r>
          </w:p>
        </w:tc>
        <w:tc>
          <w:tcPr>
            <w:tcW w:w="49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6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1,068</w:t>
            </w:r>
          </w:p>
        </w:tc>
        <w:tc>
          <w:tcPr>
            <w:tcW w:w="368"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49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52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1,980</w:t>
            </w:r>
          </w:p>
        </w:tc>
        <w:tc>
          <w:tcPr>
            <w:tcW w:w="479" w:type="dxa"/>
            <w:tcBorders/>
            <w:shd w:fill="auto" w:val="clear"/>
            <w:vAlign w:val="center"/>
          </w:tcPr>
          <w:p>
            <w:pPr>
              <w:pStyle w:val="TableContents"/>
              <w:spacing w:before="0" w:after="0"/>
              <w:ind w:left="0" w:right="0" w:hanging="0"/>
              <w:rPr/>
            </w:pPr>
            <w:r>
              <w:rPr/>
              <w:t xml:space="preserve">  </w:t>
            </w:r>
          </w:p>
        </w:tc>
      </w:tr>
      <w:tr>
        <w:trPr/>
        <w:tc>
          <w:tcPr>
            <w:tcW w:w="3325" w:type="dxa"/>
            <w:tcBorders/>
            <w:shd w:fill="CCEEFF"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Finished goods </w:t>
            </w:r>
          </w:p>
        </w:tc>
        <w:tc>
          <w:tcPr>
            <w:tcW w:w="368" w:type="dxa"/>
            <w:tcBorders/>
            <w:shd w:fill="CCEEFF" w:val="clear"/>
            <w:vAlign w:val="center"/>
          </w:tcPr>
          <w:p>
            <w:pPr>
              <w:pStyle w:val="TableContents"/>
              <w:spacing w:before="0" w:after="0"/>
              <w:ind w:left="0" w:right="0" w:hanging="0"/>
              <w:rPr/>
            </w:pPr>
            <w:r>
              <w:rPr/>
              <w:t xml:space="preserve">  </w:t>
            </w:r>
          </w:p>
        </w:tc>
        <w:tc>
          <w:tcPr>
            <w:tcW w:w="490"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264"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1,639</w:t>
            </w:r>
          </w:p>
        </w:tc>
        <w:tc>
          <w:tcPr>
            <w:tcW w:w="368" w:type="dxa"/>
            <w:tcBorders/>
            <w:shd w:fill="CCEEFF" w:val="clear"/>
            <w:vAlign w:val="center"/>
          </w:tcPr>
          <w:p>
            <w:pPr>
              <w:pStyle w:val="TableContents"/>
              <w:spacing w:before="0" w:after="0"/>
              <w:ind w:left="0" w:right="0" w:hanging="0"/>
              <w:rPr/>
            </w:pPr>
            <w:r>
              <w:rPr/>
              <w:t xml:space="preserve">  </w:t>
            </w:r>
          </w:p>
        </w:tc>
        <w:tc>
          <w:tcPr>
            <w:tcW w:w="368" w:type="dxa"/>
            <w:tcBorders/>
            <w:shd w:fill="CCEEFF" w:val="clear"/>
            <w:vAlign w:val="center"/>
          </w:tcPr>
          <w:p>
            <w:pPr>
              <w:pStyle w:val="TableContents"/>
              <w:spacing w:before="0" w:after="0"/>
              <w:ind w:left="0" w:right="0" w:hanging="0"/>
              <w:rPr/>
            </w:pPr>
            <w:r>
              <w:rPr/>
              <w:t xml:space="preserve">  </w:t>
            </w:r>
          </w:p>
        </w:tc>
        <w:tc>
          <w:tcPr>
            <w:tcW w:w="491"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521"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1,587</w:t>
            </w:r>
          </w:p>
        </w:tc>
        <w:tc>
          <w:tcPr>
            <w:tcW w:w="479" w:type="dxa"/>
            <w:tcBorders/>
            <w:shd w:fill="CCEEFF" w:val="clear"/>
            <w:vAlign w:val="center"/>
          </w:tcPr>
          <w:p>
            <w:pPr>
              <w:pStyle w:val="TableContents"/>
              <w:spacing w:before="0" w:after="0"/>
              <w:ind w:left="0" w:right="0" w:hanging="0"/>
              <w:rPr/>
            </w:pPr>
            <w:r>
              <w:rPr/>
              <w:t xml:space="preserve">  </w:t>
            </w:r>
          </w:p>
        </w:tc>
      </w:tr>
      <w:tr>
        <w:trPr/>
        <w:tc>
          <w:tcPr>
            <w:tcW w:w="3325" w:type="dxa"/>
            <w:tcBorders/>
            <w:shd w:fill="auto" w:val="clear"/>
            <w:vAlign w:val="center"/>
          </w:tcPr>
          <w:p>
            <w:pPr>
              <w:pStyle w:val="TableContents"/>
              <w:spacing w:before="0" w:after="0"/>
              <w:ind w:left="360" w:right="0" w:hanging="0"/>
              <w:rPr>
                <w:rFonts w:ascii="Times New Roman" w:hAnsi="Times New Roman"/>
                <w:sz w:val="20"/>
              </w:rPr>
            </w:pPr>
            <w:r>
              <w:rPr>
                <w:rFonts w:ascii="Times New Roman" w:hAnsi="Times New Roman"/>
                <w:sz w:val="20"/>
              </w:rPr>
              <w:t xml:space="preserve">Total </w:t>
            </w:r>
          </w:p>
        </w:tc>
        <w:tc>
          <w:tcPr>
            <w:tcW w:w="368" w:type="dxa"/>
            <w:tcBorders/>
            <w:shd w:fill="auto" w:val="clear"/>
            <w:vAlign w:val="center"/>
          </w:tcPr>
          <w:p>
            <w:pPr>
              <w:pStyle w:val="TableContents"/>
              <w:spacing w:before="0" w:after="0"/>
              <w:ind w:left="0" w:right="0" w:hanging="0"/>
              <w:rPr/>
            </w:pPr>
            <w:r>
              <w:rPr/>
              <w:t xml:space="preserve">  </w:t>
            </w:r>
          </w:p>
        </w:tc>
        <w:tc>
          <w:tcPr>
            <w:tcW w:w="49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26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2,707</w:t>
            </w:r>
          </w:p>
        </w:tc>
        <w:tc>
          <w:tcPr>
            <w:tcW w:w="368" w:type="dxa"/>
            <w:tcBorders/>
            <w:shd w:fill="auto" w:val="clear"/>
            <w:vAlign w:val="center"/>
          </w:tcPr>
          <w:p>
            <w:pPr>
              <w:pStyle w:val="TableContents"/>
              <w:spacing w:before="0" w:after="0"/>
              <w:ind w:left="0" w:right="0" w:hanging="0"/>
              <w:rPr/>
            </w:pPr>
            <w:r>
              <w:rPr/>
              <w:t xml:space="preserve">  </w:t>
            </w:r>
          </w:p>
        </w:tc>
        <w:tc>
          <w:tcPr>
            <w:tcW w:w="368" w:type="dxa"/>
            <w:tcBorders/>
            <w:shd w:fill="auto" w:val="clear"/>
            <w:vAlign w:val="center"/>
          </w:tcPr>
          <w:p>
            <w:pPr>
              <w:pStyle w:val="TableContents"/>
              <w:spacing w:before="0" w:after="0"/>
              <w:ind w:left="0" w:right="0" w:hanging="0"/>
              <w:rPr/>
            </w:pPr>
            <w:r>
              <w:rPr/>
              <w:t xml:space="preserve">  </w:t>
            </w:r>
          </w:p>
        </w:tc>
        <w:tc>
          <w:tcPr>
            <w:tcW w:w="49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5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3,567</w:t>
            </w:r>
          </w:p>
        </w:tc>
        <w:tc>
          <w:tcPr>
            <w:tcW w:w="479" w:type="dxa"/>
            <w:tcBorders/>
            <w:shd w:fill="auto" w:val="cle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losses incurred on valuation of inventory at the lower of cost or market value and write-off of obsolete inventory amounted to $120</w:t>
      </w:r>
      <w:r>
        <w:rPr>
          <w:rFonts w:ascii="times new roman;times" w:hAnsi="times new roman;times"/>
          <w:sz w:val="20"/>
        </w:rPr>
        <w:t xml:space="preserve"> </w:t>
      </w:r>
      <w:r>
        <w:rPr>
          <w:rFonts w:ascii="Times New Roman" w:hAnsi="Times New Roman"/>
          <w:sz w:val="20"/>
        </w:rPr>
        <w:t>and $850</w:t>
      </w:r>
      <w:r>
        <w:rPr>
          <w:rFonts w:ascii="times new roman;times" w:hAnsi="times new roman;times"/>
          <w:sz w:val="20"/>
        </w:rPr>
        <w:t xml:space="preserve"> </w:t>
      </w:r>
      <w:r>
        <w:rPr>
          <w:rFonts w:ascii="Times New Roman" w:hAnsi="Times New Roman"/>
          <w:sz w:val="20"/>
        </w:rPr>
        <w:t>during the years ended December 31, 2022 and 2021, respectively.</w:t>
      </w:r>
    </w:p>
    <w:p>
      <w:pPr>
        <w:pStyle w:val="TextBody"/>
        <w:spacing w:lineRule="auto" w:line="288" w:before="0" w:after="0"/>
        <w:ind w:left="0" w:right="0" w:hanging="0"/>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5. Property and Equipment</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Major classifications of property and equipment and estimated useful lives were as follows:</w:t>
      </w:r>
    </w:p>
    <w:p>
      <w:pPr>
        <w:pStyle w:val="TextBody"/>
        <w:spacing w:lineRule="auto" w:line="240" w:before="0" w:after="0"/>
        <w:ind w:left="0" w:right="0" w:hanging="0"/>
        <w:rPr/>
      </w:pPr>
      <w:r>
        <w:rPr/>
        <w:t> </w:t>
      </w:r>
    </w:p>
    <w:tbl>
      <w:tblPr>
        <w:tblW w:w="4500" w:type="pct"/>
        <w:jc w:val="left"/>
        <w:tblInd w:w="0" w:type="dxa"/>
        <w:tblCellMar>
          <w:top w:w="0" w:type="dxa"/>
          <w:left w:w="0" w:type="dxa"/>
          <w:bottom w:w="0" w:type="dxa"/>
          <w:right w:w="0" w:type="dxa"/>
        </w:tblCellMar>
      </w:tblPr>
      <w:tblGrid>
        <w:gridCol w:w="4317"/>
        <w:gridCol w:w="176"/>
        <w:gridCol w:w="322"/>
        <w:gridCol w:w="334"/>
        <w:gridCol w:w="655"/>
        <w:gridCol w:w="752"/>
        <w:gridCol w:w="176"/>
        <w:gridCol w:w="235"/>
        <w:gridCol w:w="604"/>
        <w:gridCol w:w="246"/>
        <w:gridCol w:w="176"/>
        <w:gridCol w:w="235"/>
        <w:gridCol w:w="727"/>
        <w:gridCol w:w="229"/>
      </w:tblGrid>
      <w:tr>
        <w:trPr/>
        <w:tc>
          <w:tcPr>
            <w:tcW w:w="4317" w:type="dxa"/>
            <w:tcBorders/>
            <w:shd w:fill="auto" w:val="clear"/>
            <w:vAlign w:val="cente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0"/>
              <w:ind w:left="0" w:right="0" w:hanging="0"/>
              <w:rPr/>
            </w:pPr>
            <w:r>
              <w:rPr/>
              <w:t xml:space="preserve">  </w:t>
            </w:r>
          </w:p>
        </w:tc>
        <w:tc>
          <w:tcPr>
            <w:tcW w:w="2063" w:type="dxa"/>
            <w:gridSpan w:val="4"/>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Estimated useful lives </w:t>
            </w:r>
          </w:p>
        </w:tc>
        <w:tc>
          <w:tcPr>
            <w:tcW w:w="176" w:type="dxa"/>
            <w:tcBorders/>
            <w:shd w:fill="auto" w:val="clear"/>
            <w:vAlign w:val="center"/>
          </w:tcPr>
          <w:p>
            <w:pPr>
              <w:pStyle w:val="TableContents"/>
              <w:spacing w:before="0" w:after="0"/>
              <w:ind w:left="0" w:right="0" w:hanging="0"/>
              <w:rPr/>
            </w:pPr>
            <w:r>
              <w:rPr/>
              <w:t xml:space="preserve">  </w:t>
            </w:r>
          </w:p>
        </w:tc>
        <w:tc>
          <w:tcPr>
            <w:tcW w:w="2223"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As of December 31,</w:t>
            </w:r>
          </w:p>
        </w:tc>
        <w:tc>
          <w:tcPr>
            <w:tcW w:w="229" w:type="dxa"/>
            <w:tcBorders/>
            <w:shd w:fill="auto" w:val="clear"/>
            <w:vAlign w:val="center"/>
          </w:tcPr>
          <w:p>
            <w:pPr>
              <w:pStyle w:val="TableContents"/>
              <w:spacing w:before="0" w:after="0"/>
              <w:ind w:left="0" w:right="0" w:hanging="0"/>
              <w:rPr/>
            </w:pPr>
            <w:r>
              <w:rPr/>
              <w:t xml:space="preserve">  </w:t>
            </w:r>
          </w:p>
        </w:tc>
      </w:tr>
      <w:tr>
        <w:trPr/>
        <w:tc>
          <w:tcPr>
            <w:tcW w:w="4317" w:type="dxa"/>
            <w:tcBorders/>
            <w:shd w:fill="auto" w:val="clear"/>
            <w:vAlign w:val="cente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0"/>
              <w:ind w:left="0" w:right="0" w:hanging="0"/>
              <w:rPr/>
            </w:pPr>
            <w:r>
              <w:rPr/>
              <w:t xml:space="preserve">  </w:t>
            </w:r>
          </w:p>
        </w:tc>
        <w:tc>
          <w:tcPr>
            <w:tcW w:w="2063" w:type="dxa"/>
            <w:gridSpan w:val="4"/>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in years </w:t>
            </w:r>
          </w:p>
        </w:tc>
        <w:tc>
          <w:tcPr>
            <w:tcW w:w="176" w:type="dxa"/>
            <w:tcBorders/>
            <w:shd w:fill="auto" w:val="clear"/>
            <w:vAlign w:val="center"/>
          </w:tcPr>
          <w:p>
            <w:pPr>
              <w:pStyle w:val="TableContents"/>
              <w:spacing w:before="0" w:after="0"/>
              <w:ind w:left="0" w:right="0" w:hanging="0"/>
              <w:rPr/>
            </w:pPr>
            <w:r>
              <w:rPr/>
              <w:t xml:space="preserve">  </w:t>
            </w:r>
          </w:p>
        </w:tc>
        <w:tc>
          <w:tcPr>
            <w:tcW w:w="83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246" w:type="dxa"/>
            <w:tcBorders/>
            <w:shd w:fill="auto" w:val="clear"/>
            <w:vAlign w:val="cente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0"/>
              <w:ind w:left="0" w:right="0" w:hanging="0"/>
              <w:rPr/>
            </w:pPr>
            <w:r>
              <w:rPr/>
              <w:t xml:space="preserve">  </w:t>
            </w:r>
          </w:p>
        </w:tc>
        <w:tc>
          <w:tcPr>
            <w:tcW w:w="96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229" w:type="dxa"/>
            <w:tcBorders/>
            <w:shd w:fill="auto" w:val="clear"/>
            <w:vAlign w:val="center"/>
          </w:tcPr>
          <w:p>
            <w:pPr>
              <w:pStyle w:val="TableContents"/>
              <w:spacing w:before="0" w:after="0"/>
              <w:ind w:left="0" w:right="0" w:hanging="0"/>
              <w:rPr/>
            </w:pPr>
            <w:r>
              <w:rPr/>
              <w:t xml:space="preserve">  </w:t>
            </w:r>
          </w:p>
        </w:tc>
      </w:tr>
      <w:tr>
        <w:trPr/>
        <w:tc>
          <w:tcPr>
            <w:tcW w:w="431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Office furniture and equipment </w:t>
            </w:r>
          </w:p>
        </w:tc>
        <w:tc>
          <w:tcPr>
            <w:tcW w:w="176"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33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c>
          <w:tcPr>
            <w:tcW w:w="65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5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10  </w:t>
            </w:r>
          </w:p>
        </w:tc>
        <w:tc>
          <w:tcPr>
            <w:tcW w:w="176" w:type="dxa"/>
            <w:tcBorders/>
            <w:shd w:fill="CCEEFF" w:val="clear"/>
            <w:vAlign w:val="center"/>
          </w:tcPr>
          <w:p>
            <w:pPr>
              <w:pStyle w:val="TableContents"/>
              <w:spacing w:before="0" w:after="0"/>
              <w:ind w:left="0" w:right="0" w:hanging="0"/>
              <w:rPr/>
            </w:pPr>
            <w:r>
              <w:rPr/>
              <w:t xml:space="preserve">  </w:t>
            </w:r>
          </w:p>
        </w:tc>
        <w:tc>
          <w:tcPr>
            <w:tcW w:w="2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0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66</w:t>
            </w:r>
          </w:p>
        </w:tc>
        <w:tc>
          <w:tcPr>
            <w:tcW w:w="246" w:type="dxa"/>
            <w:tcBorders/>
            <w:shd w:fill="CCEEFF" w:val="clear"/>
            <w:vAlign w:val="center"/>
          </w:tcPr>
          <w:p>
            <w:pPr>
              <w:pStyle w:val="TableContents"/>
              <w:spacing w:before="0" w:after="0"/>
              <w:ind w:left="0" w:right="0" w:hanging="0"/>
              <w:rPr/>
            </w:pPr>
            <w:r>
              <w:rPr/>
              <w:t xml:space="preserve">  </w:t>
            </w:r>
          </w:p>
        </w:tc>
        <w:tc>
          <w:tcPr>
            <w:tcW w:w="176" w:type="dxa"/>
            <w:tcBorders/>
            <w:shd w:fill="CCEEFF" w:val="clear"/>
            <w:vAlign w:val="center"/>
          </w:tcPr>
          <w:p>
            <w:pPr>
              <w:pStyle w:val="TableContents"/>
              <w:spacing w:before="0" w:after="0"/>
              <w:ind w:left="0" w:right="0" w:hanging="0"/>
              <w:rPr/>
            </w:pPr>
            <w:r>
              <w:rPr/>
              <w:t xml:space="preserve">  </w:t>
            </w:r>
          </w:p>
        </w:tc>
        <w:tc>
          <w:tcPr>
            <w:tcW w:w="2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2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5,410</w:t>
            </w:r>
          </w:p>
        </w:tc>
        <w:tc>
          <w:tcPr>
            <w:tcW w:w="229" w:type="dxa"/>
            <w:tcBorders/>
            <w:shd w:fill="CCEEFF" w:val="clear"/>
            <w:vAlign w:val="center"/>
          </w:tcPr>
          <w:p>
            <w:pPr>
              <w:pStyle w:val="TableContents"/>
              <w:spacing w:before="0" w:after="0"/>
              <w:ind w:left="0" w:right="0" w:hanging="0"/>
              <w:rPr/>
            </w:pPr>
            <w:r>
              <w:rPr/>
              <w:t xml:space="preserve">  </w:t>
            </w:r>
          </w:p>
        </w:tc>
      </w:tr>
      <w:tr>
        <w:trPr/>
        <w:tc>
          <w:tcPr>
            <w:tcW w:w="431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Leasehold improvements </w:t>
            </w:r>
          </w:p>
        </w:tc>
        <w:tc>
          <w:tcPr>
            <w:tcW w:w="176" w:type="dxa"/>
            <w:tcBorders/>
            <w:shd w:fill="auto" w:val="clear"/>
            <w:vAlign w:val="center"/>
          </w:tcPr>
          <w:p>
            <w:pPr>
              <w:pStyle w:val="TableContents"/>
              <w:spacing w:before="0" w:after="0"/>
              <w:ind w:left="0" w:right="0" w:hanging="0"/>
              <w:rPr/>
            </w:pPr>
            <w:r>
              <w:rPr/>
              <w:t xml:space="preserve">  </w:t>
            </w:r>
          </w:p>
        </w:tc>
        <w:tc>
          <w:tcPr>
            <w:tcW w:w="322" w:type="dxa"/>
            <w:tcBorders/>
            <w:shd w:fill="auto" w:val="clear"/>
            <w:vAlign w:val="center"/>
          </w:tcPr>
          <w:p>
            <w:pPr>
              <w:pStyle w:val="TableContents"/>
              <w:spacing w:before="0" w:after="0"/>
              <w:ind w:left="0" w:right="0" w:hanging="0"/>
              <w:rPr/>
            </w:pPr>
            <w:r>
              <w:rPr/>
              <w:t xml:space="preserve">  </w:t>
            </w:r>
          </w:p>
        </w:tc>
        <w:tc>
          <w:tcPr>
            <w:tcW w:w="33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c>
          <w:tcPr>
            <w:tcW w:w="65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5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7  </w:t>
            </w:r>
          </w:p>
        </w:tc>
        <w:tc>
          <w:tcPr>
            <w:tcW w:w="176" w:type="dxa"/>
            <w:tcBorders/>
            <w:shd w:fill="auto" w:val="clear"/>
            <w:vAlign w:val="center"/>
          </w:tcPr>
          <w:p>
            <w:pPr>
              <w:pStyle w:val="TableContents"/>
              <w:spacing w:before="0" w:after="0"/>
              <w:ind w:left="0" w:right="0" w:hanging="0"/>
              <w:rPr/>
            </w:pPr>
            <w:r>
              <w:rPr/>
              <w:t xml:space="preserve">  </w:t>
            </w:r>
          </w:p>
        </w:tc>
        <w:tc>
          <w:tcPr>
            <w:tcW w:w="235" w:type="dxa"/>
            <w:tcBorders/>
            <w:shd w:fill="auto" w:val="clear"/>
            <w:vAlign w:val="center"/>
          </w:tcPr>
          <w:p>
            <w:pPr>
              <w:pStyle w:val="TableContents"/>
              <w:spacing w:before="0" w:after="0"/>
              <w:ind w:left="0" w:right="0" w:hanging="0"/>
              <w:rPr/>
            </w:pPr>
            <w:r>
              <w:rPr/>
              <w:t xml:space="preserve">  </w:t>
            </w:r>
          </w:p>
        </w:tc>
        <w:tc>
          <w:tcPr>
            <w:tcW w:w="60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121</w:t>
            </w:r>
          </w:p>
        </w:tc>
        <w:tc>
          <w:tcPr>
            <w:tcW w:w="246" w:type="dxa"/>
            <w:tcBorders/>
            <w:shd w:fill="auto" w:val="clear"/>
            <w:vAlign w:val="cente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0"/>
              <w:ind w:left="0" w:right="0" w:hanging="0"/>
              <w:rPr/>
            </w:pPr>
            <w:r>
              <w:rPr/>
              <w:t xml:space="preserve">  </w:t>
            </w:r>
          </w:p>
        </w:tc>
        <w:tc>
          <w:tcPr>
            <w:tcW w:w="235" w:type="dxa"/>
            <w:tcBorders/>
            <w:shd w:fill="auto" w:val="clear"/>
            <w:vAlign w:val="center"/>
          </w:tcPr>
          <w:p>
            <w:pPr>
              <w:pStyle w:val="TableContents"/>
              <w:spacing w:before="0" w:after="0"/>
              <w:ind w:left="0" w:right="0" w:hanging="0"/>
              <w:rPr/>
            </w:pPr>
            <w:r>
              <w:rPr/>
              <w:t xml:space="preserve">  </w:t>
            </w:r>
          </w:p>
        </w:tc>
        <w:tc>
          <w:tcPr>
            <w:tcW w:w="72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1,610</w:t>
            </w:r>
          </w:p>
        </w:tc>
        <w:tc>
          <w:tcPr>
            <w:tcW w:w="229" w:type="dxa"/>
            <w:tcBorders/>
            <w:shd w:fill="auto" w:val="clear"/>
            <w:vAlign w:val="center"/>
          </w:tcPr>
          <w:p>
            <w:pPr>
              <w:pStyle w:val="TableContents"/>
              <w:spacing w:before="0" w:after="0"/>
              <w:ind w:left="0" w:right="0" w:hanging="0"/>
              <w:rPr/>
            </w:pPr>
            <w:r>
              <w:rPr/>
              <w:t xml:space="preserve">  </w:t>
            </w:r>
          </w:p>
        </w:tc>
      </w:tr>
      <w:tr>
        <w:trPr/>
        <w:tc>
          <w:tcPr>
            <w:tcW w:w="431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Vehicles </w:t>
            </w:r>
          </w:p>
        </w:tc>
        <w:tc>
          <w:tcPr>
            <w:tcW w:w="176"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33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w:t>
            </w:r>
          </w:p>
        </w:tc>
        <w:tc>
          <w:tcPr>
            <w:tcW w:w="65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5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10  </w:t>
            </w:r>
          </w:p>
        </w:tc>
        <w:tc>
          <w:tcPr>
            <w:tcW w:w="176" w:type="dxa"/>
            <w:tcBorders/>
            <w:shd w:fill="CCEEFF" w:val="clear"/>
            <w:vAlign w:val="center"/>
          </w:tcPr>
          <w:p>
            <w:pPr>
              <w:pStyle w:val="TableContents"/>
              <w:spacing w:before="0" w:after="0"/>
              <w:ind w:left="0" w:right="0" w:hanging="0"/>
              <w:rPr/>
            </w:pPr>
            <w:r>
              <w:rPr/>
              <w:t xml:space="preserve">  </w:t>
            </w:r>
          </w:p>
        </w:tc>
        <w:tc>
          <w:tcPr>
            <w:tcW w:w="235" w:type="dxa"/>
            <w:tcBorders/>
            <w:shd w:fill="CCEEFF" w:val="clear"/>
            <w:vAlign w:val="center"/>
          </w:tcPr>
          <w:p>
            <w:pPr>
              <w:pStyle w:val="TableContents"/>
              <w:spacing w:before="0" w:after="0"/>
              <w:ind w:left="0" w:right="0" w:hanging="0"/>
              <w:rPr/>
            </w:pPr>
            <w:r>
              <w:rPr/>
              <w:t xml:space="preserve">  </w:t>
            </w:r>
          </w:p>
        </w:tc>
        <w:tc>
          <w:tcPr>
            <w:tcW w:w="60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41</w:t>
            </w:r>
          </w:p>
        </w:tc>
        <w:tc>
          <w:tcPr>
            <w:tcW w:w="246" w:type="dxa"/>
            <w:tcBorders/>
            <w:shd w:fill="CCEEFF" w:val="clear"/>
            <w:vAlign w:val="center"/>
          </w:tcPr>
          <w:p>
            <w:pPr>
              <w:pStyle w:val="TableContents"/>
              <w:spacing w:before="0" w:after="0"/>
              <w:ind w:left="0" w:right="0" w:hanging="0"/>
              <w:rPr/>
            </w:pPr>
            <w:r>
              <w:rPr/>
              <w:t xml:space="preserve">   </w:t>
            </w:r>
          </w:p>
        </w:tc>
        <w:tc>
          <w:tcPr>
            <w:tcW w:w="176" w:type="dxa"/>
            <w:tcBorders/>
            <w:shd w:fill="CCEEFF" w:val="clear"/>
            <w:vAlign w:val="center"/>
          </w:tcPr>
          <w:p>
            <w:pPr>
              <w:pStyle w:val="TableContents"/>
              <w:spacing w:before="0" w:after="0"/>
              <w:ind w:left="0" w:right="0" w:hanging="0"/>
              <w:rPr/>
            </w:pPr>
            <w:r>
              <w:rPr/>
              <w:t xml:space="preserve">  </w:t>
            </w:r>
          </w:p>
        </w:tc>
        <w:tc>
          <w:tcPr>
            <w:tcW w:w="235" w:type="dxa"/>
            <w:tcBorders/>
            <w:shd w:fill="CCEEFF" w:val="clear"/>
            <w:vAlign w:val="center"/>
          </w:tcPr>
          <w:p>
            <w:pPr>
              <w:pStyle w:val="TableContents"/>
              <w:spacing w:before="0" w:after="0"/>
              <w:ind w:left="0" w:right="0" w:hanging="0"/>
              <w:rPr/>
            </w:pPr>
            <w:r>
              <w:rPr/>
              <w:t xml:space="preserve">  </w:t>
            </w:r>
          </w:p>
        </w:tc>
        <w:tc>
          <w:tcPr>
            <w:tcW w:w="72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206</w:t>
            </w:r>
          </w:p>
        </w:tc>
        <w:tc>
          <w:tcPr>
            <w:tcW w:w="229" w:type="dxa"/>
            <w:tcBorders/>
            <w:shd w:fill="CCEEFF" w:val="clear"/>
            <w:vAlign w:val="center"/>
          </w:tcPr>
          <w:p>
            <w:pPr>
              <w:pStyle w:val="TableContents"/>
              <w:spacing w:before="0" w:after="0"/>
              <w:ind w:left="0" w:right="0" w:hanging="0"/>
              <w:rPr/>
            </w:pPr>
            <w:r>
              <w:rPr/>
              <w:t xml:space="preserve">  </w:t>
            </w:r>
          </w:p>
        </w:tc>
      </w:tr>
      <w:tr>
        <w:trPr/>
        <w:tc>
          <w:tcPr>
            <w:tcW w:w="431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Manufacturing and test equipment </w:t>
            </w:r>
          </w:p>
        </w:tc>
        <w:tc>
          <w:tcPr>
            <w:tcW w:w="176" w:type="dxa"/>
            <w:tcBorders/>
            <w:shd w:fill="auto" w:val="clear"/>
            <w:vAlign w:val="center"/>
          </w:tcPr>
          <w:p>
            <w:pPr>
              <w:pStyle w:val="TableContents"/>
              <w:spacing w:before="0" w:after="0"/>
              <w:ind w:left="0" w:right="0" w:hanging="0"/>
              <w:rPr/>
            </w:pPr>
            <w:r>
              <w:rPr/>
              <w:t xml:space="preserve">  </w:t>
            </w:r>
          </w:p>
        </w:tc>
        <w:tc>
          <w:tcPr>
            <w:tcW w:w="322" w:type="dxa"/>
            <w:tcBorders/>
            <w:shd w:fill="auto" w:val="clear"/>
            <w:vAlign w:val="center"/>
          </w:tcPr>
          <w:p>
            <w:pPr>
              <w:pStyle w:val="TableContents"/>
              <w:spacing w:before="0" w:after="0"/>
              <w:ind w:left="0" w:right="0" w:hanging="0"/>
              <w:rPr/>
            </w:pPr>
            <w:r>
              <w:rPr/>
              <w:t xml:space="preserve">  </w:t>
            </w:r>
          </w:p>
        </w:tc>
        <w:tc>
          <w:tcPr>
            <w:tcW w:w="334"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c>
          <w:tcPr>
            <w:tcW w:w="655"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to  </w:t>
            </w:r>
          </w:p>
        </w:tc>
        <w:tc>
          <w:tcPr>
            <w:tcW w:w="75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10  </w:t>
            </w:r>
          </w:p>
        </w:tc>
        <w:tc>
          <w:tcPr>
            <w:tcW w:w="176" w:type="dxa"/>
            <w:tcBorders/>
            <w:shd w:fill="auto" w:val="clear"/>
            <w:vAlign w:val="center"/>
          </w:tcPr>
          <w:p>
            <w:pPr>
              <w:pStyle w:val="TableContents"/>
              <w:spacing w:before="0" w:after="0"/>
              <w:ind w:left="0" w:right="0" w:hanging="0"/>
              <w:rPr/>
            </w:pPr>
            <w:r>
              <w:rPr/>
              <w:t xml:space="preserve">  </w:t>
            </w:r>
          </w:p>
        </w:tc>
        <w:tc>
          <w:tcPr>
            <w:tcW w:w="23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604"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1,146</w:t>
            </w:r>
          </w:p>
        </w:tc>
        <w:tc>
          <w:tcPr>
            <w:tcW w:w="246" w:type="dxa"/>
            <w:tcBorders/>
            <w:shd w:fill="auto" w:val="clear"/>
            <w:vAlign w:val="cente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0"/>
              <w:ind w:left="0" w:right="0" w:hanging="0"/>
              <w:rPr/>
            </w:pPr>
            <w:r>
              <w:rPr/>
              <w:t xml:space="preserve">  </w:t>
            </w:r>
          </w:p>
        </w:tc>
        <w:tc>
          <w:tcPr>
            <w:tcW w:w="23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27"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2,846</w:t>
            </w:r>
          </w:p>
        </w:tc>
        <w:tc>
          <w:tcPr>
            <w:tcW w:w="229" w:type="dxa"/>
            <w:tcBorders/>
            <w:shd w:fill="auto" w:val="clear"/>
            <w:vAlign w:val="center"/>
          </w:tcPr>
          <w:p>
            <w:pPr>
              <w:pStyle w:val="TableContents"/>
              <w:spacing w:before="0" w:after="0"/>
              <w:ind w:left="0" w:right="0" w:hanging="0"/>
              <w:rPr/>
            </w:pPr>
            <w:r>
              <w:rPr/>
              <w:t xml:space="preserve">  </w:t>
            </w:r>
          </w:p>
        </w:tc>
      </w:tr>
      <w:tr>
        <w:trPr/>
        <w:tc>
          <w:tcPr>
            <w:tcW w:w="4317" w:type="dxa"/>
            <w:tcBorders/>
            <w:shd w:fill="CCEEFF" w:val="clear"/>
            <w:vAlign w:val="center"/>
          </w:tcPr>
          <w:p>
            <w:pPr>
              <w:pStyle w:val="TableContents"/>
              <w:spacing w:before="0" w:after="0"/>
              <w:ind w:left="0" w:right="0" w:hanging="0"/>
              <w:rPr/>
            </w:pPr>
            <w:r>
              <w:rPr/>
              <w:t xml:space="preserve">  </w:t>
            </w:r>
          </w:p>
        </w:tc>
        <w:tc>
          <w:tcPr>
            <w:tcW w:w="176"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334" w:type="dxa"/>
            <w:tcBorders/>
            <w:shd w:fill="CCEEFF" w:val="clear"/>
            <w:vAlign w:val="center"/>
          </w:tcPr>
          <w:p>
            <w:pPr>
              <w:pStyle w:val="TableContents"/>
              <w:spacing w:before="0" w:after="0"/>
              <w:ind w:left="0" w:right="0" w:hanging="0"/>
              <w:jc w:val="right"/>
              <w:rPr/>
            </w:pPr>
            <w:r>
              <w:rPr/>
              <w:t xml:space="preserve">  </w:t>
            </w:r>
          </w:p>
        </w:tc>
        <w:tc>
          <w:tcPr>
            <w:tcW w:w="655" w:type="dxa"/>
            <w:tcBorders/>
            <w:shd w:fill="CCEEFF" w:val="clear"/>
            <w:vAlign w:val="center"/>
          </w:tcPr>
          <w:p>
            <w:pPr>
              <w:pStyle w:val="TableContents"/>
              <w:spacing w:before="0" w:after="0"/>
              <w:ind w:left="0" w:right="0" w:hanging="0"/>
              <w:rPr/>
            </w:pPr>
            <w:r>
              <w:rPr/>
              <w:t xml:space="preserve">  </w:t>
            </w:r>
          </w:p>
        </w:tc>
        <w:tc>
          <w:tcPr>
            <w:tcW w:w="752" w:type="dxa"/>
            <w:tcBorders/>
            <w:shd w:fill="CCEEFF" w:val="clear"/>
            <w:vAlign w:val="center"/>
          </w:tcPr>
          <w:p>
            <w:pPr>
              <w:pStyle w:val="TableContents"/>
              <w:spacing w:before="0" w:after="0"/>
              <w:ind w:left="0" w:right="0" w:hanging="0"/>
              <w:rPr/>
            </w:pPr>
            <w:r>
              <w:rPr/>
              <w:t xml:space="preserve">  </w:t>
            </w:r>
          </w:p>
        </w:tc>
        <w:tc>
          <w:tcPr>
            <w:tcW w:w="176" w:type="dxa"/>
            <w:tcBorders/>
            <w:shd w:fill="CCEEFF" w:val="clear"/>
            <w:vAlign w:val="center"/>
          </w:tcPr>
          <w:p>
            <w:pPr>
              <w:pStyle w:val="TableContents"/>
              <w:spacing w:before="0" w:after="0"/>
              <w:ind w:left="0" w:right="0" w:hanging="0"/>
              <w:rPr/>
            </w:pPr>
            <w:r>
              <w:rPr/>
              <w:t xml:space="preserve">  </w:t>
            </w:r>
          </w:p>
        </w:tc>
        <w:tc>
          <w:tcPr>
            <w:tcW w:w="235" w:type="dxa"/>
            <w:tcBorders/>
            <w:shd w:fill="CCEEFF" w:val="clear"/>
            <w:vAlign w:val="center"/>
          </w:tcPr>
          <w:p>
            <w:pPr>
              <w:pStyle w:val="TableContents"/>
              <w:spacing w:before="0" w:after="0"/>
              <w:ind w:left="0" w:right="0" w:hanging="0"/>
              <w:rPr/>
            </w:pPr>
            <w:r>
              <w:rPr/>
              <w:t xml:space="preserve">  </w:t>
            </w:r>
          </w:p>
        </w:tc>
        <w:tc>
          <w:tcPr>
            <w:tcW w:w="60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1,374</w:t>
            </w:r>
          </w:p>
        </w:tc>
        <w:tc>
          <w:tcPr>
            <w:tcW w:w="246" w:type="dxa"/>
            <w:tcBorders/>
            <w:shd w:fill="CCEEFF" w:val="clear"/>
            <w:vAlign w:val="center"/>
          </w:tcPr>
          <w:p>
            <w:pPr>
              <w:pStyle w:val="TableContents"/>
              <w:spacing w:before="0" w:after="0"/>
              <w:ind w:left="0" w:right="0" w:hanging="0"/>
              <w:rPr/>
            </w:pPr>
            <w:r>
              <w:rPr/>
              <w:t xml:space="preserve">  </w:t>
            </w:r>
          </w:p>
        </w:tc>
        <w:tc>
          <w:tcPr>
            <w:tcW w:w="176" w:type="dxa"/>
            <w:tcBorders/>
            <w:shd w:fill="CCEEFF" w:val="clear"/>
            <w:vAlign w:val="center"/>
          </w:tcPr>
          <w:p>
            <w:pPr>
              <w:pStyle w:val="TableContents"/>
              <w:spacing w:before="0" w:after="0"/>
              <w:ind w:left="0" w:right="0" w:hanging="0"/>
              <w:rPr/>
            </w:pPr>
            <w:r>
              <w:rPr/>
              <w:t xml:space="preserve">  </w:t>
            </w:r>
          </w:p>
        </w:tc>
        <w:tc>
          <w:tcPr>
            <w:tcW w:w="235" w:type="dxa"/>
            <w:tcBorders/>
            <w:shd w:fill="CCEEFF" w:val="clear"/>
            <w:vAlign w:val="center"/>
          </w:tcPr>
          <w:p>
            <w:pPr>
              <w:pStyle w:val="TableContents"/>
              <w:spacing w:before="0" w:after="0"/>
              <w:ind w:left="0" w:right="0" w:hanging="0"/>
              <w:rPr/>
            </w:pPr>
            <w:r>
              <w:rPr/>
              <w:t xml:space="preserve">  </w:t>
            </w:r>
          </w:p>
        </w:tc>
        <w:tc>
          <w:tcPr>
            <w:tcW w:w="72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10,072</w:t>
            </w:r>
          </w:p>
        </w:tc>
        <w:tc>
          <w:tcPr>
            <w:tcW w:w="229" w:type="dxa"/>
            <w:tcBorders/>
            <w:shd w:fill="CCEEFF" w:val="clear"/>
            <w:vAlign w:val="center"/>
          </w:tcPr>
          <w:p>
            <w:pPr>
              <w:pStyle w:val="TableContents"/>
              <w:spacing w:before="0" w:after="0"/>
              <w:ind w:left="0" w:right="0" w:hanging="0"/>
              <w:rPr/>
            </w:pPr>
            <w:r>
              <w:rPr/>
              <w:t xml:space="preserve">  </w:t>
            </w:r>
          </w:p>
        </w:tc>
      </w:tr>
      <w:tr>
        <w:trPr/>
        <w:tc>
          <w:tcPr>
            <w:tcW w:w="431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Accumulated depreciation and amortization </w:t>
            </w:r>
          </w:p>
        </w:tc>
        <w:tc>
          <w:tcPr>
            <w:tcW w:w="176" w:type="dxa"/>
            <w:tcBorders/>
            <w:shd w:fill="auto" w:val="clear"/>
            <w:vAlign w:val="center"/>
          </w:tcPr>
          <w:p>
            <w:pPr>
              <w:pStyle w:val="TableContents"/>
              <w:spacing w:before="0" w:after="0"/>
              <w:ind w:left="0" w:right="0" w:hanging="0"/>
              <w:rPr/>
            </w:pPr>
            <w:r>
              <w:rPr/>
              <w:t xml:space="preserve">  </w:t>
            </w:r>
          </w:p>
        </w:tc>
        <w:tc>
          <w:tcPr>
            <w:tcW w:w="322" w:type="dxa"/>
            <w:tcBorders/>
            <w:shd w:fill="auto" w:val="clear"/>
            <w:vAlign w:val="center"/>
          </w:tcPr>
          <w:p>
            <w:pPr>
              <w:pStyle w:val="TableContents"/>
              <w:spacing w:before="0" w:after="0"/>
              <w:ind w:left="0" w:right="0" w:hanging="0"/>
              <w:rPr/>
            </w:pPr>
            <w:r>
              <w:rPr/>
              <w:t xml:space="preserve">  </w:t>
            </w:r>
          </w:p>
        </w:tc>
        <w:tc>
          <w:tcPr>
            <w:tcW w:w="334" w:type="dxa"/>
            <w:tcBorders/>
            <w:shd w:fill="auto" w:val="clear"/>
            <w:vAlign w:val="center"/>
          </w:tcPr>
          <w:p>
            <w:pPr>
              <w:pStyle w:val="TableContents"/>
              <w:spacing w:before="0" w:after="0"/>
              <w:ind w:left="0" w:right="0" w:hanging="0"/>
              <w:jc w:val="right"/>
              <w:rPr/>
            </w:pPr>
            <w:r>
              <w:rPr/>
              <w:t xml:space="preserve">  </w:t>
            </w:r>
          </w:p>
        </w:tc>
        <w:tc>
          <w:tcPr>
            <w:tcW w:w="655" w:type="dxa"/>
            <w:tcBorders/>
            <w:shd w:fill="auto" w:val="clear"/>
            <w:vAlign w:val="center"/>
          </w:tcPr>
          <w:p>
            <w:pPr>
              <w:pStyle w:val="TableContents"/>
              <w:spacing w:before="0" w:after="0"/>
              <w:ind w:left="0" w:right="0" w:hanging="0"/>
              <w:rPr/>
            </w:pPr>
            <w:r>
              <w:rPr/>
              <w:t xml:space="preserve">  </w:t>
            </w:r>
          </w:p>
        </w:tc>
        <w:tc>
          <w:tcPr>
            <w:tcW w:w="752" w:type="dxa"/>
            <w:tcBorders/>
            <w:shd w:fill="auto" w:val="clear"/>
            <w:vAlign w:val="cente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0"/>
              <w:ind w:left="0" w:right="0" w:hanging="0"/>
              <w:rPr/>
            </w:pPr>
            <w:r>
              <w:rPr/>
              <w:t xml:space="preserve">  </w:t>
            </w:r>
          </w:p>
        </w:tc>
        <w:tc>
          <w:tcPr>
            <w:tcW w:w="23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604"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(991</w:t>
            </w:r>
          </w:p>
        </w:tc>
        <w:tc>
          <w:tcPr>
            <w:tcW w:w="246" w:type="dxa"/>
            <w:tcBorders/>
            <w:shd w:fill="auto" w:val="clear"/>
            <w:vAlign w:val="center"/>
          </w:tcPr>
          <w:p>
            <w:pPr>
              <w:pStyle w:val="TableContents"/>
              <w:spacing w:before="0" w:after="283"/>
              <w:rPr/>
            </w:pPr>
            <w:r>
              <w:rPr/>
              <w:t>)</w:t>
            </w:r>
          </w:p>
        </w:tc>
        <w:tc>
          <w:tcPr>
            <w:tcW w:w="176" w:type="dxa"/>
            <w:tcBorders/>
            <w:shd w:fill="auto" w:val="clear"/>
            <w:vAlign w:val="center"/>
          </w:tcPr>
          <w:p>
            <w:pPr>
              <w:pStyle w:val="TableContents"/>
              <w:spacing w:before="0" w:after="0"/>
              <w:ind w:left="0" w:right="0" w:hanging="0"/>
              <w:rPr/>
            </w:pPr>
            <w:r>
              <w:rPr/>
              <w:t xml:space="preserve">  </w:t>
            </w:r>
          </w:p>
        </w:tc>
        <w:tc>
          <w:tcPr>
            <w:tcW w:w="23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727"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(9,328</w:t>
            </w:r>
          </w:p>
        </w:tc>
        <w:tc>
          <w:tcPr>
            <w:tcW w:w="229" w:type="dxa"/>
            <w:tcBorders/>
            <w:shd w:fill="auto" w:val="clear"/>
            <w:vAlign w:val="center"/>
          </w:tcPr>
          <w:p>
            <w:pPr>
              <w:pStyle w:val="TableContents"/>
              <w:spacing w:before="0" w:after="283"/>
              <w:rPr/>
            </w:pPr>
            <w:r>
              <w:rPr/>
              <w:t>)</w:t>
            </w:r>
          </w:p>
        </w:tc>
      </w:tr>
      <w:tr>
        <w:trPr/>
        <w:tc>
          <w:tcPr>
            <w:tcW w:w="431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Property and equipment, net </w:t>
            </w:r>
          </w:p>
        </w:tc>
        <w:tc>
          <w:tcPr>
            <w:tcW w:w="176"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334" w:type="dxa"/>
            <w:tcBorders/>
            <w:shd w:fill="CCEEFF" w:val="clear"/>
            <w:vAlign w:val="center"/>
          </w:tcPr>
          <w:p>
            <w:pPr>
              <w:pStyle w:val="TableContents"/>
              <w:spacing w:before="0" w:after="0"/>
              <w:ind w:left="0" w:right="0" w:hanging="0"/>
              <w:jc w:val="right"/>
              <w:rPr/>
            </w:pPr>
            <w:r>
              <w:rPr/>
              <w:t xml:space="preserve">  </w:t>
            </w:r>
          </w:p>
        </w:tc>
        <w:tc>
          <w:tcPr>
            <w:tcW w:w="655" w:type="dxa"/>
            <w:tcBorders/>
            <w:shd w:fill="CCEEFF" w:val="clear"/>
            <w:vAlign w:val="center"/>
          </w:tcPr>
          <w:p>
            <w:pPr>
              <w:pStyle w:val="TableContents"/>
              <w:spacing w:before="0" w:after="0"/>
              <w:ind w:left="0" w:right="0" w:hanging="0"/>
              <w:rPr/>
            </w:pPr>
            <w:r>
              <w:rPr/>
              <w:t xml:space="preserve">  </w:t>
            </w:r>
          </w:p>
        </w:tc>
        <w:tc>
          <w:tcPr>
            <w:tcW w:w="752" w:type="dxa"/>
            <w:tcBorders/>
            <w:shd w:fill="CCEEFF" w:val="clear"/>
            <w:vAlign w:val="center"/>
          </w:tcPr>
          <w:p>
            <w:pPr>
              <w:pStyle w:val="TableContents"/>
              <w:spacing w:before="0" w:after="0"/>
              <w:ind w:left="0" w:right="0" w:hanging="0"/>
              <w:rPr/>
            </w:pPr>
            <w:r>
              <w:rPr/>
              <w:t xml:space="preserve">  </w:t>
            </w:r>
          </w:p>
        </w:tc>
        <w:tc>
          <w:tcPr>
            <w:tcW w:w="176" w:type="dxa"/>
            <w:tcBorders/>
            <w:shd w:fill="CCEEFF" w:val="clear"/>
            <w:vAlign w:val="center"/>
          </w:tcPr>
          <w:p>
            <w:pPr>
              <w:pStyle w:val="TableContents"/>
              <w:spacing w:before="0" w:after="0"/>
              <w:ind w:left="0" w:right="0" w:hanging="0"/>
              <w:rPr/>
            </w:pPr>
            <w:r>
              <w:rPr/>
              <w:t xml:space="preserve">  </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383</w:t>
            </w:r>
          </w:p>
        </w:tc>
        <w:tc>
          <w:tcPr>
            <w:tcW w:w="246" w:type="dxa"/>
            <w:tcBorders/>
            <w:shd w:fill="CCEEFF" w:val="clear"/>
            <w:vAlign w:val="center"/>
          </w:tcPr>
          <w:p>
            <w:pPr>
              <w:pStyle w:val="TableContents"/>
              <w:spacing w:before="0" w:after="0"/>
              <w:ind w:left="0" w:right="0" w:hanging="0"/>
              <w:rPr/>
            </w:pPr>
            <w:r>
              <w:rPr/>
              <w:t xml:space="preserve">  </w:t>
            </w:r>
          </w:p>
        </w:tc>
        <w:tc>
          <w:tcPr>
            <w:tcW w:w="176" w:type="dxa"/>
            <w:tcBorders/>
            <w:shd w:fill="CCEEFF" w:val="clear"/>
            <w:vAlign w:val="center"/>
          </w:tcPr>
          <w:p>
            <w:pPr>
              <w:pStyle w:val="TableContents"/>
              <w:spacing w:before="0" w:after="0"/>
              <w:ind w:left="0" w:right="0" w:hanging="0"/>
              <w:rPr/>
            </w:pPr>
            <w:r>
              <w:rPr/>
              <w:t xml:space="preserve">  </w:t>
            </w:r>
          </w:p>
        </w:tc>
        <w:tc>
          <w:tcPr>
            <w:tcW w:w="2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744</w:t>
            </w:r>
          </w:p>
        </w:tc>
        <w:tc>
          <w:tcPr>
            <w:tcW w:w="229" w:type="dxa"/>
            <w:tcBorders/>
            <w:shd w:fill="CCEEFF" w:val="cle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Depreciation expense on property and equipment for the years ended December 31, 2022 and 2021 was $263</w:t>
      </w:r>
      <w:r>
        <w:rPr>
          <w:rFonts w:ascii="times new roman;times" w:hAnsi="times new roman;times"/>
          <w:sz w:val="20"/>
        </w:rPr>
        <w:t xml:space="preserve"> </w:t>
      </w:r>
      <w:r>
        <w:rPr>
          <w:rFonts w:ascii="Times New Roman" w:hAnsi="Times New Roman"/>
          <w:sz w:val="20"/>
        </w:rPr>
        <w:t>and $378, respectively.</w:t>
      </w:r>
      <w:r>
        <w:rPr>
          <w:rFonts w:ascii="times new roman;times" w:hAnsi="times new roman;times"/>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16</w:t>
            </w:r>
            <w:r>
              <w:rPr>
                <w:rFonts w:ascii="Times New Roman" w:hAnsi="Times New Roman"/>
                <w:b w:val="false"/>
                <w:i w:val="false"/>
                <w:caps w:val="false"/>
                <w:smallCaps w:val="false"/>
                <w:color w:val="000000"/>
                <w:spacing w:val="0"/>
                <w:sz w:val="20"/>
              </w:rPr>
              <w:t> |</w:t>
            </w:r>
          </w:p>
        </w:tc>
      </w:tr>
    </w:tbl>
    <w:p>
      <w:pPr>
        <w:pStyle w:val="HorizontalLine"/>
        <w:rPr/>
      </w:pPr>
      <w:r>
        <w:rPr/>
      </w:r>
    </w:p>
    <w:p>
      <w:pPr>
        <w:pStyle w:val="TextBody"/>
        <w:spacing w:before="0" w:after="0"/>
        <w:jc w:val="left"/>
        <w:rPr/>
      </w:pPr>
      <w:hyperlink w:anchor="TOC">
        <w:r>
          <w:rPr>
            <w:rStyle w:val="InternetLink"/>
            <w:rFonts w:ascii="times new roman;times" w:hAnsi="times new roman;times"/>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rPr/>
      </w:pPr>
      <w:r>
        <w:rPr/>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6. Leases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Rent expense is recognized on a straight-line basis over the period of the lease taking into account future rent escalation and holiday periods.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br/>
        <w:t>Rent expense for the years ended December 31, 2022 and 2021 was as follows:</w:t>
      </w:r>
    </w:p>
    <w:p>
      <w:pPr>
        <w:pStyle w:val="TextBody"/>
        <w:spacing w:lineRule="auto" w:line="240" w:before="0" w:after="0"/>
        <w:ind w:left="0" w:right="0" w:hanging="0"/>
        <w:jc w:val="both"/>
        <w:rPr/>
      </w:pPr>
      <w:r>
        <w:rPr/>
      </w:r>
    </w:p>
    <w:tbl>
      <w:tblPr>
        <w:tblW w:w="3019" w:type="dxa"/>
        <w:jc w:val="left"/>
        <w:tblInd w:w="0" w:type="dxa"/>
        <w:tblCellMar>
          <w:top w:w="28" w:type="dxa"/>
          <w:left w:w="28" w:type="dxa"/>
          <w:bottom w:w="28" w:type="dxa"/>
          <w:right w:w="28" w:type="dxa"/>
        </w:tblCellMar>
      </w:tblPr>
      <w:tblGrid>
        <w:gridCol w:w="1381"/>
        <w:gridCol w:w="109"/>
        <w:gridCol w:w="227"/>
        <w:gridCol w:w="468"/>
        <w:gridCol w:w="109"/>
        <w:gridCol w:w="227"/>
        <w:gridCol w:w="498"/>
      </w:tblGrid>
      <w:tr>
        <w:trPr/>
        <w:tc>
          <w:tcPr>
            <w:tcW w:w="1381" w:type="dxa"/>
            <w:tcBorders/>
            <w:shd w:fill="auto" w:val="clear"/>
            <w:vAlign w:val="center"/>
          </w:tcPr>
          <w:p>
            <w:pPr>
              <w:pStyle w:val="TableContents"/>
              <w:spacing w:before="0" w:after="283"/>
              <w:rPr/>
            </w:pPr>
            <w:r>
              <w:rPr/>
            </w:r>
          </w:p>
        </w:tc>
        <w:tc>
          <w:tcPr>
            <w:tcW w:w="109" w:type="dxa"/>
            <w:tcBorders/>
            <w:shd w:fill="auto" w:val="clear"/>
            <w:vAlign w:val="center"/>
          </w:tcPr>
          <w:p>
            <w:pPr>
              <w:pStyle w:val="TableContents"/>
              <w:spacing w:before="0" w:after="283"/>
              <w:rPr/>
            </w:pPr>
            <w:r>
              <w:rPr/>
            </w:r>
          </w:p>
        </w:tc>
        <w:tc>
          <w:tcPr>
            <w:tcW w:w="1529" w:type="dxa"/>
            <w:gridSpan w:val="5"/>
            <w:tcBorders/>
            <w:shd w:fill="auto" w:val="clear"/>
            <w:vAlign w:val="center"/>
          </w:tcPr>
          <w:p>
            <w:pPr>
              <w:pStyle w:val="TableContents"/>
              <w:spacing w:before="0" w:after="283"/>
              <w:jc w:val="center"/>
              <w:rPr>
                <w:b/>
                <w:sz w:val="20"/>
              </w:rPr>
            </w:pPr>
            <w:r>
              <w:rPr>
                <w:b/>
                <w:sz w:val="20"/>
              </w:rPr>
              <w:t>Year ended</w:t>
            </w:r>
          </w:p>
        </w:tc>
      </w:tr>
      <w:tr>
        <w:trPr/>
        <w:tc>
          <w:tcPr>
            <w:tcW w:w="1381" w:type="dxa"/>
            <w:tcBorders/>
            <w:shd w:fill="auto" w:val="clear"/>
            <w:vAlign w:val="center"/>
          </w:tcPr>
          <w:p>
            <w:pPr>
              <w:pStyle w:val="TableContents"/>
              <w:spacing w:before="0" w:after="283"/>
              <w:rPr/>
            </w:pPr>
            <w:r>
              <w:rPr/>
            </w:r>
          </w:p>
        </w:tc>
        <w:tc>
          <w:tcPr>
            <w:tcW w:w="109" w:type="dxa"/>
            <w:tcBorders/>
            <w:shd w:fill="auto" w:val="clear"/>
            <w:vAlign w:val="center"/>
          </w:tcPr>
          <w:p>
            <w:pPr>
              <w:pStyle w:val="TableContents"/>
              <w:spacing w:before="0" w:after="283"/>
              <w:rPr/>
            </w:pPr>
            <w:r>
              <w:rPr/>
            </w:r>
          </w:p>
        </w:tc>
        <w:tc>
          <w:tcPr>
            <w:tcW w:w="1529" w:type="dxa"/>
            <w:gridSpan w:val="5"/>
            <w:tcBorders>
              <w:bottom w:val="single" w:sz="8" w:space="0" w:color="000000"/>
            </w:tcBorders>
            <w:shd w:fill="auto" w:val="clear"/>
            <w:tcMar>
              <w:top w:w="0" w:type="dxa"/>
              <w:left w:w="0" w:type="dxa"/>
              <w:right w:w="0" w:type="dxa"/>
            </w:tcMar>
            <w:vAlign w:val="center"/>
          </w:tcPr>
          <w:p>
            <w:pPr>
              <w:pStyle w:val="TableContents"/>
              <w:spacing w:before="0" w:after="283"/>
              <w:jc w:val="center"/>
              <w:rPr>
                <w:b/>
              </w:rPr>
            </w:pPr>
            <w:r>
              <w:rPr>
                <w:b/>
              </w:rPr>
              <w:t>December 31,</w:t>
            </w:r>
          </w:p>
        </w:tc>
      </w:tr>
      <w:tr>
        <w:trPr/>
        <w:tc>
          <w:tcPr>
            <w:tcW w:w="1381" w:type="dxa"/>
            <w:tcBorders/>
            <w:shd w:fill="auto" w:val="clear"/>
            <w:vAlign w:val="center"/>
          </w:tcPr>
          <w:p>
            <w:pPr>
              <w:pStyle w:val="TableContents"/>
              <w:spacing w:before="0" w:after="283"/>
              <w:rPr/>
            </w:pPr>
            <w:r>
              <w:rPr/>
            </w:r>
          </w:p>
        </w:tc>
        <w:tc>
          <w:tcPr>
            <w:tcW w:w="109" w:type="dxa"/>
            <w:tcBorders/>
            <w:shd w:fill="auto" w:val="clear"/>
            <w:vAlign w:val="center"/>
          </w:tcPr>
          <w:p>
            <w:pPr>
              <w:pStyle w:val="TableContents"/>
              <w:spacing w:before="0" w:after="283"/>
              <w:rPr/>
            </w:pPr>
            <w:r>
              <w:rPr/>
            </w:r>
          </w:p>
        </w:tc>
        <w:tc>
          <w:tcPr>
            <w:tcW w:w="695" w:type="dxa"/>
            <w:gridSpan w:val="2"/>
            <w:tcBorders>
              <w:bottom w:val="single" w:sz="8" w:space="0" w:color="000000"/>
            </w:tcBorders>
            <w:shd w:fill="auto" w:val="clear"/>
            <w:tcMar>
              <w:top w:w="0" w:type="dxa"/>
              <w:left w:w="0" w:type="dxa"/>
              <w:right w:w="0" w:type="dxa"/>
            </w:tcMar>
            <w:vAlign w:val="center"/>
          </w:tcPr>
          <w:p>
            <w:pPr>
              <w:pStyle w:val="TableContents"/>
              <w:spacing w:before="0" w:after="283"/>
              <w:jc w:val="center"/>
              <w:rPr>
                <w:b/>
              </w:rPr>
            </w:pPr>
            <w:r>
              <w:rPr>
                <w:b/>
              </w:rPr>
              <w:t>2022</w:t>
            </w:r>
          </w:p>
        </w:tc>
        <w:tc>
          <w:tcPr>
            <w:tcW w:w="109" w:type="dxa"/>
            <w:tcBorders/>
            <w:shd w:fill="auto" w:val="clear"/>
            <w:vAlign w:val="center"/>
          </w:tcPr>
          <w:p>
            <w:pPr>
              <w:pStyle w:val="TableContents"/>
              <w:spacing w:before="0" w:after="283"/>
              <w:rPr/>
            </w:pPr>
            <w:r>
              <w:rPr/>
            </w:r>
          </w:p>
        </w:tc>
        <w:tc>
          <w:tcPr>
            <w:tcW w:w="725" w:type="dxa"/>
            <w:gridSpan w:val="2"/>
            <w:tcBorders>
              <w:bottom w:val="single" w:sz="8" w:space="0" w:color="000000"/>
            </w:tcBorders>
            <w:shd w:fill="auto" w:val="clear"/>
            <w:tcMar>
              <w:top w:w="0" w:type="dxa"/>
              <w:left w:w="0" w:type="dxa"/>
              <w:right w:w="0" w:type="dxa"/>
            </w:tcMar>
            <w:vAlign w:val="center"/>
          </w:tcPr>
          <w:p>
            <w:pPr>
              <w:pStyle w:val="TableContents"/>
              <w:spacing w:before="0" w:after="283"/>
              <w:jc w:val="center"/>
              <w:rPr>
                <w:b/>
              </w:rPr>
            </w:pPr>
            <w:r>
              <w:rPr>
                <w:b/>
              </w:rPr>
              <w:t>2021</w:t>
            </w:r>
          </w:p>
        </w:tc>
      </w:tr>
      <w:tr>
        <w:trPr/>
        <w:tc>
          <w:tcPr>
            <w:tcW w:w="1381" w:type="dxa"/>
            <w:tcBorders/>
            <w:shd w:fill="CCEEFF" w:val="clear"/>
            <w:vAlign w:val="center"/>
          </w:tcPr>
          <w:p>
            <w:pPr>
              <w:pStyle w:val="TableContents"/>
              <w:spacing w:before="0" w:after="283"/>
              <w:rPr/>
            </w:pPr>
            <w:r>
              <w:rPr/>
              <w:t>Rent expense</w:t>
            </w:r>
          </w:p>
        </w:tc>
        <w:tc>
          <w:tcPr>
            <w:tcW w:w="109" w:type="dxa"/>
            <w:tcBorders/>
            <w:shd w:fill="CCEEFF" w:val="clear"/>
            <w:vAlign w:val="center"/>
          </w:tcPr>
          <w:p>
            <w:pPr>
              <w:pStyle w:val="TableContents"/>
              <w:spacing w:before="0" w:after="283"/>
              <w:rPr/>
            </w:pPr>
            <w:r>
              <w:rPr/>
            </w:r>
          </w:p>
        </w:tc>
        <w:tc>
          <w:tcPr>
            <w:tcW w:w="227" w:type="dxa"/>
            <w:tcBorders/>
            <w:shd w:fill="CCEEFF" w:val="clear"/>
            <w:vAlign w:val="center"/>
          </w:tcPr>
          <w:p>
            <w:pPr>
              <w:pStyle w:val="TableContents"/>
              <w:spacing w:before="0" w:after="283"/>
              <w:rPr/>
            </w:pPr>
            <w:r>
              <w:rPr/>
              <w:t>$</w:t>
            </w:r>
          </w:p>
        </w:tc>
        <w:tc>
          <w:tcPr>
            <w:tcW w:w="468" w:type="dxa"/>
            <w:tcBorders/>
            <w:shd w:fill="CCEEFF" w:val="clear"/>
            <w:vAlign w:val="center"/>
          </w:tcPr>
          <w:p>
            <w:pPr>
              <w:pStyle w:val="TableContents"/>
              <w:spacing w:before="0" w:after="283"/>
              <w:jc w:val="right"/>
              <w:rPr/>
            </w:pPr>
            <w:r>
              <w:rPr/>
              <w:t>684</w:t>
            </w:r>
          </w:p>
        </w:tc>
        <w:tc>
          <w:tcPr>
            <w:tcW w:w="109" w:type="dxa"/>
            <w:tcBorders/>
            <w:shd w:fill="CCEEFF" w:val="clear"/>
            <w:vAlign w:val="center"/>
          </w:tcPr>
          <w:p>
            <w:pPr>
              <w:pStyle w:val="TableContents"/>
              <w:spacing w:before="0" w:after="283"/>
              <w:rPr/>
            </w:pPr>
            <w:r>
              <w:rPr/>
            </w:r>
          </w:p>
        </w:tc>
        <w:tc>
          <w:tcPr>
            <w:tcW w:w="227" w:type="dxa"/>
            <w:tcBorders/>
            <w:shd w:fill="CCEEFF" w:val="clear"/>
            <w:vAlign w:val="center"/>
          </w:tcPr>
          <w:p>
            <w:pPr>
              <w:pStyle w:val="TableContents"/>
              <w:spacing w:before="0" w:after="283"/>
              <w:rPr/>
            </w:pPr>
            <w:r>
              <w:rPr/>
              <w:t>$</w:t>
            </w:r>
          </w:p>
        </w:tc>
        <w:tc>
          <w:tcPr>
            <w:tcW w:w="498" w:type="dxa"/>
            <w:tcBorders/>
            <w:shd w:fill="CCEEFF" w:val="clear"/>
            <w:vAlign w:val="center"/>
          </w:tcPr>
          <w:p>
            <w:pPr>
              <w:pStyle w:val="TableContents"/>
              <w:spacing w:before="0" w:after="283"/>
              <w:jc w:val="right"/>
              <w:rPr/>
            </w:pPr>
            <w:r>
              <w:rPr/>
              <w:t>719</w:t>
            </w:r>
          </w:p>
        </w:tc>
      </w:tr>
    </w:tbl>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spacing w:lineRule="auto" w:line="240" w:before="0" w:after="200"/>
        <w:ind w:left="0" w:right="0" w:hanging="0"/>
        <w:jc w:val="both"/>
        <w:rPr>
          <w:rFonts w:ascii="times new roman;times" w:hAnsi="times new roman;times"/>
          <w:sz w:val="20"/>
        </w:rPr>
      </w:pPr>
      <w:r>
        <w:rPr>
          <w:rFonts w:ascii="Times New Roman" w:hAnsi="Times New Roman"/>
          <w:sz w:val="20"/>
        </w:rPr>
        <w:t>We occupy</w:t>
      </w:r>
      <w:r>
        <w:rPr>
          <w:rFonts w:ascii="times new roman;times" w:hAnsi="times new roman;times"/>
          <w:sz w:val="20"/>
        </w:rPr>
        <w:t xml:space="preserve"> </w:t>
      </w:r>
      <w:r>
        <w:rPr>
          <w:rFonts w:ascii="Times New Roman" w:hAnsi="Times New Roman"/>
          <w:sz w:val="20"/>
        </w:rPr>
        <w:t>a 1,350 square-foot facility in Gainesville, Florida under the terms of an operating lease that expires in February 2028. The Gainesville facility is used primarily to support our research and development activities.</w:t>
      </w:r>
    </w:p>
    <w:p>
      <w:pPr>
        <w:pStyle w:val="TextBody"/>
        <w:widowControl/>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a21,443square-foot facility in Salt Lake City, Utah under the terms of an operating lease, which has been amended in February 2023 to expire in February 2028. Under the terms of this amendment, we will reduce our space to approximately 9,402 square feet. The facility supports our principal administrative, sales, marketing, customer support, and research and product development activities.  </w:t>
      </w:r>
    </w:p>
    <w:p>
      <w:pPr>
        <w:pStyle w:val="TextBody"/>
        <w:widowControl/>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a6,175square-foot facility in Chennai, India under the terms of an operating lease expiring in August 2023. This facility supportsour administrative, marketing, customer support, and research and product development activities.</w:t>
      </w:r>
    </w:p>
    <w:p>
      <w:pPr>
        <w:pStyle w:val="TextBody"/>
        <w:widowControl/>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a40,000square-foot warehouse in Salt Lake City, Utah under the terms of an operating lease expiring in April 2025, which serves as our primary inventory fulfillment center.</w:t>
      </w:r>
    </w:p>
    <w:p>
      <w:pPr>
        <w:pStyle w:val="TextBody"/>
        <w:widowControl/>
        <w:spacing w:lineRule="auto" w:line="240" w:before="0" w:after="20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Supplemental cash flow information related to leases was as follows:</w:t>
      </w:r>
    </w:p>
    <w:tbl>
      <w:tblPr>
        <w:tblW w:w="8182" w:type="dxa"/>
        <w:jc w:val="left"/>
        <w:tblInd w:w="0" w:type="dxa"/>
        <w:tblCellMar>
          <w:top w:w="0" w:type="dxa"/>
          <w:left w:w="0" w:type="dxa"/>
          <w:bottom w:w="0" w:type="dxa"/>
          <w:right w:w="0" w:type="dxa"/>
        </w:tblCellMar>
      </w:tblPr>
      <w:tblGrid>
        <w:gridCol w:w="5840"/>
        <w:gridCol w:w="53"/>
        <w:gridCol w:w="273"/>
        <w:gridCol w:w="644"/>
        <w:gridCol w:w="93"/>
        <w:gridCol w:w="93"/>
        <w:gridCol w:w="273"/>
        <w:gridCol w:w="830"/>
        <w:gridCol w:w="83"/>
      </w:tblGrid>
      <w:tr>
        <w:trPr/>
        <w:tc>
          <w:tcPr>
            <w:tcW w:w="5840" w:type="dxa"/>
            <w:tcBorders/>
            <w:shd w:fill="auto" w:val="clear"/>
            <w:vAlign w:val="center"/>
          </w:tcPr>
          <w:p>
            <w:pPr>
              <w:pStyle w:val="TableContents"/>
              <w:spacing w:before="0" w:after="283"/>
              <w:rPr/>
            </w:pPr>
            <w:r>
              <w:rPr/>
            </w:r>
          </w:p>
        </w:tc>
        <w:tc>
          <w:tcPr>
            <w:tcW w:w="53" w:type="dxa"/>
            <w:tcBorders/>
            <w:shd w:fill="auto" w:val="clear"/>
            <w:vAlign w:val="center"/>
          </w:tcPr>
          <w:p>
            <w:pPr>
              <w:pStyle w:val="TableContents"/>
              <w:spacing w:before="0" w:after="283"/>
              <w:ind w:left="0" w:right="0" w:hanging="0"/>
              <w:rPr/>
            </w:pPr>
            <w:r>
              <w:rPr/>
            </w:r>
          </w:p>
        </w:tc>
        <w:tc>
          <w:tcPr>
            <w:tcW w:w="2206" w:type="dxa"/>
            <w:gridSpan w:val="6"/>
            <w:tcBorders>
              <w:bottom w:val="single" w:sz="6"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83" w:type="dxa"/>
            <w:tcBorders/>
            <w:shd w:fill="auto" w:val="clear"/>
            <w:vAlign w:val="center"/>
          </w:tcPr>
          <w:p>
            <w:pPr>
              <w:pStyle w:val="TableContents"/>
              <w:spacing w:before="0" w:after="283"/>
              <w:rPr/>
            </w:pPr>
            <w:r>
              <w:rPr/>
            </w:r>
          </w:p>
        </w:tc>
      </w:tr>
      <w:tr>
        <w:trPr/>
        <w:tc>
          <w:tcPr>
            <w:tcW w:w="5840"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ind w:left="0" w:right="0" w:hanging="0"/>
              <w:rPr>
                <w:sz w:val="4"/>
                <w:szCs w:val="4"/>
              </w:rPr>
            </w:pPr>
            <w:r>
              <w:rPr>
                <w:sz w:val="4"/>
                <w:szCs w:val="4"/>
              </w:rPr>
            </w:r>
          </w:p>
        </w:tc>
        <w:tc>
          <w:tcPr>
            <w:tcW w:w="91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9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pPr>
            <w:r>
              <w:rPr/>
            </w:r>
          </w:p>
        </w:tc>
        <w:tc>
          <w:tcPr>
            <w:tcW w:w="273" w:type="dxa"/>
            <w:tcBorders/>
            <w:shd w:fill="auto" w:val="clear"/>
            <w:vAlign w:val="center"/>
          </w:tcPr>
          <w:p>
            <w:pPr>
              <w:pStyle w:val="TableContents"/>
              <w:spacing w:before="0" w:after="283"/>
              <w:rPr/>
            </w:pPr>
            <w:r>
              <w:rPr/>
            </w:r>
          </w:p>
        </w:tc>
        <w:tc>
          <w:tcPr>
            <w:tcW w:w="830" w:type="dxa"/>
            <w:tcBorders>
              <w:bottom w:val="single" w:sz="6" w:space="0" w:color="000000"/>
            </w:tcBorders>
            <w:shd w:fill="auto" w:val="clear"/>
            <w:tcMar>
              <w:bottom w:w="28" w:type="dxa"/>
            </w:tcMar>
            <w:vAlign w:val="center"/>
          </w:tcPr>
          <w:p>
            <w:pPr>
              <w:pStyle w:val="TableContents"/>
              <w:widowControl/>
              <w:spacing w:before="0" w:after="283"/>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2021</w:t>
            </w:r>
          </w:p>
        </w:tc>
        <w:tc>
          <w:tcPr>
            <w:tcW w:w="83" w:type="dxa"/>
            <w:tcBorders/>
            <w:shd w:fill="auto" w:val="clear"/>
            <w:vAlign w:val="center"/>
          </w:tcPr>
          <w:p>
            <w:pPr>
              <w:pStyle w:val="TableContents"/>
              <w:spacing w:before="0" w:after="283"/>
              <w:rPr/>
            </w:pPr>
            <w:r>
              <w:rPr/>
            </w:r>
          </w:p>
        </w:tc>
      </w:tr>
      <w:tr>
        <w:trPr/>
        <w:tc>
          <w:tcPr>
            <w:tcW w:w="584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Cash paid for amounts included in the measurement of lease liabilities: </w:t>
            </w:r>
          </w:p>
        </w:tc>
        <w:tc>
          <w:tcPr>
            <w:tcW w:w="53"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spacing w:before="0" w:after="283"/>
              <w:rPr>
                <w:sz w:val="4"/>
                <w:szCs w:val="4"/>
              </w:rPr>
            </w:pPr>
            <w:r>
              <w:rPr>
                <w:sz w:val="4"/>
                <w:szCs w:val="4"/>
              </w:rPr>
            </w:r>
          </w:p>
        </w:tc>
        <w:tc>
          <w:tcPr>
            <w:tcW w:w="93" w:type="dxa"/>
            <w:tcBorders/>
            <w:shd w:fill="CCEEFF" w:val="clear"/>
            <w:vAlign w:val="center"/>
          </w:tcPr>
          <w:p>
            <w:pPr>
              <w:pStyle w:val="TableContents"/>
              <w:spacing w:before="0" w:after="283"/>
              <w:rPr>
                <w:sz w:val="4"/>
                <w:szCs w:val="4"/>
              </w:rPr>
            </w:pPr>
            <w:r>
              <w:rPr>
                <w:sz w:val="4"/>
                <w:szCs w:val="4"/>
              </w:rPr>
            </w:r>
          </w:p>
        </w:tc>
        <w:tc>
          <w:tcPr>
            <w:tcW w:w="93" w:type="dxa"/>
            <w:tcBorders/>
            <w:shd w:fill="CCEEFF" w:val="clear"/>
            <w:vAlign w:val="center"/>
          </w:tcPr>
          <w:p>
            <w:pPr>
              <w:pStyle w:val="TableContents"/>
              <w:spacing w:before="0" w:after="283"/>
              <w:rPr/>
            </w:pPr>
            <w:r>
              <w:rPr/>
            </w:r>
          </w:p>
        </w:tc>
        <w:tc>
          <w:tcPr>
            <w:tcW w:w="273" w:type="dxa"/>
            <w:tcBorders/>
            <w:shd w:fill="CCEEFF" w:val="clear"/>
            <w:vAlign w:val="center"/>
          </w:tcPr>
          <w:p>
            <w:pPr>
              <w:pStyle w:val="TableContents"/>
              <w:spacing w:before="0" w:after="283"/>
              <w:rPr/>
            </w:pPr>
            <w:r>
              <w:rPr/>
            </w:r>
          </w:p>
        </w:tc>
        <w:tc>
          <w:tcPr>
            <w:tcW w:w="830" w:type="dxa"/>
            <w:tcBorders/>
            <w:shd w:fill="CCEEFF" w:val="clear"/>
            <w:vAlign w:val="center"/>
          </w:tcPr>
          <w:p>
            <w:pPr>
              <w:pStyle w:val="TableContents"/>
              <w:spacing w:before="0" w:after="283"/>
              <w:rPr/>
            </w:pPr>
            <w:r>
              <w:rPr/>
            </w:r>
          </w:p>
        </w:tc>
        <w:tc>
          <w:tcPr>
            <w:tcW w:w="83" w:type="dxa"/>
            <w:tcBorders/>
            <w:shd w:fill="CCEEFF" w:val="clear"/>
            <w:vAlign w:val="center"/>
          </w:tcPr>
          <w:p>
            <w:pPr>
              <w:pStyle w:val="TableContents"/>
              <w:spacing w:before="0" w:after="283"/>
              <w:rPr/>
            </w:pPr>
            <w:r>
              <w:rPr/>
            </w:r>
          </w:p>
        </w:tc>
      </w:tr>
      <w:tr>
        <w:trPr/>
        <w:tc>
          <w:tcPr>
            <w:tcW w:w="584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Operating cash flows from operating leases </w:t>
            </w:r>
          </w:p>
        </w:tc>
        <w:tc>
          <w:tcPr>
            <w:tcW w:w="53" w:type="dxa"/>
            <w:tcBorders/>
            <w:shd w:fill="FFFFFF" w:val="clear"/>
            <w:vAlign w:val="center"/>
          </w:tcPr>
          <w:p>
            <w:pPr>
              <w:pStyle w:val="TableContents"/>
              <w:spacing w:before="0" w:after="283"/>
              <w:ind w:left="0" w:right="0" w:hanging="0"/>
              <w:rPr>
                <w:sz w:val="4"/>
                <w:szCs w:val="4"/>
              </w:rPr>
            </w:pPr>
            <w:r>
              <w:rPr>
                <w:sz w:val="4"/>
                <w:szCs w:val="4"/>
              </w:rPr>
            </w:r>
          </w:p>
        </w:tc>
        <w:tc>
          <w:tcPr>
            <w:tcW w:w="273"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4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680</w:t>
            </w:r>
          </w:p>
        </w:tc>
        <w:tc>
          <w:tcPr>
            <w:tcW w:w="93" w:type="dxa"/>
            <w:tcBorders/>
            <w:shd w:fill="FFFFFF" w:val="clear"/>
            <w:vAlign w:val="center"/>
          </w:tcPr>
          <w:p>
            <w:pPr>
              <w:pStyle w:val="TableContents"/>
              <w:spacing w:before="0" w:after="283"/>
              <w:ind w:left="0" w:right="0" w:hanging="0"/>
              <w:rPr>
                <w:sz w:val="4"/>
                <w:szCs w:val="4"/>
              </w:rPr>
            </w:pPr>
            <w:r>
              <w:rPr>
                <w:sz w:val="4"/>
                <w:szCs w:val="4"/>
              </w:rPr>
            </w:r>
          </w:p>
        </w:tc>
        <w:tc>
          <w:tcPr>
            <w:tcW w:w="93" w:type="dxa"/>
            <w:tcBorders/>
            <w:shd w:fill="FFFFFF" w:val="clear"/>
            <w:vAlign w:val="center"/>
          </w:tcPr>
          <w:p>
            <w:pPr>
              <w:pStyle w:val="TableContents"/>
              <w:spacing w:before="0" w:after="283"/>
              <w:ind w:left="0" w:right="0" w:hanging="0"/>
              <w:rPr/>
            </w:pPr>
            <w:r>
              <w:rPr/>
            </w:r>
          </w:p>
        </w:tc>
        <w:tc>
          <w:tcPr>
            <w:tcW w:w="273"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3" w:type="dxa"/>
            <w:tcBorders/>
            <w:shd w:fill="FFFFFF" w:val="clear"/>
            <w:vAlign w:val="center"/>
          </w:tcPr>
          <w:p>
            <w:pPr>
              <w:pStyle w:val="TableContents"/>
              <w:spacing w:before="0" w:after="283"/>
              <w:rPr/>
            </w:pPr>
            <w:r>
              <w:rPr/>
            </w:r>
          </w:p>
        </w:tc>
      </w:tr>
      <w:tr>
        <w:trPr/>
        <w:tc>
          <w:tcPr>
            <w:tcW w:w="584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 xml:space="preserve">Right-of-use assets obtained in exchange for lease obligations: </w:t>
            </w:r>
          </w:p>
        </w:tc>
        <w:tc>
          <w:tcPr>
            <w:tcW w:w="53" w:type="dxa"/>
            <w:tcBorders/>
            <w:shd w:fill="CCEEFF" w:val="clear"/>
            <w:vAlign w:val="center"/>
          </w:tcPr>
          <w:p>
            <w:pPr>
              <w:pStyle w:val="TableContents"/>
              <w:spacing w:before="0" w:after="283"/>
              <w:rPr>
                <w:sz w:val="4"/>
                <w:szCs w:val="4"/>
              </w:rPr>
            </w:pPr>
            <w:r>
              <w:rPr>
                <w:sz w:val="4"/>
                <w:szCs w:val="4"/>
              </w:rPr>
            </w:r>
          </w:p>
        </w:tc>
        <w:tc>
          <w:tcPr>
            <w:tcW w:w="273"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spacing w:before="0" w:after="283"/>
              <w:rPr>
                <w:sz w:val="4"/>
                <w:szCs w:val="4"/>
              </w:rPr>
            </w:pPr>
            <w:r>
              <w:rPr>
                <w:sz w:val="4"/>
                <w:szCs w:val="4"/>
              </w:rPr>
            </w:r>
          </w:p>
        </w:tc>
        <w:tc>
          <w:tcPr>
            <w:tcW w:w="93" w:type="dxa"/>
            <w:tcBorders/>
            <w:shd w:fill="CCEEFF" w:val="clear"/>
            <w:vAlign w:val="center"/>
          </w:tcPr>
          <w:p>
            <w:pPr>
              <w:pStyle w:val="TableContents"/>
              <w:spacing w:before="0" w:after="283"/>
              <w:rPr>
                <w:sz w:val="4"/>
                <w:szCs w:val="4"/>
              </w:rPr>
            </w:pPr>
            <w:r>
              <w:rPr>
                <w:sz w:val="4"/>
                <w:szCs w:val="4"/>
              </w:rPr>
            </w:r>
          </w:p>
        </w:tc>
        <w:tc>
          <w:tcPr>
            <w:tcW w:w="93" w:type="dxa"/>
            <w:tcBorders/>
            <w:shd w:fill="CCEEFF" w:val="clear"/>
            <w:vAlign w:val="center"/>
          </w:tcPr>
          <w:p>
            <w:pPr>
              <w:pStyle w:val="TableContents"/>
              <w:spacing w:before="0" w:after="283"/>
              <w:rPr/>
            </w:pPr>
            <w:r>
              <w:rPr/>
            </w:r>
          </w:p>
        </w:tc>
        <w:tc>
          <w:tcPr>
            <w:tcW w:w="273" w:type="dxa"/>
            <w:tcBorders/>
            <w:shd w:fill="CCEEFF" w:val="clear"/>
            <w:vAlign w:val="center"/>
          </w:tcPr>
          <w:p>
            <w:pPr>
              <w:pStyle w:val="TableContents"/>
              <w:spacing w:before="0" w:after="283"/>
              <w:rPr/>
            </w:pPr>
            <w:r>
              <w:rPr/>
            </w:r>
          </w:p>
        </w:tc>
        <w:tc>
          <w:tcPr>
            <w:tcW w:w="830" w:type="dxa"/>
            <w:tcBorders/>
            <w:shd w:fill="CCEEFF" w:val="clear"/>
            <w:vAlign w:val="center"/>
          </w:tcPr>
          <w:p>
            <w:pPr>
              <w:pStyle w:val="TableContents"/>
              <w:spacing w:before="0" w:after="283"/>
              <w:rPr/>
            </w:pPr>
            <w:r>
              <w:rPr/>
            </w:r>
          </w:p>
        </w:tc>
        <w:tc>
          <w:tcPr>
            <w:tcW w:w="83" w:type="dxa"/>
            <w:tcBorders/>
            <w:shd w:fill="CCEEFF" w:val="clear"/>
            <w:vAlign w:val="center"/>
          </w:tcPr>
          <w:p>
            <w:pPr>
              <w:pStyle w:val="TableContents"/>
              <w:spacing w:before="0" w:after="283"/>
              <w:rPr/>
            </w:pPr>
            <w:r>
              <w:rPr/>
            </w:r>
          </w:p>
        </w:tc>
      </w:tr>
      <w:tr>
        <w:trPr/>
        <w:tc>
          <w:tcPr>
            <w:tcW w:w="584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Operating leases </w:t>
            </w:r>
          </w:p>
        </w:tc>
        <w:tc>
          <w:tcPr>
            <w:tcW w:w="53" w:type="dxa"/>
            <w:tcBorders/>
            <w:shd w:fill="FFFFFF" w:val="clear"/>
            <w:vAlign w:val="center"/>
          </w:tcPr>
          <w:p>
            <w:pPr>
              <w:pStyle w:val="TableContents"/>
              <w:spacing w:before="0" w:after="283"/>
              <w:ind w:left="0" w:right="0" w:hanging="0"/>
              <w:rPr>
                <w:sz w:val="4"/>
                <w:szCs w:val="4"/>
              </w:rPr>
            </w:pPr>
            <w:r>
              <w:rPr>
                <w:sz w:val="4"/>
                <w:szCs w:val="4"/>
              </w:rPr>
            </w:r>
          </w:p>
        </w:tc>
        <w:tc>
          <w:tcPr>
            <w:tcW w:w="273"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4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93" w:type="dxa"/>
            <w:tcBorders/>
            <w:shd w:fill="FFFFFF" w:val="clear"/>
            <w:vAlign w:val="center"/>
          </w:tcPr>
          <w:p>
            <w:pPr>
              <w:pStyle w:val="TableContents"/>
              <w:spacing w:before="0" w:after="283"/>
              <w:ind w:left="0" w:right="0" w:hanging="0"/>
              <w:rPr>
                <w:sz w:val="4"/>
                <w:szCs w:val="4"/>
              </w:rPr>
            </w:pPr>
            <w:r>
              <w:rPr>
                <w:sz w:val="4"/>
                <w:szCs w:val="4"/>
              </w:rPr>
            </w:r>
          </w:p>
        </w:tc>
        <w:tc>
          <w:tcPr>
            <w:tcW w:w="93" w:type="dxa"/>
            <w:tcBorders/>
            <w:shd w:fill="FFFFFF" w:val="clear"/>
            <w:vAlign w:val="center"/>
          </w:tcPr>
          <w:p>
            <w:pPr>
              <w:pStyle w:val="TableContents"/>
              <w:spacing w:before="0" w:after="283"/>
              <w:ind w:left="0" w:right="0" w:hanging="0"/>
              <w:rPr/>
            </w:pPr>
            <w:r>
              <w:rPr/>
            </w:r>
          </w:p>
        </w:tc>
        <w:tc>
          <w:tcPr>
            <w:tcW w:w="273"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3" w:type="dxa"/>
            <w:tcBorders/>
            <w:shd w:fill="FFFFFF" w:val="clear"/>
            <w:vAlign w:val="center"/>
          </w:tcPr>
          <w:p>
            <w:pPr>
              <w:pStyle w:val="TableContents"/>
              <w:spacing w:before="0" w:after="283"/>
              <w:rPr/>
            </w:pPr>
            <w:r>
              <w:rPr/>
            </w:r>
          </w:p>
        </w:tc>
      </w:tr>
    </w:tbl>
    <w:p>
      <w:pPr>
        <w:pStyle w:val="TextBody"/>
        <w:spacing w:lineRule="auto" w:line="240" w:before="0" w:after="0"/>
        <w:ind w:left="0" w:right="0" w:hanging="0"/>
        <w:jc w:val="both"/>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Supplemental balance sheet information related to leases was as follows:    </w:t>
      </w:r>
    </w:p>
    <w:p>
      <w:pPr>
        <w:pStyle w:val="TextBody"/>
        <w:widowControl/>
        <w:spacing w:before="0" w:after="0"/>
        <w:ind w:left="0" w:right="0" w:hanging="0"/>
        <w:rPr/>
      </w:pPr>
      <w:r>
        <w:rPr/>
      </w:r>
    </w:p>
    <w:tbl>
      <w:tblPr>
        <w:tblW w:w="10205" w:type="dxa"/>
        <w:jc w:val="left"/>
        <w:tblInd w:w="0" w:type="dxa"/>
        <w:tblCellMar>
          <w:top w:w="0" w:type="dxa"/>
          <w:left w:w="0" w:type="dxa"/>
          <w:bottom w:w="0" w:type="dxa"/>
          <w:right w:w="0" w:type="dxa"/>
        </w:tblCellMar>
      </w:tblPr>
      <w:tblGrid>
        <w:gridCol w:w="6154"/>
        <w:gridCol w:w="53"/>
        <w:gridCol w:w="383"/>
        <w:gridCol w:w="1280"/>
        <w:gridCol w:w="215"/>
        <w:gridCol w:w="53"/>
        <w:gridCol w:w="155"/>
        <w:gridCol w:w="1665"/>
        <w:gridCol w:w="247"/>
      </w:tblGrid>
      <w:tr>
        <w:trPr/>
        <w:tc>
          <w:tcPr>
            <w:tcW w:w="6154" w:type="dxa"/>
            <w:tcBorders/>
            <w:shd w:fill="auto" w:val="clear"/>
            <w:vAlign w:val="center"/>
          </w:tcPr>
          <w:p>
            <w:pPr>
              <w:pStyle w:val="TableContents"/>
              <w:spacing w:before="0" w:after="283"/>
              <w:rPr/>
            </w:pPr>
            <w:r>
              <w:rPr/>
            </w:r>
          </w:p>
        </w:tc>
        <w:tc>
          <w:tcPr>
            <w:tcW w:w="53" w:type="dxa"/>
            <w:tcBorders/>
            <w:shd w:fill="auto" w:val="clear"/>
            <w:vAlign w:val="center"/>
          </w:tcPr>
          <w:p>
            <w:pPr>
              <w:pStyle w:val="TableContents"/>
              <w:spacing w:before="0" w:after="283"/>
              <w:ind w:left="0" w:right="0" w:hanging="0"/>
              <w:rPr>
                <w:sz w:val="4"/>
                <w:szCs w:val="4"/>
              </w:rPr>
            </w:pPr>
            <w:r>
              <w:rPr>
                <w:sz w:val="4"/>
                <w:szCs w:val="4"/>
              </w:rPr>
            </w:r>
          </w:p>
        </w:tc>
        <w:tc>
          <w:tcPr>
            <w:tcW w:w="1663"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215"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pPr>
            <w:r>
              <w:rPr/>
            </w:r>
          </w:p>
        </w:tc>
        <w:tc>
          <w:tcPr>
            <w:tcW w:w="155" w:type="dxa"/>
            <w:tcBorders>
              <w:bottom w:val="single" w:sz="8" w:space="0" w:color="000000"/>
            </w:tcBorders>
            <w:shd w:fill="auto" w:val="clear"/>
            <w:tcMar>
              <w:bottom w:w="28" w:type="dxa"/>
            </w:tcMar>
            <w:vAlign w:val="center"/>
          </w:tcPr>
          <w:p>
            <w:pPr>
              <w:pStyle w:val="TableContents"/>
              <w:spacing w:before="0" w:after="283"/>
              <w:rPr/>
            </w:pPr>
            <w:r>
              <w:rPr/>
            </w:r>
          </w:p>
        </w:tc>
        <w:tc>
          <w:tcPr>
            <w:tcW w:w="1665" w:type="dxa"/>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December 31, 2021</w:t>
            </w:r>
          </w:p>
        </w:tc>
        <w:tc>
          <w:tcPr>
            <w:tcW w:w="247" w:type="dxa"/>
            <w:tcBorders/>
            <w:shd w:fill="auto" w:val="clear"/>
            <w:vAlign w:val="center"/>
          </w:tcPr>
          <w:p>
            <w:pPr>
              <w:pStyle w:val="TableContents"/>
              <w:spacing w:before="0" w:after="283"/>
              <w:rPr/>
            </w:pPr>
            <w:r>
              <w:rPr/>
            </w:r>
          </w:p>
        </w:tc>
      </w:tr>
      <w:tr>
        <w:trPr/>
        <w:tc>
          <w:tcPr>
            <w:tcW w:w="61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Operating lease right-of-use assets </w:t>
            </w:r>
          </w:p>
        </w:tc>
        <w:tc>
          <w:tcPr>
            <w:tcW w:w="53" w:type="dxa"/>
            <w:tcBorders/>
            <w:shd w:fill="CCEEFF" w:val="clear"/>
            <w:vAlign w:val="center"/>
          </w:tcPr>
          <w:p>
            <w:pPr>
              <w:pStyle w:val="TableContents"/>
              <w:spacing w:before="0" w:after="283"/>
              <w:ind w:left="0" w:right="0" w:hanging="0"/>
              <w:rPr>
                <w:sz w:val="4"/>
                <w:szCs w:val="4"/>
              </w:rPr>
            </w:pPr>
            <w:r>
              <w:rPr>
                <w:sz w:val="4"/>
                <w:szCs w:val="4"/>
              </w:rPr>
            </w:r>
          </w:p>
        </w:tc>
        <w:tc>
          <w:tcPr>
            <w:tcW w:w="383"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p>
        </w:tc>
        <w:tc>
          <w:tcPr>
            <w:tcW w:w="215" w:type="dxa"/>
            <w:tcBorders/>
            <w:shd w:fill="CCEEFF" w:val="clear"/>
            <w:vAlign w:val="center"/>
          </w:tcPr>
          <w:p>
            <w:pPr>
              <w:pStyle w:val="TableContents"/>
              <w:spacing w:before="0" w:after="283"/>
              <w:ind w:left="0" w:right="0" w:hanging="0"/>
              <w:rPr>
                <w:sz w:val="4"/>
                <w:szCs w:val="4"/>
              </w:rPr>
            </w:pPr>
            <w:r>
              <w:rPr>
                <w:sz w:val="4"/>
                <w:szCs w:val="4"/>
              </w:rPr>
            </w:r>
          </w:p>
        </w:tc>
        <w:tc>
          <w:tcPr>
            <w:tcW w:w="53" w:type="dxa"/>
            <w:tcBorders/>
            <w:shd w:fill="CCEEFF" w:val="clear"/>
            <w:vAlign w:val="center"/>
          </w:tcPr>
          <w:p>
            <w:pPr>
              <w:pStyle w:val="TableContents"/>
              <w:spacing w:before="0" w:after="283"/>
              <w:ind w:left="0" w:right="0" w:hanging="0"/>
              <w:rPr/>
            </w:pPr>
            <w:r>
              <w:rPr/>
            </w:r>
          </w:p>
        </w:tc>
        <w:tc>
          <w:tcPr>
            <w:tcW w:w="15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665" w:type="dxa"/>
            <w:tcBorders/>
            <w:shd w:fill="CCEE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1,537</w:t>
            </w:r>
          </w:p>
        </w:tc>
        <w:tc>
          <w:tcPr>
            <w:tcW w:w="247" w:type="dxa"/>
            <w:tcBorders/>
            <w:shd w:fill="CCEEFF" w:val="clear"/>
            <w:vAlign w:val="center"/>
          </w:tcPr>
          <w:p>
            <w:pPr>
              <w:pStyle w:val="TableContents"/>
              <w:spacing w:before="0" w:after="283"/>
              <w:rPr/>
            </w:pPr>
            <w:r>
              <w:rPr/>
            </w:r>
          </w:p>
        </w:tc>
      </w:tr>
      <w:tr>
        <w:trPr/>
        <w:tc>
          <w:tcPr>
            <w:tcW w:w="6154" w:type="dxa"/>
            <w:tcBorders/>
            <w:shd w:fill="FFFFFF" w:val="clear"/>
            <w:vAlign w:val="center"/>
          </w:tcPr>
          <w:p>
            <w:pPr>
              <w:pStyle w:val="TableContents"/>
              <w:spacing w:before="0" w:after="283"/>
              <w:rPr>
                <w:sz w:val="4"/>
                <w:szCs w:val="4"/>
              </w:rPr>
            </w:pPr>
            <w:r>
              <w:rPr>
                <w:sz w:val="4"/>
                <w:szCs w:val="4"/>
              </w:rPr>
            </w:r>
          </w:p>
        </w:tc>
        <w:tc>
          <w:tcPr>
            <w:tcW w:w="53" w:type="dxa"/>
            <w:tcBorders/>
            <w:shd w:fill="FFFFFF" w:val="clear"/>
            <w:vAlign w:val="center"/>
          </w:tcPr>
          <w:p>
            <w:pPr>
              <w:pStyle w:val="TableContents"/>
              <w:spacing w:before="0" w:after="283"/>
              <w:rPr>
                <w:sz w:val="4"/>
                <w:szCs w:val="4"/>
              </w:rPr>
            </w:pPr>
            <w:r>
              <w:rPr>
                <w:sz w:val="4"/>
                <w:szCs w:val="4"/>
              </w:rPr>
            </w:r>
          </w:p>
        </w:tc>
        <w:tc>
          <w:tcPr>
            <w:tcW w:w="383" w:type="dxa"/>
            <w:tcBorders/>
            <w:shd w:fill="FFFFFF" w:val="clear"/>
            <w:vAlign w:val="center"/>
          </w:tcPr>
          <w:p>
            <w:pPr>
              <w:pStyle w:val="TableContents"/>
              <w:spacing w:before="0" w:after="283"/>
              <w:rPr>
                <w:sz w:val="4"/>
                <w:szCs w:val="4"/>
              </w:rPr>
            </w:pPr>
            <w:r>
              <w:rPr>
                <w:sz w:val="4"/>
                <w:szCs w:val="4"/>
              </w:rPr>
            </w:r>
          </w:p>
        </w:tc>
        <w:tc>
          <w:tcPr>
            <w:tcW w:w="1280" w:type="dxa"/>
            <w:tcBorders/>
            <w:shd w:fill="FFFFFF" w:val="clear"/>
            <w:vAlign w:val="center"/>
          </w:tcPr>
          <w:p>
            <w:pPr>
              <w:pStyle w:val="TableContents"/>
              <w:spacing w:before="0" w:after="283"/>
              <w:rPr>
                <w:sz w:val="4"/>
                <w:szCs w:val="4"/>
              </w:rPr>
            </w:pPr>
            <w:r>
              <w:rPr>
                <w:sz w:val="4"/>
                <w:szCs w:val="4"/>
              </w:rPr>
            </w:r>
          </w:p>
        </w:tc>
        <w:tc>
          <w:tcPr>
            <w:tcW w:w="215" w:type="dxa"/>
            <w:tcBorders/>
            <w:shd w:fill="FFFFFF" w:val="clear"/>
            <w:vAlign w:val="center"/>
          </w:tcPr>
          <w:p>
            <w:pPr>
              <w:pStyle w:val="TableContents"/>
              <w:spacing w:before="0" w:after="283"/>
              <w:rPr>
                <w:sz w:val="4"/>
                <w:szCs w:val="4"/>
              </w:rPr>
            </w:pPr>
            <w:r>
              <w:rPr>
                <w:sz w:val="4"/>
                <w:szCs w:val="4"/>
              </w:rPr>
            </w:r>
          </w:p>
        </w:tc>
        <w:tc>
          <w:tcPr>
            <w:tcW w:w="53" w:type="dxa"/>
            <w:tcBorders/>
            <w:shd w:fill="FFFFFF" w:val="clear"/>
            <w:vAlign w:val="center"/>
          </w:tcPr>
          <w:p>
            <w:pPr>
              <w:pStyle w:val="TableContents"/>
              <w:spacing w:before="0" w:after="283"/>
              <w:rPr/>
            </w:pPr>
            <w:r>
              <w:rPr/>
            </w:r>
          </w:p>
        </w:tc>
        <w:tc>
          <w:tcPr>
            <w:tcW w:w="155" w:type="dxa"/>
            <w:tcBorders/>
            <w:shd w:fill="FFFFFF" w:val="clear"/>
            <w:vAlign w:val="center"/>
          </w:tcPr>
          <w:p>
            <w:pPr>
              <w:pStyle w:val="TableContents"/>
              <w:spacing w:before="0" w:after="283"/>
              <w:rPr/>
            </w:pPr>
            <w:r>
              <w:rPr/>
            </w:r>
          </w:p>
        </w:tc>
        <w:tc>
          <w:tcPr>
            <w:tcW w:w="1665" w:type="dxa"/>
            <w:tcBorders/>
            <w:shd w:fill="FFFFFF" w:val="clear"/>
            <w:vAlign w:val="bottom"/>
          </w:tcPr>
          <w:p>
            <w:pPr>
              <w:pStyle w:val="TableContents"/>
              <w:spacing w:before="0" w:after="283"/>
              <w:rPr/>
            </w:pPr>
            <w:r>
              <w:rPr/>
            </w:r>
          </w:p>
        </w:tc>
        <w:tc>
          <w:tcPr>
            <w:tcW w:w="247" w:type="dxa"/>
            <w:tcBorders/>
            <w:shd w:fill="FFFFFF" w:val="clear"/>
            <w:vAlign w:val="center"/>
          </w:tcPr>
          <w:p>
            <w:pPr>
              <w:pStyle w:val="TableContents"/>
              <w:spacing w:before="0" w:after="283"/>
              <w:rPr/>
            </w:pPr>
            <w:r>
              <w:rPr/>
            </w:r>
          </w:p>
        </w:tc>
      </w:tr>
      <w:tr>
        <w:trPr/>
        <w:tc>
          <w:tcPr>
            <w:tcW w:w="61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Current portion of operating lease liabilities, included in accrued liabilities </w:t>
            </w:r>
          </w:p>
        </w:tc>
        <w:tc>
          <w:tcPr>
            <w:tcW w:w="53" w:type="dxa"/>
            <w:tcBorders/>
            <w:shd w:fill="CCEEFF" w:val="clear"/>
            <w:vAlign w:val="center"/>
          </w:tcPr>
          <w:p>
            <w:pPr>
              <w:pStyle w:val="TableContents"/>
              <w:spacing w:before="0" w:after="283"/>
              <w:ind w:left="0" w:right="0" w:hanging="0"/>
              <w:rPr>
                <w:sz w:val="4"/>
                <w:szCs w:val="4"/>
              </w:rPr>
            </w:pPr>
            <w:r>
              <w:rPr>
                <w:sz w:val="4"/>
                <w:szCs w:val="4"/>
              </w:rPr>
            </w:r>
          </w:p>
        </w:tc>
        <w:tc>
          <w:tcPr>
            <w:tcW w:w="383"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215" w:type="dxa"/>
            <w:tcBorders/>
            <w:shd w:fill="CCEEFF" w:val="clear"/>
            <w:vAlign w:val="center"/>
          </w:tcPr>
          <w:p>
            <w:pPr>
              <w:pStyle w:val="TableContents"/>
              <w:spacing w:before="0" w:after="283"/>
              <w:ind w:left="0" w:right="0" w:hanging="0"/>
              <w:rPr>
                <w:sz w:val="4"/>
                <w:szCs w:val="4"/>
              </w:rPr>
            </w:pPr>
            <w:r>
              <w:rPr>
                <w:sz w:val="4"/>
                <w:szCs w:val="4"/>
              </w:rPr>
            </w:r>
          </w:p>
        </w:tc>
        <w:tc>
          <w:tcPr>
            <w:tcW w:w="53" w:type="dxa"/>
            <w:tcBorders/>
            <w:shd w:fill="CCEEFF" w:val="clear"/>
            <w:vAlign w:val="center"/>
          </w:tcPr>
          <w:p>
            <w:pPr>
              <w:pStyle w:val="TableContents"/>
              <w:spacing w:before="0" w:after="283"/>
              <w:ind w:left="0" w:right="0" w:hanging="0"/>
              <w:rPr/>
            </w:pPr>
            <w:r>
              <w:rPr/>
            </w:r>
          </w:p>
        </w:tc>
        <w:tc>
          <w:tcPr>
            <w:tcW w:w="15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665" w:type="dxa"/>
            <w:tcBorders/>
            <w:shd w:fill="CCEE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247" w:type="dxa"/>
            <w:tcBorders/>
            <w:shd w:fill="CCEEFF" w:val="clear"/>
            <w:vAlign w:val="center"/>
          </w:tcPr>
          <w:p>
            <w:pPr>
              <w:pStyle w:val="TableContents"/>
              <w:spacing w:before="0" w:after="283"/>
              <w:rPr/>
            </w:pPr>
            <w:r>
              <w:rPr/>
            </w:r>
          </w:p>
        </w:tc>
      </w:tr>
      <w:tr>
        <w:trPr/>
        <w:tc>
          <w:tcPr>
            <w:tcW w:w="6154"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Operating lease liabilities, net of current portion </w:t>
            </w:r>
          </w:p>
        </w:tc>
        <w:tc>
          <w:tcPr>
            <w:tcW w:w="53" w:type="dxa"/>
            <w:tcBorders/>
            <w:shd w:fill="FFFFFF" w:val="clear"/>
            <w:vAlign w:val="center"/>
          </w:tcPr>
          <w:p>
            <w:pPr>
              <w:pStyle w:val="TableContents"/>
              <w:spacing w:before="0" w:after="283"/>
              <w:rPr>
                <w:sz w:val="4"/>
                <w:szCs w:val="4"/>
              </w:rPr>
            </w:pPr>
            <w:r>
              <w:rPr>
                <w:sz w:val="4"/>
                <w:szCs w:val="4"/>
              </w:rPr>
            </w:r>
          </w:p>
        </w:tc>
        <w:tc>
          <w:tcPr>
            <w:tcW w:w="383" w:type="dxa"/>
            <w:tcBorders>
              <w:bottom w:val="single" w:sz="8" w:space="0" w:color="000000"/>
            </w:tcBorders>
            <w:shd w:fill="FFFFFF" w:val="clear"/>
            <w:tcMar>
              <w:bottom w:w="28" w:type="dxa"/>
            </w:tcMar>
            <w:vAlign w:val="center"/>
          </w:tcPr>
          <w:p>
            <w:pPr>
              <w:pStyle w:val="TableContents"/>
              <w:spacing w:before="0" w:after="283"/>
              <w:ind w:left="0" w:right="0" w:hanging="0"/>
              <w:rPr>
                <w:sz w:val="4"/>
                <w:szCs w:val="4"/>
              </w:rPr>
            </w:pPr>
            <w:r>
              <w:rPr>
                <w:sz w:val="4"/>
                <w:szCs w:val="4"/>
              </w:rPr>
            </w:r>
          </w:p>
        </w:tc>
        <w:tc>
          <w:tcPr>
            <w:tcW w:w="1280" w:type="dxa"/>
            <w:tcBorders>
              <w:bottom w:val="single" w:sz="8"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215" w:type="dxa"/>
            <w:tcBorders/>
            <w:shd w:fill="FFFFFF" w:val="clear"/>
            <w:vAlign w:val="center"/>
          </w:tcPr>
          <w:p>
            <w:pPr>
              <w:pStyle w:val="TableContents"/>
              <w:spacing w:before="0" w:after="283"/>
              <w:ind w:left="0" w:right="0" w:hanging="0"/>
              <w:rPr>
                <w:sz w:val="4"/>
                <w:szCs w:val="4"/>
              </w:rPr>
            </w:pPr>
            <w:r>
              <w:rPr>
                <w:sz w:val="4"/>
                <w:szCs w:val="4"/>
              </w:rPr>
            </w:r>
          </w:p>
        </w:tc>
        <w:tc>
          <w:tcPr>
            <w:tcW w:w="53" w:type="dxa"/>
            <w:tcBorders/>
            <w:shd w:fill="FFFFFF" w:val="clear"/>
            <w:vAlign w:val="center"/>
          </w:tcPr>
          <w:p>
            <w:pPr>
              <w:pStyle w:val="TableContents"/>
              <w:spacing w:before="0" w:after="283"/>
              <w:ind w:left="0" w:right="0" w:hanging="0"/>
              <w:rPr/>
            </w:pPr>
            <w:r>
              <w:rPr/>
            </w:r>
          </w:p>
        </w:tc>
        <w:tc>
          <w:tcPr>
            <w:tcW w:w="155" w:type="dxa"/>
            <w:tcBorders>
              <w:bottom w:val="single" w:sz="8" w:space="0" w:color="000000"/>
            </w:tcBorders>
            <w:shd w:fill="FFFFFF" w:val="clear"/>
            <w:tcMar>
              <w:bottom w:w="28" w:type="dxa"/>
            </w:tcMar>
            <w:vAlign w:val="center"/>
          </w:tcPr>
          <w:p>
            <w:pPr>
              <w:pStyle w:val="TableContents"/>
              <w:spacing w:before="0" w:after="283"/>
              <w:ind w:left="0" w:right="0" w:hanging="0"/>
              <w:rPr/>
            </w:pPr>
            <w:r>
              <w:rPr/>
            </w:r>
          </w:p>
        </w:tc>
        <w:tc>
          <w:tcPr>
            <w:tcW w:w="1665" w:type="dxa"/>
            <w:tcBorders>
              <w:bottom w:val="single" w:sz="8" w:space="0" w:color="000000"/>
            </w:tcBorders>
            <w:shd w:fill="FFFFFF" w:val="clear"/>
            <w:tcMar>
              <w:bottom w:w="28" w:type="dxa"/>
            </w:tcM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1,026</w:t>
            </w:r>
          </w:p>
        </w:tc>
        <w:tc>
          <w:tcPr>
            <w:tcW w:w="247" w:type="dxa"/>
            <w:tcBorders/>
            <w:shd w:fill="FFFFFF" w:val="clear"/>
            <w:vAlign w:val="center"/>
          </w:tcPr>
          <w:p>
            <w:pPr>
              <w:pStyle w:val="TableContents"/>
              <w:spacing w:before="0" w:after="283"/>
              <w:rPr/>
            </w:pPr>
            <w:r>
              <w:rPr/>
            </w:r>
          </w:p>
        </w:tc>
      </w:tr>
      <w:tr>
        <w:trPr/>
        <w:tc>
          <w:tcPr>
            <w:tcW w:w="6154"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 xml:space="preserve">Total operating lease liabilities </w:t>
            </w:r>
          </w:p>
        </w:tc>
        <w:tc>
          <w:tcPr>
            <w:tcW w:w="53" w:type="dxa"/>
            <w:tcBorders/>
            <w:shd w:fill="CCEEFF" w:val="clear"/>
            <w:vAlign w:val="center"/>
          </w:tcPr>
          <w:p>
            <w:pPr>
              <w:pStyle w:val="TableContents"/>
              <w:spacing w:before="0" w:after="283"/>
              <w:rPr>
                <w:sz w:val="4"/>
                <w:szCs w:val="4"/>
              </w:rPr>
            </w:pPr>
            <w:r>
              <w:rPr>
                <w:sz w:val="4"/>
                <w:szCs w:val="4"/>
              </w:rPr>
            </w:r>
          </w:p>
        </w:tc>
        <w:tc>
          <w:tcPr>
            <w:tcW w:w="383" w:type="dxa"/>
            <w:tcBorders>
              <w:bottom w:val="double" w:sz="7"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280" w:type="dxa"/>
            <w:tcBorders>
              <w:bottom w:val="double" w:sz="7"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215" w:type="dxa"/>
            <w:tcBorders/>
            <w:shd w:fill="CCEEFF" w:val="clear"/>
            <w:vAlign w:val="center"/>
          </w:tcPr>
          <w:p>
            <w:pPr>
              <w:pStyle w:val="TableContents"/>
              <w:spacing w:before="0" w:after="283"/>
              <w:ind w:left="0" w:right="0" w:hanging="0"/>
              <w:rPr>
                <w:sz w:val="4"/>
                <w:szCs w:val="4"/>
              </w:rPr>
            </w:pPr>
            <w:r>
              <w:rPr>
                <w:sz w:val="4"/>
                <w:szCs w:val="4"/>
              </w:rPr>
            </w:r>
          </w:p>
        </w:tc>
        <w:tc>
          <w:tcPr>
            <w:tcW w:w="53" w:type="dxa"/>
            <w:tcBorders/>
            <w:shd w:fill="CCEEFF" w:val="clear"/>
            <w:vAlign w:val="center"/>
          </w:tcPr>
          <w:p>
            <w:pPr>
              <w:pStyle w:val="TableContents"/>
              <w:spacing w:before="0" w:after="283"/>
              <w:ind w:left="0" w:right="0" w:hanging="0"/>
              <w:rPr/>
            </w:pPr>
            <w:r>
              <w:rPr/>
            </w:r>
          </w:p>
        </w:tc>
        <w:tc>
          <w:tcPr>
            <w:tcW w:w="155" w:type="dxa"/>
            <w:tcBorders>
              <w:bottom w:val="double" w:sz="7" w:space="0" w:color="000000"/>
            </w:tcBorders>
            <w:shd w:fill="CCEEFF" w:val="clear"/>
            <w:tcMar>
              <w:bottom w:w="45"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665" w:type="dxa"/>
            <w:tcBorders>
              <w:bottom w:val="double" w:sz="7" w:space="0" w:color="000000"/>
            </w:tcBorders>
            <w:shd w:fill="CCEEFF" w:val="clear"/>
            <w:tcMar>
              <w:bottom w:w="28" w:type="dxa"/>
            </w:tcM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1,649</w:t>
            </w:r>
          </w:p>
        </w:tc>
        <w:tc>
          <w:tcPr>
            <w:tcW w:w="247" w:type="dxa"/>
            <w:tcBorders/>
            <w:shd w:fill="CCEEFF" w:val="clear"/>
            <w:vAlign w:val="center"/>
          </w:tcPr>
          <w:p>
            <w:pPr>
              <w:pStyle w:val="TableContents"/>
              <w:spacing w:before="0" w:after="283"/>
              <w:rPr/>
            </w:pPr>
            <w:r>
              <w:rPr/>
            </w:r>
          </w:p>
        </w:tc>
      </w:tr>
      <w:tr>
        <w:trPr/>
        <w:tc>
          <w:tcPr>
            <w:tcW w:w="6154" w:type="dxa"/>
            <w:tcBorders/>
            <w:shd w:fill="FFFFFF" w:val="clear"/>
            <w:vAlign w:val="center"/>
          </w:tcPr>
          <w:p>
            <w:pPr>
              <w:pStyle w:val="TableContents"/>
              <w:spacing w:before="0" w:after="283"/>
              <w:rPr>
                <w:sz w:val="4"/>
                <w:szCs w:val="4"/>
              </w:rPr>
            </w:pPr>
            <w:r>
              <w:rPr>
                <w:sz w:val="4"/>
                <w:szCs w:val="4"/>
              </w:rPr>
            </w:r>
          </w:p>
        </w:tc>
        <w:tc>
          <w:tcPr>
            <w:tcW w:w="53" w:type="dxa"/>
            <w:tcBorders/>
            <w:shd w:fill="FFFFFF" w:val="clear"/>
            <w:vAlign w:val="center"/>
          </w:tcPr>
          <w:p>
            <w:pPr>
              <w:pStyle w:val="TableContents"/>
              <w:spacing w:before="0" w:after="283"/>
              <w:rPr>
                <w:sz w:val="4"/>
                <w:szCs w:val="4"/>
              </w:rPr>
            </w:pPr>
            <w:r>
              <w:rPr>
                <w:sz w:val="4"/>
                <w:szCs w:val="4"/>
              </w:rPr>
            </w:r>
          </w:p>
        </w:tc>
        <w:tc>
          <w:tcPr>
            <w:tcW w:w="383" w:type="dxa"/>
            <w:tcBorders/>
            <w:shd w:fill="FFFFFF" w:val="clear"/>
            <w:vAlign w:val="center"/>
          </w:tcPr>
          <w:p>
            <w:pPr>
              <w:pStyle w:val="TableContents"/>
              <w:spacing w:before="0" w:after="283"/>
              <w:rPr>
                <w:sz w:val="4"/>
                <w:szCs w:val="4"/>
              </w:rPr>
            </w:pPr>
            <w:r>
              <w:rPr>
                <w:sz w:val="4"/>
                <w:szCs w:val="4"/>
              </w:rPr>
            </w:r>
          </w:p>
        </w:tc>
        <w:tc>
          <w:tcPr>
            <w:tcW w:w="1280" w:type="dxa"/>
            <w:tcBorders/>
            <w:shd w:fill="FFFFFF" w:val="clear"/>
            <w:vAlign w:val="center"/>
          </w:tcPr>
          <w:p>
            <w:pPr>
              <w:pStyle w:val="TableContents"/>
              <w:spacing w:before="0" w:after="283"/>
              <w:rPr>
                <w:sz w:val="4"/>
                <w:szCs w:val="4"/>
              </w:rPr>
            </w:pPr>
            <w:r>
              <w:rPr>
                <w:sz w:val="4"/>
                <w:szCs w:val="4"/>
              </w:rPr>
            </w:r>
          </w:p>
        </w:tc>
        <w:tc>
          <w:tcPr>
            <w:tcW w:w="215" w:type="dxa"/>
            <w:tcBorders/>
            <w:shd w:fill="FFFFFF" w:val="clear"/>
            <w:vAlign w:val="center"/>
          </w:tcPr>
          <w:p>
            <w:pPr>
              <w:pStyle w:val="TableContents"/>
              <w:spacing w:before="0" w:after="283"/>
              <w:rPr>
                <w:sz w:val="4"/>
                <w:szCs w:val="4"/>
              </w:rPr>
            </w:pPr>
            <w:r>
              <w:rPr>
                <w:sz w:val="4"/>
                <w:szCs w:val="4"/>
              </w:rPr>
            </w:r>
          </w:p>
        </w:tc>
        <w:tc>
          <w:tcPr>
            <w:tcW w:w="53" w:type="dxa"/>
            <w:tcBorders/>
            <w:shd w:fill="FFFFFF" w:val="clear"/>
            <w:vAlign w:val="center"/>
          </w:tcPr>
          <w:p>
            <w:pPr>
              <w:pStyle w:val="TableContents"/>
              <w:spacing w:before="0" w:after="283"/>
              <w:rPr/>
            </w:pPr>
            <w:r>
              <w:rPr/>
            </w:r>
          </w:p>
        </w:tc>
        <w:tc>
          <w:tcPr>
            <w:tcW w:w="155" w:type="dxa"/>
            <w:tcBorders/>
            <w:shd w:fill="FFFFFF" w:val="clear"/>
            <w:vAlign w:val="center"/>
          </w:tcPr>
          <w:p>
            <w:pPr>
              <w:pStyle w:val="TableContents"/>
              <w:spacing w:before="0" w:after="283"/>
              <w:rPr/>
            </w:pPr>
            <w:r>
              <w:rPr/>
            </w:r>
          </w:p>
        </w:tc>
        <w:tc>
          <w:tcPr>
            <w:tcW w:w="1665" w:type="dxa"/>
            <w:tcBorders/>
            <w:shd w:fill="FFFFFF" w:val="clear"/>
            <w:vAlign w:val="bottom"/>
          </w:tcPr>
          <w:p>
            <w:pPr>
              <w:pStyle w:val="TableContents"/>
              <w:spacing w:before="0" w:after="283"/>
              <w:rPr/>
            </w:pPr>
            <w:r>
              <w:rPr/>
            </w:r>
          </w:p>
        </w:tc>
        <w:tc>
          <w:tcPr>
            <w:tcW w:w="247" w:type="dxa"/>
            <w:tcBorders/>
            <w:shd w:fill="FFFFFF" w:val="clear"/>
            <w:vAlign w:val="center"/>
          </w:tcPr>
          <w:p>
            <w:pPr>
              <w:pStyle w:val="TableContents"/>
              <w:spacing w:before="0" w:after="283"/>
              <w:rPr/>
            </w:pPr>
            <w:r>
              <w:rPr/>
            </w:r>
          </w:p>
        </w:tc>
      </w:tr>
      <w:tr>
        <w:trPr/>
        <w:tc>
          <w:tcPr>
            <w:tcW w:w="61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Weighted average remaining lease term for operating leases (in years) </w:t>
            </w:r>
          </w:p>
        </w:tc>
        <w:tc>
          <w:tcPr>
            <w:tcW w:w="53" w:type="dxa"/>
            <w:tcBorders/>
            <w:shd w:fill="CCEEFF" w:val="clear"/>
            <w:vAlign w:val="center"/>
          </w:tcPr>
          <w:p>
            <w:pPr>
              <w:pStyle w:val="TableContents"/>
              <w:spacing w:before="0" w:after="283"/>
              <w:rPr>
                <w:sz w:val="4"/>
                <w:szCs w:val="4"/>
              </w:rPr>
            </w:pPr>
            <w:r>
              <w:rPr>
                <w:sz w:val="4"/>
                <w:szCs w:val="4"/>
              </w:rPr>
            </w:r>
          </w:p>
        </w:tc>
        <w:tc>
          <w:tcPr>
            <w:tcW w:w="383" w:type="dxa"/>
            <w:tcBorders/>
            <w:shd w:fill="CCEEFF" w:val="clear"/>
            <w:vAlign w:val="center"/>
          </w:tcPr>
          <w:p>
            <w:pPr>
              <w:pStyle w:val="TableContents"/>
              <w:spacing w:before="0" w:after="283"/>
              <w:ind w:left="0" w:right="0" w:hanging="0"/>
              <w:rPr>
                <w:sz w:val="4"/>
                <w:szCs w:val="4"/>
              </w:rPr>
            </w:pPr>
            <w:r>
              <w:rPr>
                <w:sz w:val="4"/>
                <w:szCs w:val="4"/>
              </w:rPr>
            </w:r>
          </w:p>
        </w:tc>
        <w:tc>
          <w:tcPr>
            <w:tcW w:w="128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215" w:type="dxa"/>
            <w:tcBorders/>
            <w:shd w:fill="CCEEFF" w:val="clear"/>
            <w:vAlign w:val="center"/>
          </w:tcPr>
          <w:p>
            <w:pPr>
              <w:pStyle w:val="TableContents"/>
              <w:spacing w:before="0" w:after="283"/>
              <w:ind w:left="0" w:right="0" w:hanging="0"/>
              <w:rPr>
                <w:sz w:val="4"/>
                <w:szCs w:val="4"/>
              </w:rPr>
            </w:pPr>
            <w:r>
              <w:rPr>
                <w:sz w:val="4"/>
                <w:szCs w:val="4"/>
              </w:rPr>
            </w:r>
          </w:p>
        </w:tc>
        <w:tc>
          <w:tcPr>
            <w:tcW w:w="53" w:type="dxa"/>
            <w:tcBorders/>
            <w:shd w:fill="CCEEFF" w:val="clear"/>
            <w:vAlign w:val="center"/>
          </w:tcPr>
          <w:p>
            <w:pPr>
              <w:pStyle w:val="TableContents"/>
              <w:spacing w:before="0" w:after="283"/>
              <w:ind w:left="0" w:right="0" w:hanging="0"/>
              <w:rPr/>
            </w:pPr>
            <w:r>
              <w:rPr/>
            </w:r>
          </w:p>
        </w:tc>
        <w:tc>
          <w:tcPr>
            <w:tcW w:w="155" w:type="dxa"/>
            <w:tcBorders/>
            <w:shd w:fill="CCEEFF" w:val="clear"/>
            <w:vAlign w:val="center"/>
          </w:tcPr>
          <w:p>
            <w:pPr>
              <w:pStyle w:val="TableContents"/>
              <w:spacing w:before="0" w:after="283"/>
              <w:ind w:left="0" w:right="0" w:hanging="0"/>
              <w:rPr/>
            </w:pPr>
            <w:r>
              <w:rPr/>
            </w:r>
          </w:p>
        </w:tc>
        <w:tc>
          <w:tcPr>
            <w:tcW w:w="1665" w:type="dxa"/>
            <w:tcBorders/>
            <w:shd w:fill="CCEE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247" w:type="dxa"/>
            <w:tcBorders/>
            <w:shd w:fill="CCEEFF" w:val="clear"/>
            <w:vAlign w:val="center"/>
          </w:tcPr>
          <w:p>
            <w:pPr>
              <w:pStyle w:val="TableContents"/>
              <w:spacing w:before="0" w:after="283"/>
              <w:rPr/>
            </w:pPr>
            <w:r>
              <w:rPr/>
            </w:r>
          </w:p>
        </w:tc>
      </w:tr>
      <w:tr>
        <w:trPr/>
        <w:tc>
          <w:tcPr>
            <w:tcW w:w="6154"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Weighted average discount rate for operating leases </w:t>
            </w:r>
          </w:p>
        </w:tc>
        <w:tc>
          <w:tcPr>
            <w:tcW w:w="53" w:type="dxa"/>
            <w:tcBorders/>
            <w:shd w:fill="FFFFFF" w:val="clear"/>
            <w:vAlign w:val="center"/>
          </w:tcPr>
          <w:p>
            <w:pPr>
              <w:pStyle w:val="TableContents"/>
              <w:spacing w:before="0" w:after="283"/>
              <w:rPr>
                <w:sz w:val="4"/>
                <w:szCs w:val="4"/>
              </w:rPr>
            </w:pPr>
            <w:r>
              <w:rPr>
                <w:sz w:val="4"/>
                <w:szCs w:val="4"/>
              </w:rPr>
            </w:r>
          </w:p>
        </w:tc>
        <w:tc>
          <w:tcPr>
            <w:tcW w:w="383" w:type="dxa"/>
            <w:tcBorders/>
            <w:shd w:fill="FFFFFF" w:val="clear"/>
            <w:vAlign w:val="center"/>
          </w:tcPr>
          <w:p>
            <w:pPr>
              <w:pStyle w:val="TableContents"/>
              <w:spacing w:before="0" w:after="283"/>
              <w:ind w:left="0" w:right="0" w:hanging="0"/>
              <w:rPr>
                <w:sz w:val="4"/>
                <w:szCs w:val="4"/>
              </w:rPr>
            </w:pPr>
            <w:r>
              <w:rPr>
                <w:sz w:val="4"/>
                <w:szCs w:val="4"/>
              </w:rPr>
            </w:r>
          </w:p>
        </w:tc>
        <w:tc>
          <w:tcPr>
            <w:tcW w:w="128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215" w:type="dxa"/>
            <w:tcBorders/>
            <w:shd w:fill="FFFFFF"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 w:type="dxa"/>
            <w:tcBorders/>
            <w:shd w:fill="FFFFFF" w:val="clear"/>
            <w:vAlign w:val="center"/>
          </w:tcPr>
          <w:p>
            <w:pPr>
              <w:pStyle w:val="TableContents"/>
              <w:spacing w:before="0" w:after="283"/>
              <w:ind w:left="0" w:right="0" w:hanging="0"/>
              <w:rPr/>
            </w:pPr>
            <w:r>
              <w:rPr/>
            </w:r>
          </w:p>
        </w:tc>
        <w:tc>
          <w:tcPr>
            <w:tcW w:w="155" w:type="dxa"/>
            <w:tcBorders/>
            <w:shd w:fill="FFFFFF" w:val="clear"/>
            <w:vAlign w:val="center"/>
          </w:tcPr>
          <w:p>
            <w:pPr>
              <w:pStyle w:val="TableContents"/>
              <w:spacing w:before="0" w:after="283"/>
              <w:ind w:left="0" w:right="0" w:hanging="0"/>
              <w:rPr/>
            </w:pPr>
            <w:r>
              <w:rPr/>
            </w:r>
          </w:p>
        </w:tc>
        <w:tc>
          <w:tcPr>
            <w:tcW w:w="1665" w:type="dxa"/>
            <w:tcBorders/>
            <w:shd w:fill="FFFFFF" w:val="clear"/>
            <w:vAlign w:val="bottom"/>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247"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widowControl/>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F-17 |</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pPr>
      <w:r>
        <w:rPr/>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rPr/>
      </w:pPr>
      <w:r>
        <w:rPr/>
      </w:r>
    </w:p>
    <w:p>
      <w:pPr>
        <w:pStyle w:val="TextBody"/>
        <w:widowControl/>
        <w:ind w:left="0" w:right="0" w:hanging="0"/>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 following represents maturities of operating lease liabilities as of December 31, 2022:</w:t>
      </w:r>
    </w:p>
    <w:p>
      <w:pPr>
        <w:pStyle w:val="TextBody"/>
        <w:spacing w:lineRule="auto" w:line="240" w:before="0" w:after="0"/>
        <w:ind w:left="0" w:right="0" w:hanging="0"/>
        <w:jc w:val="both"/>
        <w:rPr/>
      </w:pPr>
      <w:r>
        <w:rPr/>
      </w:r>
    </w:p>
    <w:tbl>
      <w:tblPr>
        <w:tblW w:w="3293" w:type="dxa"/>
        <w:jc w:val="left"/>
        <w:tblInd w:w="0" w:type="dxa"/>
        <w:tblCellMar>
          <w:top w:w="0" w:type="dxa"/>
          <w:left w:w="0" w:type="dxa"/>
          <w:bottom w:w="28" w:type="dxa"/>
          <w:right w:w="0" w:type="dxa"/>
        </w:tblCellMar>
      </w:tblPr>
      <w:tblGrid>
        <w:gridCol w:w="2360"/>
        <w:gridCol w:w="53"/>
        <w:gridCol w:w="155"/>
        <w:gridCol w:w="515"/>
        <w:gridCol w:w="210"/>
      </w:tblGrid>
      <w:tr>
        <w:trPr/>
        <w:tc>
          <w:tcPr>
            <w:tcW w:w="2360" w:type="dxa"/>
            <w:tcBorders>
              <w:bottom w:val="single" w:sz="6" w:space="0" w:color="000000"/>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Years ending December 31,</w:t>
            </w:r>
          </w:p>
        </w:tc>
        <w:tc>
          <w:tcPr>
            <w:tcW w:w="53" w:type="dxa"/>
            <w:tcBorders/>
            <w:shd w:fill="auto" w:val="clear"/>
            <w:tcMar>
              <w:bottom w:w="0" w:type="dxa"/>
            </w:tcMar>
            <w:vAlign w:val="center"/>
          </w:tcPr>
          <w:p>
            <w:pPr>
              <w:pStyle w:val="TableContents"/>
              <w:spacing w:before="0" w:after="283"/>
              <w:rPr>
                <w:sz w:val="4"/>
                <w:szCs w:val="4"/>
              </w:rPr>
            </w:pPr>
            <w:r>
              <w:rPr>
                <w:sz w:val="4"/>
                <w:szCs w:val="4"/>
              </w:rPr>
            </w:r>
          </w:p>
        </w:tc>
        <w:tc>
          <w:tcPr>
            <w:tcW w:w="155" w:type="dxa"/>
            <w:tcBorders/>
            <w:shd w:fill="auto" w:val="clear"/>
            <w:tcMar>
              <w:bottom w:w="0" w:type="dxa"/>
            </w:tcMar>
            <w:vAlign w:val="center"/>
          </w:tcPr>
          <w:p>
            <w:pPr>
              <w:pStyle w:val="TableContents"/>
              <w:spacing w:before="0" w:after="283"/>
              <w:rPr>
                <w:sz w:val="4"/>
                <w:szCs w:val="4"/>
              </w:rPr>
            </w:pPr>
            <w:r>
              <w:rPr>
                <w:sz w:val="4"/>
                <w:szCs w:val="4"/>
              </w:rPr>
            </w:r>
          </w:p>
        </w:tc>
        <w:tc>
          <w:tcPr>
            <w:tcW w:w="515" w:type="dxa"/>
            <w:tcBorders/>
            <w:shd w:fill="auto" w:val="clear"/>
            <w:tcMar>
              <w:bottom w:w="0" w:type="dxa"/>
            </w:tcMar>
            <w:vAlign w:val="center"/>
          </w:tcPr>
          <w:p>
            <w:pPr>
              <w:pStyle w:val="TableContents"/>
              <w:spacing w:before="0" w:after="283"/>
              <w:rPr>
                <w:sz w:val="4"/>
                <w:szCs w:val="4"/>
              </w:rPr>
            </w:pPr>
            <w:r>
              <w:rPr>
                <w:sz w:val="4"/>
                <w:szCs w:val="4"/>
              </w:rPr>
            </w:r>
          </w:p>
        </w:tc>
        <w:tc>
          <w:tcPr>
            <w:tcW w:w="21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2360" w:type="dxa"/>
            <w:tcBorders/>
            <w:shd w:fill="CCEEFF" w:val="clear"/>
            <w:tcMar>
              <w:bottom w:w="0" w:type="dxa"/>
            </w:tcM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2023</w:t>
            </w:r>
          </w:p>
        </w:tc>
        <w:tc>
          <w:tcPr>
            <w:tcW w:w="53"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155" w:type="dxa"/>
            <w:tcBorders/>
            <w:shd w:fill="CCEEFF" w:val="clear"/>
            <w:tcMar>
              <w:bottom w:w="0"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15"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210" w:type="dxa"/>
            <w:tcBorders/>
            <w:shd w:fill="CCEEFF" w:val="clear"/>
            <w:tcMar>
              <w:bottom w:w="0" w:type="dxa"/>
            </w:tcMar>
            <w:vAlign w:val="center"/>
          </w:tcPr>
          <w:p>
            <w:pPr>
              <w:pStyle w:val="TableContents"/>
              <w:spacing w:before="0" w:after="283"/>
              <w:rPr>
                <w:sz w:val="4"/>
                <w:szCs w:val="4"/>
              </w:rPr>
            </w:pPr>
            <w:r>
              <w:rPr>
                <w:sz w:val="4"/>
                <w:szCs w:val="4"/>
              </w:rPr>
            </w:r>
          </w:p>
        </w:tc>
      </w:tr>
      <w:tr>
        <w:trPr/>
        <w:tc>
          <w:tcPr>
            <w:tcW w:w="2360" w:type="dxa"/>
            <w:tcBorders/>
            <w:shd w:fill="auto" w:val="clear"/>
            <w:tcMar>
              <w:bottom w:w="0" w:type="dxa"/>
            </w:tcM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2024</w:t>
            </w:r>
          </w:p>
        </w:tc>
        <w:tc>
          <w:tcPr>
            <w:tcW w:w="53" w:type="dxa"/>
            <w:tcBorders/>
            <w:shd w:fill="auto" w:val="clear"/>
            <w:tcMar>
              <w:bottom w:w="0" w:type="dxa"/>
            </w:tcMar>
            <w:vAlign w:val="center"/>
          </w:tcPr>
          <w:p>
            <w:pPr>
              <w:pStyle w:val="TableContents"/>
              <w:spacing w:before="0" w:after="283"/>
              <w:rPr>
                <w:sz w:val="4"/>
                <w:szCs w:val="4"/>
              </w:rPr>
            </w:pPr>
            <w:r>
              <w:rPr>
                <w:sz w:val="4"/>
                <w:szCs w:val="4"/>
              </w:rPr>
            </w:r>
          </w:p>
        </w:tc>
        <w:tc>
          <w:tcPr>
            <w:tcW w:w="15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15" w:type="dxa"/>
            <w:tcBorders/>
            <w:shd w:fill="auto"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21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2360" w:type="dxa"/>
            <w:tcBorders/>
            <w:shd w:fill="CCEEFF" w:val="clear"/>
            <w:tcMar>
              <w:bottom w:w="0" w:type="dxa"/>
            </w:tcM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2025</w:t>
            </w:r>
          </w:p>
        </w:tc>
        <w:tc>
          <w:tcPr>
            <w:tcW w:w="53" w:type="dxa"/>
            <w:tcBorders/>
            <w:shd w:fill="CCEEFF" w:val="clear"/>
            <w:tcMar>
              <w:bottom w:w="0" w:type="dxa"/>
            </w:tcMar>
            <w:vAlign w:val="center"/>
          </w:tcPr>
          <w:p>
            <w:pPr>
              <w:pStyle w:val="TableContents"/>
              <w:spacing w:before="0" w:after="283"/>
              <w:rPr>
                <w:sz w:val="4"/>
                <w:szCs w:val="4"/>
              </w:rPr>
            </w:pPr>
            <w:r>
              <w:rPr>
                <w:sz w:val="4"/>
                <w:szCs w:val="4"/>
              </w:rPr>
            </w:r>
          </w:p>
        </w:tc>
        <w:tc>
          <w:tcPr>
            <w:tcW w:w="155"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515"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10" w:type="dxa"/>
            <w:tcBorders/>
            <w:shd w:fill="CCEEFF" w:val="clear"/>
            <w:tcMar>
              <w:bottom w:w="0" w:type="dxa"/>
            </w:tcMar>
            <w:vAlign w:val="center"/>
          </w:tcPr>
          <w:p>
            <w:pPr>
              <w:pStyle w:val="TableContents"/>
              <w:spacing w:before="0" w:after="283"/>
              <w:rPr>
                <w:sz w:val="4"/>
                <w:szCs w:val="4"/>
              </w:rPr>
            </w:pPr>
            <w:r>
              <w:rPr>
                <w:sz w:val="4"/>
                <w:szCs w:val="4"/>
              </w:rPr>
            </w:r>
          </w:p>
        </w:tc>
      </w:tr>
      <w:tr>
        <w:trPr/>
        <w:tc>
          <w:tcPr>
            <w:tcW w:w="2360" w:type="dxa"/>
            <w:tcBorders/>
            <w:shd w:fill="auto" w:val="clear"/>
            <w:tcMar>
              <w:bottom w:w="0" w:type="dxa"/>
            </w:tcM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2026</w:t>
            </w:r>
          </w:p>
        </w:tc>
        <w:tc>
          <w:tcPr>
            <w:tcW w:w="53" w:type="dxa"/>
            <w:tcBorders/>
            <w:shd w:fill="auto" w:val="clear"/>
            <w:tcMar>
              <w:bottom w:w="0" w:type="dxa"/>
            </w:tcMar>
            <w:vAlign w:val="center"/>
          </w:tcPr>
          <w:p>
            <w:pPr>
              <w:pStyle w:val="TableContents"/>
              <w:spacing w:before="0" w:after="283"/>
              <w:rPr>
                <w:sz w:val="4"/>
                <w:szCs w:val="4"/>
              </w:rPr>
            </w:pPr>
            <w:r>
              <w:rPr>
                <w:sz w:val="4"/>
                <w:szCs w:val="4"/>
              </w:rPr>
            </w:r>
          </w:p>
        </w:tc>
        <w:tc>
          <w:tcPr>
            <w:tcW w:w="155"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515" w:type="dxa"/>
            <w:tcBorders/>
            <w:shd w:fill="auto"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10" w:type="dxa"/>
            <w:tcBorders/>
            <w:shd w:fill="auto" w:val="clear"/>
            <w:tcMar>
              <w:bottom w:w="0" w:type="dxa"/>
            </w:tcMar>
            <w:vAlign w:val="center"/>
          </w:tcPr>
          <w:p>
            <w:pPr>
              <w:pStyle w:val="TableContents"/>
              <w:spacing w:before="0" w:after="283"/>
              <w:rPr>
                <w:sz w:val="4"/>
                <w:szCs w:val="4"/>
              </w:rPr>
            </w:pPr>
            <w:r>
              <w:rPr>
                <w:sz w:val="4"/>
                <w:szCs w:val="4"/>
              </w:rPr>
            </w:r>
          </w:p>
        </w:tc>
      </w:tr>
      <w:tr>
        <w:trPr/>
        <w:tc>
          <w:tcPr>
            <w:tcW w:w="2360" w:type="dxa"/>
            <w:tcBorders/>
            <w:shd w:fill="CCEEFF" w:val="clear"/>
            <w:tcMar>
              <w:bottom w:w="0" w:type="dxa"/>
            </w:tcM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2027</w:t>
            </w:r>
          </w:p>
        </w:tc>
        <w:tc>
          <w:tcPr>
            <w:tcW w:w="53" w:type="dxa"/>
            <w:tcBorders/>
            <w:shd w:fill="CCEEFF" w:val="clear"/>
            <w:tcMar>
              <w:bottom w:w="0" w:type="dxa"/>
            </w:tcMar>
            <w:vAlign w:val="center"/>
          </w:tcPr>
          <w:p>
            <w:pPr>
              <w:pStyle w:val="TableContents"/>
              <w:spacing w:before="0" w:after="283"/>
              <w:rPr>
                <w:sz w:val="4"/>
                <w:szCs w:val="4"/>
              </w:rPr>
            </w:pPr>
            <w:r>
              <w:rPr>
                <w:sz w:val="4"/>
                <w:szCs w:val="4"/>
              </w:rPr>
            </w:r>
          </w:p>
        </w:tc>
        <w:tc>
          <w:tcPr>
            <w:tcW w:w="155"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515"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10" w:type="dxa"/>
            <w:tcBorders/>
            <w:shd w:fill="CCEEFF" w:val="clear"/>
            <w:tcMar>
              <w:bottom w:w="0" w:type="dxa"/>
            </w:tcMar>
            <w:vAlign w:val="center"/>
          </w:tcPr>
          <w:p>
            <w:pPr>
              <w:pStyle w:val="TableContents"/>
              <w:spacing w:before="0" w:after="283"/>
              <w:ind w:left="0" w:right="0" w:firstLine="150"/>
              <w:rPr>
                <w:sz w:val="4"/>
                <w:szCs w:val="4"/>
              </w:rPr>
            </w:pPr>
            <w:r>
              <w:rPr>
                <w:sz w:val="4"/>
                <w:szCs w:val="4"/>
              </w:rPr>
            </w:r>
          </w:p>
        </w:tc>
      </w:tr>
      <w:tr>
        <w:trPr/>
        <w:tc>
          <w:tcPr>
            <w:tcW w:w="23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Thereafter</w:t>
            </w:r>
          </w:p>
        </w:tc>
        <w:tc>
          <w:tcPr>
            <w:tcW w:w="53" w:type="dxa"/>
            <w:tcBorders/>
            <w:shd w:fill="auto" w:val="clear"/>
            <w:tcMar>
              <w:bottom w:w="0" w:type="dxa"/>
            </w:tcMar>
            <w:vAlign w:val="center"/>
          </w:tcPr>
          <w:p>
            <w:pPr>
              <w:pStyle w:val="TableContents"/>
              <w:spacing w:before="0" w:after="283"/>
              <w:rPr/>
            </w:pPr>
            <w:r>
              <w:rPr/>
            </w:r>
          </w:p>
        </w:tc>
        <w:tc>
          <w:tcPr>
            <w:tcW w:w="155" w:type="dxa"/>
            <w:tcBorders>
              <w:bottom w:val="single" w:sz="8" w:space="0" w:color="000000"/>
            </w:tcBorders>
            <w:shd w:fill="auto" w:val="clear"/>
            <w:vAlign w:val="center"/>
          </w:tcPr>
          <w:p>
            <w:pPr>
              <w:pStyle w:val="TableContents"/>
              <w:spacing w:before="0" w:after="283"/>
              <w:ind w:left="0" w:right="0" w:hanging="0"/>
              <w:rPr/>
            </w:pPr>
            <w:r>
              <w:rPr/>
            </w:r>
          </w:p>
        </w:tc>
        <w:tc>
          <w:tcPr>
            <w:tcW w:w="515" w:type="dxa"/>
            <w:tcBorders>
              <w:bottom w:val="single" w:sz="8" w:space="0" w:color="000000"/>
            </w:tcBorders>
            <w:shd w:fill="auto"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10" w:type="dxa"/>
            <w:tcBorders/>
            <w:shd w:fill="auto" w:val="clear"/>
            <w:tcMar>
              <w:bottom w:w="0" w:type="dxa"/>
            </w:tcMar>
            <w:vAlign w:val="center"/>
          </w:tcPr>
          <w:p>
            <w:pPr>
              <w:pStyle w:val="TableContents"/>
              <w:spacing w:before="0" w:after="283"/>
              <w:rPr/>
            </w:pPr>
            <w:r>
              <w:rPr/>
            </w:r>
          </w:p>
        </w:tc>
      </w:tr>
      <w:tr>
        <w:trPr/>
        <w:tc>
          <w:tcPr>
            <w:tcW w:w="2360" w:type="dxa"/>
            <w:tcBorders/>
            <w:shd w:fill="CCEEFF" w:val="clear"/>
            <w:tcMar>
              <w:bottom w:w="0" w:type="dxa"/>
            </w:tcM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 lease payments</w:t>
            </w:r>
          </w:p>
        </w:tc>
        <w:tc>
          <w:tcPr>
            <w:tcW w:w="53" w:type="dxa"/>
            <w:tcBorders/>
            <w:shd w:fill="CCEEFF" w:val="clear"/>
            <w:tcMar>
              <w:bottom w:w="0" w:type="dxa"/>
            </w:tcMar>
            <w:vAlign w:val="center"/>
          </w:tcPr>
          <w:p>
            <w:pPr>
              <w:pStyle w:val="TableContents"/>
              <w:spacing w:before="0" w:after="283"/>
              <w:rPr>
                <w:sz w:val="4"/>
                <w:szCs w:val="4"/>
              </w:rPr>
            </w:pPr>
            <w:r>
              <w:rPr>
                <w:sz w:val="4"/>
                <w:szCs w:val="4"/>
              </w:rPr>
            </w:r>
          </w:p>
        </w:tc>
        <w:tc>
          <w:tcPr>
            <w:tcW w:w="155"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515"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1,208</w:t>
            </w:r>
          </w:p>
        </w:tc>
        <w:tc>
          <w:tcPr>
            <w:tcW w:w="210" w:type="dxa"/>
            <w:tcBorders/>
            <w:shd w:fill="CCEEFF" w:val="clear"/>
            <w:tcMar>
              <w:bottom w:w="0" w:type="dxa"/>
            </w:tcMar>
            <w:vAlign w:val="center"/>
          </w:tcPr>
          <w:p>
            <w:pPr>
              <w:pStyle w:val="TableContents"/>
              <w:spacing w:before="0" w:after="283"/>
              <w:rPr>
                <w:sz w:val="4"/>
                <w:szCs w:val="4"/>
              </w:rPr>
            </w:pPr>
            <w:r>
              <w:rPr>
                <w:sz w:val="4"/>
                <w:szCs w:val="4"/>
              </w:rPr>
            </w:r>
          </w:p>
        </w:tc>
      </w:tr>
      <w:tr>
        <w:trPr/>
        <w:tc>
          <w:tcPr>
            <w:tcW w:w="2360" w:type="dxa"/>
            <w:tcBorders/>
            <w:shd w:fill="auto" w:val="clear"/>
            <w:tcMar>
              <w:bottom w:w="0" w:type="dxa"/>
            </w:tcM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Less: Imputed interest</w:t>
            </w:r>
          </w:p>
        </w:tc>
        <w:tc>
          <w:tcPr>
            <w:tcW w:w="53" w:type="dxa"/>
            <w:tcBorders/>
            <w:shd w:fill="auto" w:val="clear"/>
            <w:tcMar>
              <w:bottom w:w="0" w:type="dxa"/>
            </w:tcMar>
            <w:vAlign w:val="center"/>
          </w:tcPr>
          <w:p>
            <w:pPr>
              <w:pStyle w:val="TableContents"/>
              <w:spacing w:before="0" w:after="283"/>
              <w:rPr>
                <w:sz w:val="4"/>
                <w:szCs w:val="4"/>
              </w:rPr>
            </w:pPr>
            <w:r>
              <w:rPr>
                <w:sz w:val="4"/>
                <w:szCs w:val="4"/>
              </w:rPr>
            </w:r>
          </w:p>
        </w:tc>
        <w:tc>
          <w:tcPr>
            <w:tcW w:w="155" w:type="dxa"/>
            <w:tcBorders>
              <w:bottom w:val="single" w:sz="2" w:space="0" w:color="000000"/>
            </w:tcBorders>
            <w:shd w:fill="auto" w:val="clear"/>
            <w:vAlign w:val="center"/>
          </w:tcPr>
          <w:p>
            <w:pPr>
              <w:pStyle w:val="TableContents"/>
              <w:spacing w:before="0" w:after="283"/>
              <w:ind w:left="0" w:right="0" w:hanging="0"/>
              <w:rPr>
                <w:sz w:val="4"/>
                <w:szCs w:val="4"/>
              </w:rPr>
            </w:pPr>
            <w:r>
              <w:rPr>
                <w:sz w:val="4"/>
                <w:szCs w:val="4"/>
              </w:rPr>
            </w:r>
          </w:p>
        </w:tc>
        <w:tc>
          <w:tcPr>
            <w:tcW w:w="515" w:type="dxa"/>
            <w:tcBorders>
              <w:bottom w:val="single" w:sz="2" w:space="0" w:color="000000"/>
            </w:tcBorders>
            <w:shd w:fill="auto"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21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tcMar>
              <w:bottom w:w="0" w:type="dxa"/>
            </w:tcMar>
            <w:vAlign w:val="center"/>
          </w:tcPr>
          <w:p>
            <w:pPr>
              <w:pStyle w:val="TableContents"/>
              <w:spacing w:before="0" w:after="0"/>
              <w:ind w:left="720" w:right="0" w:hanging="0"/>
              <w:rPr>
                <w:rFonts w:ascii="Times New Roman;Times;serif" w:hAnsi="Times New Roman;Times;serif"/>
                <w:sz w:val="20"/>
              </w:rPr>
            </w:pPr>
            <w:r>
              <w:rPr>
                <w:rFonts w:ascii="Times New Roman;Times;serif" w:hAnsi="Times New Roman;Times;serif"/>
                <w:sz w:val="20"/>
              </w:rPr>
              <w:t>Total</w:t>
            </w:r>
          </w:p>
        </w:tc>
        <w:tc>
          <w:tcPr>
            <w:tcW w:w="53" w:type="dxa"/>
            <w:tcBorders/>
            <w:shd w:fill="CCEEFF" w:val="clear"/>
            <w:tcMar>
              <w:bottom w:w="0" w:type="dxa"/>
            </w:tcMar>
            <w:vAlign w:val="center"/>
          </w:tcPr>
          <w:p>
            <w:pPr>
              <w:pStyle w:val="TableContents"/>
              <w:spacing w:before="0" w:after="283"/>
              <w:ind w:left="0" w:right="0" w:hanging="0"/>
              <w:rPr>
                <w:sz w:val="4"/>
                <w:szCs w:val="4"/>
              </w:rPr>
            </w:pPr>
            <w:r>
              <w:rPr>
                <w:sz w:val="4"/>
                <w:szCs w:val="4"/>
              </w:rPr>
            </w:r>
          </w:p>
        </w:tc>
        <w:tc>
          <w:tcPr>
            <w:tcW w:w="155" w:type="dxa"/>
            <w:tcBorders>
              <w:bottom w:val="double" w:sz="7" w:space="0" w:color="000000"/>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15" w:type="dxa"/>
            <w:tcBorders>
              <w:bottom w:val="double" w:sz="7" w:space="0" w:color="000000"/>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210" w:type="dxa"/>
            <w:tcBorders/>
            <w:shd w:fill="CCEEFF" w:val="clear"/>
            <w:tcMar>
              <w:bottom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rPr/>
      </w:pPr>
      <w:r>
        <w:rPr/>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7. Accrued Liabilities</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Accrued liabilities consist of the following:</w:t>
      </w:r>
    </w:p>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7160"/>
        <w:gridCol w:w="220"/>
        <w:gridCol w:w="294"/>
        <w:gridCol w:w="755"/>
        <w:gridCol w:w="220"/>
        <w:gridCol w:w="220"/>
        <w:gridCol w:w="294"/>
        <w:gridCol w:w="755"/>
        <w:gridCol w:w="287"/>
      </w:tblGrid>
      <w:tr>
        <w:trPr/>
        <w:tc>
          <w:tcPr>
            <w:tcW w:w="7160" w:type="dxa"/>
            <w:tcBorders/>
            <w:shd w:fill="auto" w:val="clear"/>
            <w:vAlign w:val="center"/>
          </w:tcPr>
          <w:p>
            <w:pPr>
              <w:pStyle w:val="TableContents"/>
              <w:spacing w:before="0" w:after="0"/>
              <w:ind w:left="0" w:right="0" w:hanging="0"/>
              <w:rPr/>
            </w:pPr>
            <w:r>
              <w:rPr/>
              <w:t xml:space="preserve">  </w:t>
            </w:r>
          </w:p>
        </w:tc>
        <w:tc>
          <w:tcPr>
            <w:tcW w:w="220" w:type="dxa"/>
            <w:tcBorders/>
            <w:shd w:fill="auto" w:val="clear"/>
            <w:vAlign w:val="center"/>
          </w:tcPr>
          <w:p>
            <w:pPr>
              <w:pStyle w:val="TableContents"/>
              <w:spacing w:before="0" w:after="0"/>
              <w:ind w:left="0" w:right="0" w:hanging="0"/>
              <w:rPr/>
            </w:pPr>
            <w:r>
              <w:rPr/>
              <w:t xml:space="preserve">  </w:t>
            </w:r>
          </w:p>
        </w:tc>
        <w:tc>
          <w:tcPr>
            <w:tcW w:w="2538"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As of December 31,</w:t>
            </w:r>
          </w:p>
        </w:tc>
        <w:tc>
          <w:tcPr>
            <w:tcW w:w="287" w:type="dxa"/>
            <w:tcBorders/>
            <w:shd w:fill="auto" w:val="clear"/>
            <w:vAlign w:val="center"/>
          </w:tcPr>
          <w:p>
            <w:pPr>
              <w:pStyle w:val="TableContents"/>
              <w:spacing w:before="0" w:after="0"/>
              <w:ind w:left="0" w:right="0" w:hanging="0"/>
              <w:rPr/>
            </w:pPr>
            <w:r>
              <w:rPr/>
              <w:t xml:space="preserve">  </w:t>
            </w:r>
          </w:p>
        </w:tc>
      </w:tr>
      <w:tr>
        <w:trPr/>
        <w:tc>
          <w:tcPr>
            <w:tcW w:w="7160" w:type="dxa"/>
            <w:tcBorders/>
            <w:shd w:fill="auto" w:val="clear"/>
            <w:vAlign w:val="center"/>
          </w:tcPr>
          <w:p>
            <w:pPr>
              <w:pStyle w:val="TableContents"/>
              <w:spacing w:before="0" w:after="0"/>
              <w:ind w:left="0" w:right="0" w:hanging="0"/>
              <w:rPr/>
            </w:pPr>
            <w:r>
              <w:rPr/>
              <w:t xml:space="preserve">  </w:t>
            </w:r>
          </w:p>
        </w:tc>
        <w:tc>
          <w:tcPr>
            <w:tcW w:w="220" w:type="dxa"/>
            <w:tcBorders/>
            <w:shd w:fill="auto" w:val="clear"/>
            <w:vAlign w:val="center"/>
          </w:tcPr>
          <w:p>
            <w:pPr>
              <w:pStyle w:val="TableContents"/>
              <w:spacing w:before="0" w:after="0"/>
              <w:ind w:left="0" w:right="0" w:hanging="0"/>
              <w:rPr/>
            </w:pPr>
            <w:r>
              <w:rPr/>
              <w:t xml:space="preserve">  </w:t>
            </w:r>
          </w:p>
        </w:tc>
        <w:tc>
          <w:tcPr>
            <w:tcW w:w="104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220" w:type="dxa"/>
            <w:tcBorders/>
            <w:shd w:fill="auto" w:val="clear"/>
            <w:vAlign w:val="center"/>
          </w:tcPr>
          <w:p>
            <w:pPr>
              <w:pStyle w:val="TableContents"/>
              <w:spacing w:before="0" w:after="0"/>
              <w:ind w:left="0" w:right="0" w:hanging="0"/>
              <w:rPr/>
            </w:pPr>
            <w:r>
              <w:rPr/>
              <w:t xml:space="preserve">  </w:t>
            </w:r>
          </w:p>
        </w:tc>
        <w:tc>
          <w:tcPr>
            <w:tcW w:w="220" w:type="dxa"/>
            <w:tcBorders/>
            <w:shd w:fill="auto" w:val="clear"/>
            <w:vAlign w:val="center"/>
          </w:tcPr>
          <w:p>
            <w:pPr>
              <w:pStyle w:val="TableContents"/>
              <w:spacing w:before="0" w:after="0"/>
              <w:ind w:left="0" w:right="0" w:hanging="0"/>
              <w:rPr/>
            </w:pPr>
            <w:r>
              <w:rPr/>
              <w:t xml:space="preserve">  </w:t>
            </w:r>
          </w:p>
        </w:tc>
        <w:tc>
          <w:tcPr>
            <w:tcW w:w="104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287" w:type="dxa"/>
            <w:tcBorders/>
            <w:shd w:fill="auto" w:val="clear"/>
            <w:vAlign w:val="center"/>
          </w:tcPr>
          <w:p>
            <w:pPr>
              <w:pStyle w:val="TableContents"/>
              <w:spacing w:before="0" w:after="0"/>
              <w:ind w:left="0" w:right="0" w:hanging="0"/>
              <w:rPr/>
            </w:pPr>
            <w:r>
              <w:rPr/>
              <w:t xml:space="preserve">  </w:t>
            </w:r>
          </w:p>
        </w:tc>
      </w:tr>
      <w:tr>
        <w:trPr/>
        <w:tc>
          <w:tcPr>
            <w:tcW w:w="71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Accrued salaries and other compensation </w:t>
            </w:r>
          </w:p>
        </w:tc>
        <w:tc>
          <w:tcPr>
            <w:tcW w:w="220" w:type="dxa"/>
            <w:tcBorders/>
            <w:shd w:fill="CCEEFF" w:val="clear"/>
            <w:vAlign w:val="center"/>
          </w:tcPr>
          <w:p>
            <w:pPr>
              <w:pStyle w:val="TableContents"/>
              <w:spacing w:before="0" w:after="0"/>
              <w:ind w:left="0" w:right="0" w:hanging="0"/>
              <w:rPr/>
            </w:pPr>
            <w:r>
              <w:rPr/>
              <w:t xml:space="preserve">  </w:t>
            </w:r>
          </w:p>
        </w:tc>
        <w:tc>
          <w:tcPr>
            <w:tcW w:w="29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5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1,148</w:t>
            </w:r>
          </w:p>
        </w:tc>
        <w:tc>
          <w:tcPr>
            <w:tcW w:w="220" w:type="dxa"/>
            <w:tcBorders/>
            <w:shd w:fill="CCEEFF" w:val="clear"/>
            <w:vAlign w:val="center"/>
          </w:tcPr>
          <w:p>
            <w:pPr>
              <w:pStyle w:val="TableContents"/>
              <w:spacing w:before="0" w:after="0"/>
              <w:ind w:left="0" w:right="0" w:hanging="0"/>
              <w:rPr/>
            </w:pPr>
            <w:r>
              <w:rPr/>
              <w:t xml:space="preserve">  </w:t>
            </w:r>
          </w:p>
        </w:tc>
        <w:tc>
          <w:tcPr>
            <w:tcW w:w="220" w:type="dxa"/>
            <w:tcBorders/>
            <w:shd w:fill="CCEEFF" w:val="clear"/>
            <w:vAlign w:val="center"/>
          </w:tcPr>
          <w:p>
            <w:pPr>
              <w:pStyle w:val="TableContents"/>
              <w:spacing w:before="0" w:after="0"/>
              <w:ind w:left="0" w:right="0" w:hanging="0"/>
              <w:rPr/>
            </w:pPr>
            <w:r>
              <w:rPr/>
              <w:t xml:space="preserve">  </w:t>
            </w:r>
          </w:p>
        </w:tc>
        <w:tc>
          <w:tcPr>
            <w:tcW w:w="29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5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733</w:t>
            </w:r>
          </w:p>
        </w:tc>
        <w:tc>
          <w:tcPr>
            <w:tcW w:w="287" w:type="dxa"/>
            <w:tcBorders/>
            <w:shd w:fill="CCEEFF" w:val="clear"/>
            <w:vAlign w:val="center"/>
          </w:tcPr>
          <w:p>
            <w:pPr>
              <w:pStyle w:val="TableContents"/>
              <w:spacing w:before="0" w:after="0"/>
              <w:ind w:left="0" w:right="0" w:hanging="0"/>
              <w:rPr/>
            </w:pPr>
            <w:r>
              <w:rPr/>
              <w:t xml:space="preserve">  </w:t>
            </w:r>
          </w:p>
        </w:tc>
      </w:tr>
      <w:tr>
        <w:trPr/>
        <w:tc>
          <w:tcPr>
            <w:tcW w:w="716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Sales and marketing programs and customer credit balances</w:t>
            </w:r>
          </w:p>
        </w:tc>
        <w:tc>
          <w:tcPr>
            <w:tcW w:w="220" w:type="dxa"/>
            <w:tcBorders/>
            <w:shd w:fill="auto" w:val="clear"/>
            <w:vAlign w:val="center"/>
          </w:tcPr>
          <w:p>
            <w:pPr>
              <w:pStyle w:val="TableContents"/>
              <w:spacing w:before="0" w:after="0"/>
              <w:ind w:left="0" w:right="0" w:hanging="0"/>
              <w:rPr/>
            </w:pPr>
            <w:r>
              <w:rPr/>
              <w:t xml:space="preserve">  </w:t>
            </w:r>
          </w:p>
        </w:tc>
        <w:tc>
          <w:tcPr>
            <w:tcW w:w="294" w:type="dxa"/>
            <w:tcBorders/>
            <w:shd w:fill="auto" w:val="clear"/>
            <w:vAlign w:val="center"/>
          </w:tcPr>
          <w:p>
            <w:pPr>
              <w:pStyle w:val="TableContents"/>
              <w:spacing w:before="0" w:after="0"/>
              <w:ind w:left="0" w:right="0" w:hanging="0"/>
              <w:rPr/>
            </w:pPr>
            <w:r>
              <w:rPr/>
              <w:t xml:space="preserve">  </w:t>
            </w:r>
          </w:p>
        </w:tc>
        <w:tc>
          <w:tcPr>
            <w:tcW w:w="75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605</w:t>
            </w:r>
          </w:p>
        </w:tc>
        <w:tc>
          <w:tcPr>
            <w:tcW w:w="220" w:type="dxa"/>
            <w:tcBorders/>
            <w:shd w:fill="auto" w:val="clear"/>
            <w:vAlign w:val="center"/>
          </w:tcPr>
          <w:p>
            <w:pPr>
              <w:pStyle w:val="TableContents"/>
              <w:spacing w:before="0" w:after="0"/>
              <w:ind w:left="0" w:right="0" w:hanging="0"/>
              <w:rPr/>
            </w:pPr>
            <w:r>
              <w:rPr/>
              <w:t xml:space="preserve">  </w:t>
            </w:r>
          </w:p>
        </w:tc>
        <w:tc>
          <w:tcPr>
            <w:tcW w:w="220" w:type="dxa"/>
            <w:tcBorders/>
            <w:shd w:fill="auto" w:val="clear"/>
            <w:vAlign w:val="center"/>
          </w:tcPr>
          <w:p>
            <w:pPr>
              <w:pStyle w:val="TableContents"/>
              <w:spacing w:before="0" w:after="0"/>
              <w:ind w:left="0" w:right="0" w:hanging="0"/>
              <w:rPr/>
            </w:pPr>
            <w:r>
              <w:rPr/>
              <w:t xml:space="preserve">  </w:t>
            </w:r>
          </w:p>
        </w:tc>
        <w:tc>
          <w:tcPr>
            <w:tcW w:w="294" w:type="dxa"/>
            <w:tcBorders/>
            <w:shd w:fill="auto" w:val="clear"/>
            <w:vAlign w:val="center"/>
          </w:tcPr>
          <w:p>
            <w:pPr>
              <w:pStyle w:val="TableContents"/>
              <w:spacing w:before="0" w:after="0"/>
              <w:ind w:left="0" w:right="0" w:hanging="0"/>
              <w:rPr/>
            </w:pPr>
            <w:r>
              <w:rPr/>
              <w:t xml:space="preserve">  </w:t>
            </w:r>
          </w:p>
        </w:tc>
        <w:tc>
          <w:tcPr>
            <w:tcW w:w="75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869</w:t>
            </w:r>
          </w:p>
        </w:tc>
        <w:tc>
          <w:tcPr>
            <w:tcW w:w="287" w:type="dxa"/>
            <w:tcBorders/>
            <w:shd w:fill="auto" w:val="clear"/>
            <w:vAlign w:val="center"/>
          </w:tcPr>
          <w:p>
            <w:pPr>
              <w:pStyle w:val="TableContents"/>
              <w:spacing w:before="0" w:after="0"/>
              <w:ind w:left="0" w:right="0" w:hanging="0"/>
              <w:rPr/>
            </w:pPr>
            <w:r>
              <w:rPr/>
              <w:t xml:space="preserve">  </w:t>
            </w:r>
          </w:p>
        </w:tc>
      </w:tr>
      <w:tr>
        <w:trPr/>
        <w:tc>
          <w:tcPr>
            <w:tcW w:w="71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Product warranty </w:t>
            </w:r>
          </w:p>
        </w:tc>
        <w:tc>
          <w:tcPr>
            <w:tcW w:w="220" w:type="dxa"/>
            <w:tcBorders/>
            <w:shd w:fill="CCEEFF" w:val="clear"/>
            <w:vAlign w:val="center"/>
          </w:tcPr>
          <w:p>
            <w:pPr>
              <w:pStyle w:val="TableContents"/>
              <w:spacing w:before="0" w:after="0"/>
              <w:ind w:left="0" w:right="0" w:hanging="0"/>
              <w:rPr/>
            </w:pPr>
            <w:r>
              <w:rPr/>
              <w:t xml:space="preserve">  </w:t>
            </w:r>
          </w:p>
        </w:tc>
        <w:tc>
          <w:tcPr>
            <w:tcW w:w="294" w:type="dxa"/>
            <w:tcBorders/>
            <w:shd w:fill="CCEEFF" w:val="clear"/>
            <w:vAlign w:val="center"/>
          </w:tcPr>
          <w:p>
            <w:pPr>
              <w:pStyle w:val="TableContents"/>
              <w:spacing w:before="0" w:after="0"/>
              <w:ind w:left="0" w:right="0" w:hanging="0"/>
              <w:rPr/>
            </w:pPr>
            <w:r>
              <w:rPr/>
              <w:t xml:space="preserve">  </w:t>
            </w:r>
          </w:p>
        </w:tc>
        <w:tc>
          <w:tcPr>
            <w:tcW w:w="75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220" w:type="dxa"/>
            <w:tcBorders/>
            <w:shd w:fill="CCEEFF" w:val="clear"/>
            <w:vAlign w:val="center"/>
          </w:tcPr>
          <w:p>
            <w:pPr>
              <w:pStyle w:val="TableContents"/>
              <w:spacing w:before="0" w:after="0"/>
              <w:ind w:left="0" w:right="0" w:hanging="0"/>
              <w:rPr/>
            </w:pPr>
            <w:r>
              <w:rPr/>
              <w:t xml:space="preserve">  </w:t>
            </w:r>
          </w:p>
        </w:tc>
        <w:tc>
          <w:tcPr>
            <w:tcW w:w="220" w:type="dxa"/>
            <w:tcBorders/>
            <w:shd w:fill="CCEEFF" w:val="clear"/>
            <w:vAlign w:val="center"/>
          </w:tcPr>
          <w:p>
            <w:pPr>
              <w:pStyle w:val="TableContents"/>
              <w:spacing w:before="0" w:after="0"/>
              <w:ind w:left="0" w:right="0" w:hanging="0"/>
              <w:rPr/>
            </w:pPr>
            <w:r>
              <w:rPr/>
              <w:t xml:space="preserve">  </w:t>
            </w:r>
          </w:p>
        </w:tc>
        <w:tc>
          <w:tcPr>
            <w:tcW w:w="294" w:type="dxa"/>
            <w:tcBorders/>
            <w:shd w:fill="CCEEFF" w:val="clear"/>
            <w:vAlign w:val="center"/>
          </w:tcPr>
          <w:p>
            <w:pPr>
              <w:pStyle w:val="TableContents"/>
              <w:spacing w:before="0" w:after="0"/>
              <w:ind w:left="0" w:right="0" w:hanging="0"/>
              <w:rPr/>
            </w:pPr>
            <w:r>
              <w:rPr/>
              <w:t xml:space="preserve">  </w:t>
            </w:r>
          </w:p>
        </w:tc>
        <w:tc>
          <w:tcPr>
            <w:tcW w:w="75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194</w:t>
            </w:r>
          </w:p>
        </w:tc>
        <w:tc>
          <w:tcPr>
            <w:tcW w:w="287" w:type="dxa"/>
            <w:tcBorders/>
            <w:shd w:fill="CCEEFF" w:val="clear"/>
            <w:vAlign w:val="center"/>
          </w:tcPr>
          <w:p>
            <w:pPr>
              <w:pStyle w:val="TableContents"/>
              <w:spacing w:before="0" w:after="0"/>
              <w:ind w:left="0" w:right="0" w:hanging="0"/>
              <w:rPr/>
            </w:pPr>
            <w:r>
              <w:rPr/>
              <w:t xml:space="preserve">  </w:t>
            </w:r>
          </w:p>
        </w:tc>
      </w:tr>
      <w:tr>
        <w:trPr/>
        <w:tc>
          <w:tcPr>
            <w:tcW w:w="7160" w:type="dxa"/>
            <w:tcBorders/>
            <w:shd w:fill="auto" w:val="clear"/>
            <w:vAlign w:val="center"/>
          </w:tcPr>
          <w:p>
            <w:pPr>
              <w:pStyle w:val="TableContents"/>
              <w:spacing w:before="0" w:after="283"/>
              <w:rPr/>
            </w:pPr>
            <w:r>
              <w:rPr/>
              <w:t>Current portion of operating lease liabilities </w:t>
            </w:r>
          </w:p>
        </w:tc>
        <w:tc>
          <w:tcPr>
            <w:tcW w:w="220" w:type="dxa"/>
            <w:tcBorders/>
            <w:shd w:fill="auto" w:val="clear"/>
            <w:vAlign w:val="center"/>
          </w:tcPr>
          <w:p>
            <w:pPr>
              <w:pStyle w:val="TableContents"/>
              <w:spacing w:before="0" w:after="283"/>
              <w:rPr/>
            </w:pPr>
            <w:r>
              <w:rPr/>
            </w:r>
          </w:p>
        </w:tc>
        <w:tc>
          <w:tcPr>
            <w:tcW w:w="294" w:type="dxa"/>
            <w:tcBorders/>
            <w:shd w:fill="auto" w:val="clear"/>
            <w:vAlign w:val="center"/>
          </w:tcPr>
          <w:p>
            <w:pPr>
              <w:pStyle w:val="TableContents"/>
              <w:spacing w:before="0" w:after="283"/>
              <w:rPr/>
            </w:pPr>
            <w:r>
              <w:rPr/>
            </w:r>
          </w:p>
        </w:tc>
        <w:tc>
          <w:tcPr>
            <w:tcW w:w="755" w:type="dxa"/>
            <w:tcBorders/>
            <w:shd w:fill="auto" w:val="clear"/>
            <w:vAlign w:val="center"/>
          </w:tcPr>
          <w:p>
            <w:pPr>
              <w:pStyle w:val="TableContents"/>
              <w:spacing w:before="0" w:after="283"/>
              <w:jc w:val="right"/>
              <w:rPr/>
            </w:pPr>
            <w:r>
              <w:rPr/>
              <w:t>641</w:t>
            </w:r>
          </w:p>
        </w:tc>
        <w:tc>
          <w:tcPr>
            <w:tcW w:w="220" w:type="dxa"/>
            <w:tcBorders/>
            <w:shd w:fill="auto" w:val="clear"/>
            <w:vAlign w:val="center"/>
          </w:tcPr>
          <w:p>
            <w:pPr>
              <w:pStyle w:val="TableContents"/>
              <w:spacing w:before="0" w:after="283"/>
              <w:rPr/>
            </w:pPr>
            <w:r>
              <w:rPr/>
            </w:r>
          </w:p>
        </w:tc>
        <w:tc>
          <w:tcPr>
            <w:tcW w:w="220" w:type="dxa"/>
            <w:tcBorders/>
            <w:shd w:fill="auto" w:val="clear"/>
            <w:vAlign w:val="center"/>
          </w:tcPr>
          <w:p>
            <w:pPr>
              <w:pStyle w:val="TableContents"/>
              <w:spacing w:before="0" w:after="283"/>
              <w:rPr/>
            </w:pPr>
            <w:r>
              <w:rPr/>
            </w:r>
          </w:p>
        </w:tc>
        <w:tc>
          <w:tcPr>
            <w:tcW w:w="294" w:type="dxa"/>
            <w:tcBorders/>
            <w:shd w:fill="auto" w:val="clear"/>
            <w:vAlign w:val="center"/>
          </w:tcPr>
          <w:p>
            <w:pPr>
              <w:pStyle w:val="TableContents"/>
              <w:spacing w:before="0" w:after="283"/>
              <w:rPr/>
            </w:pPr>
            <w:r>
              <w:rPr/>
            </w:r>
          </w:p>
        </w:tc>
        <w:tc>
          <w:tcPr>
            <w:tcW w:w="755" w:type="dxa"/>
            <w:tcBorders/>
            <w:shd w:fill="auto" w:val="clear"/>
            <w:vAlign w:val="center"/>
          </w:tcPr>
          <w:p>
            <w:pPr>
              <w:pStyle w:val="TableContents"/>
              <w:spacing w:before="0" w:after="283"/>
              <w:jc w:val="right"/>
              <w:rPr/>
            </w:pPr>
            <w:r>
              <w:rPr/>
              <w:t>623</w:t>
            </w:r>
          </w:p>
        </w:tc>
        <w:tc>
          <w:tcPr>
            <w:tcW w:w="287" w:type="dxa"/>
            <w:tcBorders/>
            <w:shd w:fill="auto" w:val="clear"/>
            <w:vAlign w:val="center"/>
          </w:tcPr>
          <w:p>
            <w:pPr>
              <w:pStyle w:val="TableContents"/>
              <w:spacing w:before="0" w:after="283"/>
              <w:rPr/>
            </w:pPr>
            <w:r>
              <w:rPr/>
            </w:r>
          </w:p>
        </w:tc>
      </w:tr>
      <w:tr>
        <w:trPr/>
        <w:tc>
          <w:tcPr>
            <w:tcW w:w="7160" w:type="dxa"/>
            <w:tcBorders/>
            <w:shd w:fill="CCEEFF" w:val="clear"/>
            <w:vAlign w:val="center"/>
          </w:tcPr>
          <w:p>
            <w:pPr>
              <w:pStyle w:val="TableContents"/>
              <w:spacing w:before="0" w:after="0"/>
              <w:ind w:left="0" w:right="0" w:hanging="0"/>
              <w:rPr/>
            </w:pPr>
            <w:r>
              <w:rPr/>
              <w:t xml:space="preserve">Other accrued liabilities </w:t>
            </w:r>
          </w:p>
        </w:tc>
        <w:tc>
          <w:tcPr>
            <w:tcW w:w="220" w:type="dxa"/>
            <w:tcBorders/>
            <w:shd w:fill="CCEEFF" w:val="clear"/>
            <w:vAlign w:val="center"/>
          </w:tcPr>
          <w:p>
            <w:pPr>
              <w:pStyle w:val="TableContents"/>
              <w:spacing w:before="0" w:after="0"/>
              <w:ind w:left="0" w:right="0" w:hanging="0"/>
              <w:rPr/>
            </w:pPr>
            <w:r>
              <w:rPr/>
              <w:t xml:space="preserve">  </w:t>
            </w:r>
          </w:p>
        </w:tc>
        <w:tc>
          <w:tcPr>
            <w:tcW w:w="294"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5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453</w:t>
            </w:r>
          </w:p>
        </w:tc>
        <w:tc>
          <w:tcPr>
            <w:tcW w:w="220" w:type="dxa"/>
            <w:tcBorders/>
            <w:shd w:fill="CCEEFF" w:val="clear"/>
            <w:vAlign w:val="center"/>
          </w:tcPr>
          <w:p>
            <w:pPr>
              <w:pStyle w:val="TableContents"/>
              <w:spacing w:before="0" w:after="0"/>
              <w:ind w:left="0" w:right="0" w:hanging="0"/>
              <w:rPr/>
            </w:pPr>
            <w:r>
              <w:rPr/>
              <w:t xml:space="preserve">  </w:t>
            </w:r>
          </w:p>
        </w:tc>
        <w:tc>
          <w:tcPr>
            <w:tcW w:w="220" w:type="dxa"/>
            <w:tcBorders/>
            <w:shd w:fill="CCEEFF" w:val="clear"/>
            <w:vAlign w:val="center"/>
          </w:tcPr>
          <w:p>
            <w:pPr>
              <w:pStyle w:val="TableContents"/>
              <w:spacing w:before="0" w:after="0"/>
              <w:ind w:left="0" w:right="0" w:hanging="0"/>
              <w:rPr/>
            </w:pPr>
            <w:r>
              <w:rPr/>
              <w:t xml:space="preserve">  </w:t>
            </w:r>
          </w:p>
        </w:tc>
        <w:tc>
          <w:tcPr>
            <w:tcW w:w="294"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5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130</w:t>
            </w:r>
          </w:p>
        </w:tc>
        <w:tc>
          <w:tcPr>
            <w:tcW w:w="287" w:type="dxa"/>
            <w:tcBorders/>
            <w:shd w:fill="CCEEFF" w:val="clear"/>
            <w:vAlign w:val="center"/>
          </w:tcPr>
          <w:p>
            <w:pPr>
              <w:pStyle w:val="TableContents"/>
              <w:spacing w:before="0" w:after="0"/>
              <w:ind w:left="0" w:right="0" w:hanging="0"/>
              <w:rPr/>
            </w:pPr>
            <w:r>
              <w:rPr/>
              <w:t xml:space="preserve">  </w:t>
            </w:r>
          </w:p>
        </w:tc>
      </w:tr>
      <w:tr>
        <w:trPr/>
        <w:tc>
          <w:tcPr>
            <w:tcW w:w="7160" w:type="dxa"/>
            <w:tcBorders/>
            <w:shd w:fill="auto" w:val="clear"/>
            <w:vAlign w:val="center"/>
          </w:tcPr>
          <w:p>
            <w:pPr>
              <w:pStyle w:val="TableContents"/>
              <w:spacing w:before="0" w:after="0"/>
              <w:ind w:left="180" w:right="0" w:hanging="0"/>
              <w:rPr/>
            </w:pPr>
            <w:r>
              <w:rPr/>
              <w:t>Total </w:t>
            </w:r>
          </w:p>
        </w:tc>
        <w:tc>
          <w:tcPr>
            <w:tcW w:w="220" w:type="dxa"/>
            <w:tcBorders/>
            <w:shd w:fill="auto" w:val="clear"/>
            <w:vAlign w:val="center"/>
          </w:tcPr>
          <w:p>
            <w:pPr>
              <w:pStyle w:val="TableContents"/>
              <w:spacing w:before="0" w:after="0"/>
              <w:ind w:left="0" w:right="0" w:hanging="0"/>
              <w:rPr/>
            </w:pPr>
            <w:r>
              <w:rPr/>
              <w:t xml:space="preserve">  </w:t>
            </w:r>
          </w:p>
        </w:tc>
        <w:tc>
          <w:tcPr>
            <w:tcW w:w="29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5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3,041</w:t>
            </w:r>
          </w:p>
        </w:tc>
        <w:tc>
          <w:tcPr>
            <w:tcW w:w="220" w:type="dxa"/>
            <w:tcBorders/>
            <w:shd w:fill="auto" w:val="clear"/>
            <w:vAlign w:val="center"/>
          </w:tcPr>
          <w:p>
            <w:pPr>
              <w:pStyle w:val="TableContents"/>
              <w:spacing w:before="0" w:after="0"/>
              <w:ind w:left="0" w:right="0" w:hanging="0"/>
              <w:rPr/>
            </w:pPr>
            <w:r>
              <w:rPr/>
              <w:t xml:space="preserve">  </w:t>
            </w:r>
          </w:p>
        </w:tc>
        <w:tc>
          <w:tcPr>
            <w:tcW w:w="220" w:type="dxa"/>
            <w:tcBorders/>
            <w:shd w:fill="auto" w:val="clear"/>
            <w:vAlign w:val="center"/>
          </w:tcPr>
          <w:p>
            <w:pPr>
              <w:pStyle w:val="TableContents"/>
              <w:spacing w:before="0" w:after="0"/>
              <w:ind w:left="0" w:right="0" w:hanging="0"/>
              <w:rPr/>
            </w:pPr>
            <w:r>
              <w:rPr/>
              <w:t xml:space="preserve">  </w:t>
            </w:r>
          </w:p>
        </w:tc>
        <w:tc>
          <w:tcPr>
            <w:tcW w:w="29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5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2,549</w:t>
            </w:r>
          </w:p>
        </w:tc>
        <w:tc>
          <w:tcPr>
            <w:tcW w:w="287" w:type="dxa"/>
            <w:tcBorders/>
            <w:shd w:fill="auto" w:val="clear"/>
            <w:vAlign w:val="center"/>
          </w:tcPr>
          <w:p>
            <w:pPr>
              <w:pStyle w:val="TableContents"/>
              <w:spacing w:before="0" w:after="0"/>
              <w:ind w:left="0" w:right="0" w:hanging="0"/>
              <w:rPr/>
            </w:pPr>
            <w:r>
              <w:rPr/>
              <w:t xml:space="preserve">  </w:t>
            </w:r>
          </w:p>
        </w:tc>
      </w:tr>
    </w:tbl>
    <w:p>
      <w:pPr>
        <w:pStyle w:val="TextBody"/>
        <w:spacing w:lineRule="auto" w:line="240" w:before="0" w:after="0"/>
        <w:ind w:left="144" w:right="144"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F-18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8. Commitments and Contingencies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We establish contingent liabilities </w:t>
      </w:r>
      <w:r>
        <w:rPr>
          <w:rFonts w:ascii="Times New Roman;serif" w:hAnsi="Times New Roman;serif"/>
          <w:sz w:val="20"/>
        </w:rPr>
        <w:t>when a particular contingency is both probable and estimable. The Company is not aware of any pending claims or assessments, other than as described below, which may have a material adverse impact on the Company’s financial position or results of operations.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serif" w:hAnsi="Times New Roman;serif"/>
          <w:sz w:val="20"/>
        </w:rPr>
      </w:pPr>
      <w:r>
        <w:rPr>
          <w:rFonts w:ascii="Times New Roman;serif" w:hAnsi="Times New Roman;serif"/>
          <w:sz w:val="20"/>
        </w:rPr>
        <w:t>Outsource Manufacturers. We have manufacturing agreements with electronics manufacturing service (“EMS”) providers related to the outsourced 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$2,035 as of December 31, 2022.</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pPr>
      <w:r>
        <w:rPr>
          <w:rFonts w:ascii="Times New Roman;serif" w:hAnsi="Times New Roman;serif"/>
          <w:sz w:val="20"/>
        </w:rPr>
        <w:t xml:space="preserve">Uncertain Tax Positions. As further discussed in </w:t>
      </w:r>
      <w:hyperlink w:anchor="Note 13 - Income Taxes">
        <w:r>
          <w:rPr>
            <w:rStyle w:val="InternetLink"/>
            <w:rFonts w:ascii="Times New Roman;serif" w:hAnsi="Times New Roman;serif"/>
            <w:sz w:val="20"/>
          </w:rPr>
          <w:t>Note 13 - Income Taxes</w:t>
        </w:r>
      </w:hyperlink>
      <w:r>
        <w:rPr>
          <w:rFonts w:ascii="Times New Roman;serif" w:hAnsi="Times New Roman;serif"/>
          <w:sz w:val="20"/>
        </w:rPr>
        <w:t>, we had $962 of uncertain tax positions as of December 31, 2022. Due to the inherent uncertainty of the underlying tax positions, it is not possible to forecast the payment of this liability to any particular year.</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serif" w:hAnsi="Times New Roman;serif"/>
          <w:i/>
          <w:sz w:val="20"/>
        </w:rPr>
      </w:pPr>
      <w:r>
        <w:rPr>
          <w:rFonts w:ascii="Times New Roman;serif" w:hAnsi="Times New Roman;serif"/>
          <w:i/>
          <w:sz w:val="20"/>
        </w:rPr>
        <w:t>Legal Proceedings.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serif" w:hAnsi="Times New Roman;serif"/>
          <w:sz w:val="20"/>
          <w:u w:val="single"/>
        </w:rPr>
      </w:pPr>
      <w:r>
        <w:rPr>
          <w:rFonts w:ascii="Times New Roman;serif" w:hAnsi="Times New Roman;serif"/>
          <w:sz w:val="20"/>
          <w:u w:val="single"/>
        </w:rPr>
        <w:t>Intellectual Property Litigation</w:t>
      </w:r>
    </w:p>
    <w:p>
      <w:pPr>
        <w:pStyle w:val="TextBody"/>
        <w:spacing w:lineRule="auto" w:line="240" w:before="0" w:after="0"/>
        <w:ind w:left="0" w:right="0" w:hanging="0"/>
        <w:jc w:val="both"/>
        <w:rPr/>
      </w:pPr>
      <w:r>
        <w:rPr/>
        <w:t> </w:t>
      </w:r>
    </w:p>
    <w:p>
      <w:pPr>
        <w:pStyle w:val="TextBody"/>
        <w:widowControl/>
        <w:spacing w:lineRule="auto" w:line="240" w:before="0" w:after="0"/>
        <w:ind w:left="0" w:right="0" w:firstLine="720"/>
        <w:jc w:val="both"/>
        <w:rPr>
          <w:rFonts w:ascii="Times New Roman;serif" w:hAnsi="Times New Roman;serif"/>
          <w:sz w:val="24"/>
        </w:rPr>
      </w:pPr>
      <w:r>
        <w:rPr>
          <w:rFonts w:ascii="Times New Roman;serif" w:hAnsi="Times New Roman;serif"/>
          <w:b w:val="false"/>
          <w:i w:val="false"/>
          <w:caps w:val="false"/>
          <w:smallCaps w:val="false"/>
          <w:color w:val="000000"/>
          <w:spacing w:val="0"/>
          <w:sz w:val="20"/>
        </w:rPr>
        <w:t>The Company has been involved in several litigation proceedings (collectively, the “Litigations”) against Shure Incorporated (“Shure”) as more fully described in the Part I, Item 3</w:t>
      </w:r>
      <w:r>
        <w:rPr>
          <w:rFonts w:ascii="Times New Roman;serif" w:hAnsi="Times New Roman;serif"/>
          <w:caps w:val="false"/>
          <w:smallCaps w:val="false"/>
          <w:color w:val="000000"/>
          <w:spacing w:val="0"/>
          <w:sz w:val="24"/>
        </w:rPr>
        <w:t> </w:t>
      </w:r>
      <w:r>
        <w:rPr>
          <w:rFonts w:ascii="Times New Roman;serif" w:hAnsi="Times New Roman;serif"/>
          <w:b w:val="false"/>
          <w:i w:val="false"/>
          <w:caps w:val="false"/>
          <w:smallCaps w:val="false"/>
          <w:color w:val="000000"/>
          <w:spacing w:val="0"/>
          <w:sz w:val="20"/>
        </w:rPr>
        <w:t>of the Company’s annual report on Form 10-K for the year ended December 31, 2021, as supplemented in Part II, Item 1 of the Company’s quarterly report on Form 10-Q for the quarter ended September 30, 2022.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On December 9, 2022, the Company and Shure entered into a confidential settlement and license agreement (the “Agreement”).  Under the terms of the Agreement:</w:t>
      </w:r>
    </w:p>
    <w:p>
      <w:pPr>
        <w:pStyle w:val="TextBody"/>
        <w:widowControl/>
        <w:spacing w:lineRule="auto" w:line="240" w:before="0" w:after="0"/>
        <w:ind w:left="0" w:right="0" w:hanging="0"/>
        <w:jc w:val="both"/>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0"/>
              <w:ind w:left="0" w:right="0" w:hanging="0"/>
              <w:jc w:val="both"/>
              <w:rPr/>
            </w:pPr>
            <w:r>
              <w:rPr/>
              <w:t xml:space="preserve">● </w:t>
            </w:r>
          </w:p>
        </w:tc>
        <w:tc>
          <w:tcPr>
            <w:tcW w:w="9962" w:type="dxa"/>
            <w:tcBorders/>
            <w:shd w:fill="auto" w:val="clear"/>
            <w:vAlign w:val="center"/>
          </w:tcPr>
          <w:p>
            <w:pPr>
              <w:pStyle w:val="TableContents"/>
              <w:spacing w:lineRule="auto" w:line="288" w:before="0" w:after="0"/>
              <w:ind w:left="0" w:right="0" w:hanging="0"/>
              <w:rPr>
                <w:rFonts w:ascii="Times New Roman" w:hAnsi="Times New Roman"/>
                <w:sz w:val="20"/>
              </w:rPr>
            </w:pPr>
            <w:r>
              <w:rPr>
                <w:rFonts w:ascii="Times New Roman" w:hAnsi="Times New Roman"/>
                <w:sz w:val="20"/>
              </w:rPr>
              <w:t xml:space="preserve">All of the Litigations between the parties were dismissed with prejudice and each of the Company and Shure released all claims against the other arising from or in connection with the matters that were subject to the Litigations; </w:t>
            </w:r>
          </w:p>
        </w:tc>
      </w:tr>
      <w:tr>
        <w:trPr/>
        <w:tc>
          <w:tcPr>
            <w:tcW w:w="243" w:type="dxa"/>
            <w:tcBorders/>
            <w:shd w:fill="auto" w:val="clear"/>
            <w:vAlign w:val="center"/>
          </w:tcPr>
          <w:p>
            <w:pPr>
              <w:pStyle w:val="TableContents"/>
              <w:spacing w:before="0" w:after="0"/>
              <w:ind w:left="0" w:right="0" w:hanging="0"/>
              <w:jc w:val="both"/>
              <w:rPr/>
            </w:pPr>
            <w:r>
              <w:rPr/>
              <w:t xml:space="preserve">● </w:t>
            </w:r>
          </w:p>
        </w:tc>
        <w:tc>
          <w:tcPr>
            <w:tcW w:w="9962" w:type="dxa"/>
            <w:tcBorders/>
            <w:shd w:fill="auto" w:val="clear"/>
            <w:vAlign w:val="center"/>
          </w:tcPr>
          <w:p>
            <w:pPr>
              <w:pStyle w:val="TableContents"/>
              <w:spacing w:lineRule="auto" w:line="288" w:before="0" w:after="0"/>
              <w:ind w:left="0" w:right="0" w:hanging="0"/>
              <w:rPr>
                <w:rFonts w:ascii="Times New Roman" w:hAnsi="Times New Roman"/>
                <w:sz w:val="20"/>
              </w:rPr>
            </w:pPr>
            <w:r>
              <w:rPr>
                <w:rFonts w:ascii="Times New Roman" w:hAnsi="Times New Roman"/>
                <w:sz w:val="20"/>
              </w:rPr>
              <w:t xml:space="preserve">Shure made a one-time settlement payment to the Company in the amount of $55,000 within five days after the dismissal of the Litigations in accordance with the Agreement in January 2023; and </w:t>
            </w:r>
          </w:p>
        </w:tc>
      </w:tr>
      <w:tr>
        <w:trPr/>
        <w:tc>
          <w:tcPr>
            <w:tcW w:w="243" w:type="dxa"/>
            <w:tcBorders/>
            <w:shd w:fill="auto" w:val="clear"/>
            <w:vAlign w:val="center"/>
          </w:tcPr>
          <w:p>
            <w:pPr>
              <w:pStyle w:val="TableContents"/>
              <w:spacing w:before="0" w:after="0"/>
              <w:ind w:left="0" w:right="0" w:hanging="0"/>
              <w:jc w:val="both"/>
              <w:rPr/>
            </w:pPr>
            <w:r>
              <w:rPr/>
              <w:t xml:space="preserve">● </w:t>
            </w:r>
          </w:p>
        </w:tc>
        <w:tc>
          <w:tcPr>
            <w:tcW w:w="996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The Company and Shure agreed to certain patent licenses and covenants not to sue. </w:t>
            </w:r>
          </w:p>
        </w:tc>
      </w:tr>
    </w:tbl>
    <w:p>
      <w:pPr>
        <w:pStyle w:val="TextBody"/>
        <w:spacing w:lineRule="auto" w:line="24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r>
    </w:p>
    <w:p>
      <w:pPr>
        <w:pStyle w:val="TextBody"/>
        <w:widowControl/>
        <w:spacing w:before="0" w:after="16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Company capitalized $737 and $7,836 of litigation expenses related to this matter during the twelve months ended December 31, 2022 and 2021, respectively. </w:t>
      </w:r>
    </w:p>
    <w:p>
      <w:pPr>
        <w:pStyle w:val="TextBody"/>
        <w:widowControl/>
        <w:spacing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A gain of $33,623 was recognized and included under other income after deducting the </w:t>
      </w:r>
      <w:r>
        <w:rPr>
          <w:rFonts w:ascii="times new roman;times" w:hAnsi="times new roman;times"/>
          <w:b w:val="false"/>
          <w:i w:val="false"/>
          <w:caps w:val="false"/>
          <w:smallCaps w:val="false"/>
          <w:color w:val="000000"/>
          <w:spacing w:val="0"/>
          <w:sz w:val="20"/>
        </w:rPr>
        <w:t>entire capitalized legal costs amounting to $27,374 net of amortized costs of $5,997 </w:t>
      </w:r>
      <w:r>
        <w:rPr>
          <w:rFonts w:ascii="times new roman;times" w:hAnsi="times new roman;times"/>
          <w:b w:val="false"/>
          <w:i w:val="false"/>
          <w:caps w:val="false"/>
          <w:smallCaps w:val="false"/>
          <w:color w:val="000000"/>
          <w:spacing w:val="0"/>
          <w:sz w:val="20"/>
        </w:rPr>
        <w:t>from the one-time legal settlement amount of $55,000, which is included in the balance sheet under legal settlement receivable as of December 31, 2022.</w:t>
      </w:r>
    </w:p>
    <w:p>
      <w:pPr>
        <w:pStyle w:val="TextBody"/>
        <w:widowControl/>
        <w:spacing w:before="0" w:after="16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pStyle w:val="TextBody"/>
        <w:widowControl/>
        <w:spacing w:lineRule="auto" w:line="240" w:before="0" w:after="160"/>
        <w:ind w:left="0" w:right="0" w:hanging="0"/>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Conclusion</w:t>
      </w:r>
    </w:p>
    <w:p>
      <w:pPr>
        <w:pStyle w:val="TextBody"/>
        <w:widowControl/>
        <w:spacing w:lineRule="auto" w:line="240"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believe there are no other items that will have a material adverse impact on the Company’s financial position or results of operations. Legal proceedings are subject to all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risks and uncertainties of legal proceedings and there can be no assurance as to the probable result of any legal proceedings.</w:t>
      </w:r>
    </w:p>
    <w:p>
      <w:pPr>
        <w:pStyle w:val="TextBody"/>
        <w:widowControl/>
        <w:spacing w:lineRule="auto" w:line="240"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believes it has adequately accrued for the aforementioned contingent</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liabilities. If adverse outcomes were to occur, our financial position, results of operations and cash flows could be negatively affected materially for the period in which the adverse outcomes are known.</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sz w:val="20"/>
              </w:rPr>
            </w:pPr>
            <w:r>
              <w:rPr>
                <w:rFonts w:ascii="Times New Roman" w:hAnsi="Times New Roman"/>
                <w:b w:val="false"/>
                <w:i w:val="false"/>
                <w:caps w:val="false"/>
                <w:smallCaps w:val="false"/>
                <w:color w:val="000000"/>
                <w:spacing w:val="0"/>
                <w:sz w:val="20"/>
              </w:rPr>
              <w:t>| F-19</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w:t>
      </w: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(Dollars in thousands, except share and per share amounts)</w:t>
      </w:r>
    </w:p>
    <w:p>
      <w:pPr>
        <w:pStyle w:val="TextBody"/>
        <w:spacing w:lineRule="auto" w:line="240" w:before="0" w:after="0"/>
        <w:ind w:left="0" w:right="0" w:hanging="0"/>
        <w:rPr>
          <w:rFonts w:ascii="times new roman;times" w:hAnsi="times new roman;times"/>
          <w:b/>
          <w:color w:val="212529"/>
          <w:sz w:val="20"/>
        </w:rPr>
      </w:pPr>
      <w:r>
        <w:rPr>
          <w:rFonts w:ascii="times new roman;times" w:hAnsi="times new roman;times"/>
          <w:b/>
          <w:color w:val="212529"/>
          <w:sz w:val="20"/>
        </w:rPr>
        <w:t>9. Debt</w:t>
      </w:r>
    </w:p>
    <w:p>
      <w:pPr>
        <w:pStyle w:val="TextBody"/>
        <w:spacing w:lineRule="auto" w:line="240" w:before="0" w:after="0"/>
        <w:ind w:left="0" w:right="0" w:hanging="0"/>
        <w:jc w:val="both"/>
        <w:rPr/>
      </w:pPr>
      <w:r>
        <w:rPr/>
      </w:r>
    </w:p>
    <w:p>
      <w:pPr>
        <w:pStyle w:val="TextBody"/>
        <w:widowControl/>
        <w:spacing w:lineRule="auto" w:line="240" w:before="0" w:after="0"/>
        <w:ind w:left="0" w:right="0" w:hanging="0"/>
        <w:jc w:val="both"/>
        <w:rPr>
          <w:rFonts w:ascii="times new roman;times" w:hAnsi="times new roman;times"/>
          <w:b/>
          <w:i/>
          <w:color w:val="000000"/>
          <w:spacing w:val="0"/>
          <w:sz w:val="20"/>
        </w:rPr>
      </w:pPr>
      <w:r>
        <w:rPr>
          <w:rFonts w:ascii="times new roman;times" w:hAnsi="times new roman;times"/>
          <w:b/>
          <w:i/>
          <w:color w:val="000000"/>
          <w:spacing w:val="0"/>
          <w:sz w:val="20"/>
        </w:rPr>
        <w:t>Senior Convertible Notes and Warrants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Notes mature on December 17, 2023 (the “Maturity Date”) and accrue interest at a variable rate adjusted on a quarterly basis and equal to two and </w:t>
      </w:r>
      <w:r>
        <w:rPr>
          <w:rFonts w:ascii="times new roman;times" w:hAnsi="times new roman;times"/>
          <w:color w:val="000000"/>
          <w:sz w:val="20"/>
        </w:rPr>
        <w:t>one</w:t>
      </w:r>
      <w:r>
        <w:rPr>
          <w:rFonts w:ascii="times new roman;times" w:hAnsi="times new roman;times"/>
          <w:color w:val="000000"/>
          <w:sz w:val="20"/>
        </w:rPr>
        <w:t xml:space="preserve">-half percent (2.5%) over the greater of (x) five and </w:t>
      </w:r>
      <w:r>
        <w:rPr>
          <w:rFonts w:ascii="times new roman;times" w:hAnsi="times new roman;times"/>
          <w:color w:val="000000"/>
          <w:sz w:val="20"/>
        </w:rPr>
        <w:t>one</w:t>
      </w:r>
      <w:r>
        <w:rPr>
          <w:rFonts w:ascii="times new roman;times" w:hAnsi="times new roman;times"/>
          <w:color w:val="000000"/>
          <w:sz w:val="20"/>
        </w:rPr>
        <w:t>-quarter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The net proceeds after original issue discount and issuance costs of $346 were approximately $2,654. The Company expects to use the proceeds from the sale of the Notes and Warrants for general corporate purposes and working capital. </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In accounting for the issuance of the Notes, the Company separated Notes and Warrants into liability and equity components. The carrying amount of Warrants, being an equity component, was first calculated using Black-Scholes method with the following assumptions: </w:t>
      </w:r>
    </w:p>
    <w:p>
      <w:pPr>
        <w:pStyle w:val="TextBody"/>
        <w:spacing w:lineRule="auto" w:line="240" w:before="0" w:after="0"/>
        <w:ind w:left="0" w:right="0" w:hanging="0"/>
        <w:jc w:val="both"/>
        <w:rPr/>
      </w:pPr>
      <w:r>
        <w:rPr/>
      </w:r>
    </w:p>
    <w:tbl>
      <w:tblPr>
        <w:tblW w:w="2500" w:type="pct"/>
        <w:jc w:val="left"/>
        <w:tblInd w:w="0" w:type="dxa"/>
        <w:tblCellMar>
          <w:top w:w="0" w:type="dxa"/>
          <w:left w:w="0" w:type="dxa"/>
          <w:bottom w:w="0" w:type="dxa"/>
          <w:right w:w="0" w:type="dxa"/>
        </w:tblCellMar>
      </w:tblPr>
      <w:tblGrid>
        <w:gridCol w:w="3998"/>
        <w:gridCol w:w="1104"/>
      </w:tblGrid>
      <w:tr>
        <w:trPr/>
        <w:tc>
          <w:tcPr>
            <w:tcW w:w="3998" w:type="dxa"/>
            <w:tcBorders/>
            <w:shd w:fill="CCEEFF" w:val="clear"/>
            <w:vAlign w:val="bottom"/>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Risk-free interest rate </w:t>
            </w:r>
          </w:p>
        </w:tc>
        <w:tc>
          <w:tcPr>
            <w:tcW w:w="1104" w:type="dxa"/>
            <w:tcBorders/>
            <w:shd w:fill="CCEEFF" w:val="clear"/>
            <w:vAlign w:val="bottom"/>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 xml:space="preserve">1.82% </w:t>
            </w:r>
          </w:p>
        </w:tc>
      </w:tr>
      <w:tr>
        <w:trPr/>
        <w:tc>
          <w:tcPr>
            <w:tcW w:w="3998" w:type="dxa"/>
            <w:tcBorders/>
            <w:shd w:fill="FFFFFF" w:val="clear"/>
            <w:vAlign w:val="bottom"/>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Expected life of Warrants (years) </w:t>
            </w:r>
          </w:p>
        </w:tc>
        <w:tc>
          <w:tcPr>
            <w:tcW w:w="1104" w:type="dxa"/>
            <w:tcBorders/>
            <w:shd w:fill="FFFFFF" w:val="clear"/>
            <w:vAlign w:val="bottom"/>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7</w:t>
            </w:r>
          </w:p>
        </w:tc>
      </w:tr>
      <w:tr>
        <w:trPr/>
        <w:tc>
          <w:tcPr>
            <w:tcW w:w="3998" w:type="dxa"/>
            <w:tcBorders/>
            <w:shd w:fill="CCEEFF" w:val="clear"/>
            <w:vAlign w:val="bottom"/>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Expected price volatility </w:t>
            </w:r>
          </w:p>
        </w:tc>
        <w:tc>
          <w:tcPr>
            <w:tcW w:w="1104" w:type="dxa"/>
            <w:tcBorders/>
            <w:shd w:fill="CCEEFF" w:val="clear"/>
            <w:vAlign w:val="bottom"/>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 xml:space="preserve">49.94% </w:t>
            </w:r>
          </w:p>
        </w:tc>
      </w:tr>
      <w:tr>
        <w:trPr/>
        <w:tc>
          <w:tcPr>
            <w:tcW w:w="3998" w:type="dxa"/>
            <w:tcBorders/>
            <w:shd w:fill="FFFFFF" w:val="clear"/>
            <w:vAlign w:val="bottom"/>
          </w:tcPr>
          <w:p>
            <w:pPr>
              <w:pStyle w:val="TableContents"/>
              <w:spacing w:before="0" w:after="0"/>
              <w:ind w:left="0" w:right="0" w:hanging="0"/>
              <w:rPr>
                <w:rFonts w:ascii="times new roman;times" w:hAnsi="times new roman;times"/>
                <w:sz w:val="20"/>
              </w:rPr>
            </w:pPr>
            <w:r>
              <w:rPr>
                <w:rFonts w:ascii="times new roman;times" w:hAnsi="times new roman;times"/>
                <w:sz w:val="20"/>
              </w:rPr>
              <w:t xml:space="preserve">Expected dividend yield </w:t>
            </w:r>
          </w:p>
        </w:tc>
        <w:tc>
          <w:tcPr>
            <w:tcW w:w="1104" w:type="dxa"/>
            <w:tcBorders/>
            <w:shd w:fill="FFFFFF" w:val="clear"/>
            <w:vAlign w:val="bottom"/>
          </w:tcPr>
          <w:p>
            <w:pPr>
              <w:pStyle w:val="TableContents"/>
              <w:spacing w:before="0" w:after="0"/>
              <w:ind w:left="0" w:right="0" w:hanging="0"/>
              <w:jc w:val="right"/>
              <w:rPr>
                <w:rFonts w:ascii="times new roman;times" w:hAnsi="times new roman;times"/>
                <w:sz w:val="20"/>
              </w:rPr>
            </w:pPr>
            <w:r>
              <w:rPr>
                <w:rFonts w:ascii="times new roman;times" w:hAnsi="times new roman;times"/>
                <w:sz w:val="20"/>
              </w:rPr>
              <w:t xml:space="preserve">0% </w:t>
            </w:r>
          </w:p>
        </w:tc>
      </w:tr>
    </w:tbl>
    <w:p>
      <w:pPr>
        <w:pStyle w:val="TextBody"/>
        <w:spacing w:lineRule="auto" w:line="240" w:before="0" w:after="0"/>
        <w:ind w:left="0" w:right="0" w:hanging="0"/>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20</w:t>
            </w:r>
            <w:r>
              <w:rPr>
                <w:rFonts w:ascii="Times New Roman" w:hAnsi="Times New Roman"/>
                <w:b w:val="false"/>
                <w:i w:val="false"/>
                <w:caps w:val="false"/>
                <w:smallCaps w:val="false"/>
                <w:color w:val="000000"/>
                <w:spacing w:val="0"/>
                <w:sz w:val="20"/>
              </w:rPr>
              <w:t> |</w:t>
            </w:r>
          </w:p>
        </w:tc>
      </w:tr>
    </w:tbl>
    <w:p>
      <w:pPr>
        <w:pStyle w:val="TextBody"/>
        <w:spacing w:lineRule="auto" w:line="24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rPr/>
      </w:pPr>
      <w:r>
        <w:rPr/>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The original issue discount and issuance costs are netted against the liability. The following table represents the carrying value of Notes and Warrants:</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3500" w:type="pct"/>
        <w:jc w:val="left"/>
        <w:tblInd w:w="0" w:type="dxa"/>
        <w:tblCellMar>
          <w:top w:w="0" w:type="dxa"/>
          <w:left w:w="0" w:type="dxa"/>
          <w:bottom w:w="0" w:type="dxa"/>
          <w:right w:w="0" w:type="dxa"/>
        </w:tblCellMar>
      </w:tblPr>
      <w:tblGrid>
        <w:gridCol w:w="4061"/>
        <w:gridCol w:w="181"/>
        <w:gridCol w:w="279"/>
        <w:gridCol w:w="883"/>
        <w:gridCol w:w="181"/>
        <w:gridCol w:w="181"/>
        <w:gridCol w:w="279"/>
        <w:gridCol w:w="883"/>
        <w:gridCol w:w="215"/>
      </w:tblGrid>
      <w:tr>
        <w:trPr/>
        <w:tc>
          <w:tcPr>
            <w:tcW w:w="4061" w:type="dxa"/>
            <w:tcBorders/>
            <w:shd w:fill="auto" w:val="clear"/>
            <w:vAlign w:val="bottom"/>
          </w:tcPr>
          <w:p>
            <w:pPr>
              <w:pStyle w:val="TableContents"/>
              <w:spacing w:before="0" w:after="0"/>
              <w:ind w:left="0" w:right="0" w:hanging="0"/>
              <w:jc w:val="center"/>
              <w:rPr/>
            </w:pPr>
            <w:r>
              <w:rPr/>
              <w:t xml:space="preserve">   </w:t>
            </w:r>
          </w:p>
        </w:tc>
        <w:tc>
          <w:tcPr>
            <w:tcW w:w="181" w:type="dxa"/>
            <w:tcBorders/>
            <w:shd w:fill="auto" w:val="clear"/>
            <w:vAlign w:val="bottom"/>
          </w:tcPr>
          <w:p>
            <w:pPr>
              <w:pStyle w:val="TableContents"/>
              <w:spacing w:before="0" w:after="0"/>
              <w:ind w:left="0" w:right="0" w:hanging="0"/>
              <w:rPr/>
            </w:pPr>
            <w:r>
              <w:rPr/>
            </w:r>
          </w:p>
        </w:tc>
        <w:tc>
          <w:tcPr>
            <w:tcW w:w="11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December 31, 2022</w:t>
            </w:r>
          </w:p>
        </w:tc>
        <w:tc>
          <w:tcPr>
            <w:tcW w:w="181" w:type="dxa"/>
            <w:tcBorders/>
            <w:shd w:fill="auto" w:val="clear"/>
            <w:vAlign w:val="bottom"/>
          </w:tcPr>
          <w:p>
            <w:pPr>
              <w:pStyle w:val="TableContents"/>
              <w:spacing w:before="0" w:after="0"/>
              <w:ind w:left="0" w:right="0" w:hanging="0"/>
              <w:rPr/>
            </w:pPr>
            <w:r>
              <w:rPr/>
            </w:r>
          </w:p>
        </w:tc>
        <w:tc>
          <w:tcPr>
            <w:tcW w:w="181" w:type="dxa"/>
            <w:tcBorders/>
            <w:shd w:fill="auto" w:val="clear"/>
            <w:vAlign w:val="bottom"/>
          </w:tcPr>
          <w:p>
            <w:pPr>
              <w:pStyle w:val="TableContents"/>
              <w:spacing w:before="0" w:after="0"/>
              <w:ind w:left="0" w:right="0" w:hanging="0"/>
              <w:rPr/>
            </w:pPr>
            <w:r>
              <w:rPr/>
            </w:r>
          </w:p>
        </w:tc>
        <w:tc>
          <w:tcPr>
            <w:tcW w:w="11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December 31, 2021</w:t>
            </w:r>
          </w:p>
        </w:tc>
        <w:tc>
          <w:tcPr>
            <w:tcW w:w="215" w:type="dxa"/>
            <w:tcBorders/>
            <w:shd w:fill="auto" w:val="clear"/>
            <w:vAlign w:val="bottom"/>
          </w:tcPr>
          <w:p>
            <w:pPr>
              <w:pStyle w:val="TableContents"/>
              <w:spacing w:before="0" w:after="0"/>
              <w:ind w:left="0" w:right="0" w:hanging="0"/>
              <w:rPr/>
            </w:pPr>
            <w:r>
              <w:rPr/>
            </w:r>
          </w:p>
        </w:tc>
      </w:tr>
      <w:tr>
        <w:trPr/>
        <w:tc>
          <w:tcPr>
            <w:tcW w:w="4061"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Liability component: </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279" w:type="dxa"/>
            <w:tcBorders/>
            <w:shd w:fill="CFF0FC" w:val="clear"/>
            <w:vAlign w:val="bottom"/>
          </w:tcPr>
          <w:p>
            <w:pPr>
              <w:pStyle w:val="TableContents"/>
              <w:spacing w:before="0" w:after="0"/>
              <w:ind w:left="0" w:right="0" w:hanging="0"/>
              <w:rPr>
                <w:color w:val="000000"/>
              </w:rPr>
            </w:pPr>
            <w:r>
              <w:rPr>
                <w:color w:val="000000"/>
              </w:rPr>
              <w:t xml:space="preserve">   </w:t>
            </w:r>
          </w:p>
        </w:tc>
        <w:tc>
          <w:tcPr>
            <w:tcW w:w="883" w:type="dxa"/>
            <w:tcBorders>
              <w:top w:val="single" w:sz="8" w:space="0" w:color="000000"/>
            </w:tcBorders>
            <w:shd w:fill="CFF0FC" w:val="clear"/>
            <w:tcMar>
              <w:top w:w="28" w:type="dxa"/>
            </w:tcMar>
            <w:vAlign w:val="bottom"/>
          </w:tcPr>
          <w:p>
            <w:pPr>
              <w:pStyle w:val="TableContents"/>
              <w:spacing w:before="0" w:after="0"/>
              <w:ind w:left="0" w:right="0" w:hanging="0"/>
              <w:jc w:val="right"/>
              <w:rPr>
                <w:color w:val="000000"/>
              </w:rPr>
            </w:pPr>
            <w:r>
              <w:rPr>
                <w:color w:val="000000"/>
              </w:rPr>
              <w:t xml:space="preserve">   </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279" w:type="dxa"/>
            <w:tcBorders/>
            <w:shd w:fill="CFF0FC" w:val="clear"/>
            <w:vAlign w:val="bottom"/>
          </w:tcPr>
          <w:p>
            <w:pPr>
              <w:pStyle w:val="TableContents"/>
              <w:spacing w:before="0" w:after="0"/>
              <w:ind w:left="0" w:right="0" w:hanging="0"/>
              <w:rPr>
                <w:color w:val="000000"/>
              </w:rPr>
            </w:pPr>
            <w:r>
              <w:rPr>
                <w:color w:val="000000"/>
              </w:rPr>
              <w:t xml:space="preserve">   </w:t>
            </w:r>
          </w:p>
        </w:tc>
        <w:tc>
          <w:tcPr>
            <w:tcW w:w="883" w:type="dxa"/>
            <w:tcBorders>
              <w:top w:val="single" w:sz="8" w:space="0" w:color="000000"/>
            </w:tcBorders>
            <w:shd w:fill="CFF0FC" w:val="clear"/>
            <w:tcMar>
              <w:top w:w="28" w:type="dxa"/>
            </w:tcMar>
            <w:vAlign w:val="bottom"/>
          </w:tcPr>
          <w:p>
            <w:pPr>
              <w:pStyle w:val="TableContents"/>
              <w:spacing w:before="0" w:after="0"/>
              <w:ind w:left="0" w:right="0" w:hanging="0"/>
              <w:jc w:val="right"/>
              <w:rPr>
                <w:color w:val="000000"/>
              </w:rPr>
            </w:pPr>
            <w:r>
              <w:rPr>
                <w:color w:val="000000"/>
              </w:rPr>
              <w:t xml:space="preserve">   </w:t>
            </w:r>
          </w:p>
        </w:tc>
        <w:tc>
          <w:tcPr>
            <w:tcW w:w="215"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4061"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Principal </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279"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883"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1,920</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279"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883"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2,640</w:t>
            </w:r>
          </w:p>
        </w:tc>
        <w:tc>
          <w:tcPr>
            <w:tcW w:w="215"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061"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Less: debt discount and issuance costs, net of amortization </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279" w:type="dxa"/>
            <w:tcBorders>
              <w:bottom w:val="single" w:sz="8" w:space="0" w:color="000000"/>
            </w:tcBorders>
            <w:shd w:fill="CFF0FC" w:val="clear"/>
            <w:tcMar>
              <w:bottom w:w="28" w:type="dxa"/>
            </w:tcMar>
            <w:vAlign w:val="bottom"/>
          </w:tcPr>
          <w:p>
            <w:pPr>
              <w:pStyle w:val="TableContents"/>
              <w:spacing w:before="0" w:after="0"/>
              <w:ind w:left="0" w:right="0" w:hanging="0"/>
              <w:rPr>
                <w:color w:val="000000"/>
              </w:rPr>
            </w:pPr>
            <w:r>
              <w:rPr>
                <w:color w:val="000000"/>
              </w:rPr>
              <w:t xml:space="preserve">   </w:t>
            </w:r>
          </w:p>
        </w:tc>
        <w:tc>
          <w:tcPr>
            <w:tcW w:w="883" w:type="dxa"/>
            <w:tcBorders>
              <w:bottom w:val="single" w:sz="8" w:space="0" w:color="000000"/>
            </w:tcBorders>
            <w:shd w:fill="CFF0FC" w:val="clear"/>
            <w:tcMar>
              <w:bottom w:w="28"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(188</w:t>
            </w:r>
          </w:p>
        </w:tc>
        <w:tc>
          <w:tcPr>
            <w:tcW w:w="181" w:type="dxa"/>
            <w:tcBorders/>
            <w:shd w:fill="CFF0FC" w:val="clear"/>
            <w:vAlign w:val="bottom"/>
          </w:tcPr>
          <w:p>
            <w:pPr>
              <w:pStyle w:val="TableContents"/>
              <w:spacing w:before="0" w:after="283"/>
              <w:rPr/>
            </w:pPr>
            <w:r>
              <w:rPr/>
              <w:t>)</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279" w:type="dxa"/>
            <w:tcBorders>
              <w:bottom w:val="single" w:sz="8" w:space="0" w:color="000000"/>
            </w:tcBorders>
            <w:shd w:fill="CFF0FC" w:val="clear"/>
            <w:tcMar>
              <w:bottom w:w="28" w:type="dxa"/>
            </w:tcMar>
            <w:vAlign w:val="bottom"/>
          </w:tcPr>
          <w:p>
            <w:pPr>
              <w:pStyle w:val="TableContents"/>
              <w:spacing w:before="0" w:after="0"/>
              <w:ind w:left="0" w:right="0" w:hanging="0"/>
              <w:rPr>
                <w:color w:val="000000"/>
              </w:rPr>
            </w:pPr>
            <w:r>
              <w:rPr>
                <w:color w:val="000000"/>
              </w:rPr>
              <w:t xml:space="preserve">   </w:t>
            </w:r>
          </w:p>
        </w:tc>
        <w:tc>
          <w:tcPr>
            <w:tcW w:w="883" w:type="dxa"/>
            <w:tcBorders>
              <w:bottom w:val="single" w:sz="8" w:space="0" w:color="000000"/>
            </w:tcBorders>
            <w:shd w:fill="CFF0FC" w:val="clear"/>
            <w:tcMar>
              <w:bottom w:w="28"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(385</w:t>
            </w:r>
          </w:p>
        </w:tc>
        <w:tc>
          <w:tcPr>
            <w:tcW w:w="215" w:type="dxa"/>
            <w:tcBorders/>
            <w:shd w:fill="CFF0FC" w:val="clear"/>
            <w:vAlign w:val="bottom"/>
          </w:tcPr>
          <w:p>
            <w:pPr>
              <w:pStyle w:val="TableContents"/>
              <w:spacing w:before="0" w:after="283"/>
              <w:rPr/>
            </w:pPr>
            <w:r>
              <w:rPr/>
              <w:t>)</w:t>
            </w:r>
          </w:p>
        </w:tc>
      </w:tr>
      <w:tr>
        <w:trPr/>
        <w:tc>
          <w:tcPr>
            <w:tcW w:w="4061"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Net carrying amount </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279"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883"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1,732</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279"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883"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2,255</w:t>
            </w:r>
          </w:p>
        </w:tc>
        <w:tc>
          <w:tcPr>
            <w:tcW w:w="215"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061"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Equity component</w:t>
            </w:r>
            <w:r>
              <w:rPr>
                <w:rFonts w:ascii="times new roman;times" w:hAnsi="times new roman;times"/>
                <w:color w:val="000000"/>
                <w:position w:val="7"/>
                <w:sz w:val="16"/>
                <w:sz w:val="20"/>
              </w:rPr>
              <w:t>(</w:t>
            </w:r>
            <w:r>
              <w:rPr>
                <w:rFonts w:ascii="times new roman;times" w:hAnsi="times new roman;times"/>
                <w:color w:val="000000"/>
                <w:position w:val="7"/>
                <w:sz w:val="16"/>
                <w:sz w:val="20"/>
              </w:rPr>
              <w:t>1</w:t>
            </w:r>
            <w:r>
              <w:rPr>
                <w:rFonts w:ascii="times new roman;times" w:hAnsi="times new roman;times"/>
                <w:color w:val="000000"/>
                <w:position w:val="7"/>
                <w:sz w:val="16"/>
                <w:sz w:val="20"/>
              </w:rPr>
              <w:t>)</w:t>
            </w:r>
            <w:r>
              <w:rPr>
                <w:rFonts w:ascii="times new roman;times" w:hAnsi="times new roman;times"/>
                <w:color w:val="000000"/>
                <w:sz w:val="20"/>
              </w:rPr>
              <w:t>:</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279" w:type="dxa"/>
            <w:tcBorders/>
            <w:shd w:fill="CFF0FC" w:val="clear"/>
            <w:vAlign w:val="bottom"/>
          </w:tcPr>
          <w:p>
            <w:pPr>
              <w:pStyle w:val="TableContents"/>
              <w:spacing w:before="0" w:after="0"/>
              <w:ind w:left="0" w:right="0" w:hanging="0"/>
              <w:rPr>
                <w:color w:val="000000"/>
              </w:rPr>
            </w:pPr>
            <w:r>
              <w:rPr>
                <w:color w:val="000000"/>
              </w:rPr>
              <w:t xml:space="preserve">   </w:t>
            </w:r>
          </w:p>
        </w:tc>
        <w:tc>
          <w:tcPr>
            <w:tcW w:w="883"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279" w:type="dxa"/>
            <w:tcBorders/>
            <w:shd w:fill="CFF0FC" w:val="clear"/>
            <w:vAlign w:val="bottom"/>
          </w:tcPr>
          <w:p>
            <w:pPr>
              <w:pStyle w:val="TableContents"/>
              <w:spacing w:before="0" w:after="0"/>
              <w:ind w:left="0" w:right="0" w:hanging="0"/>
              <w:rPr>
                <w:color w:val="000000"/>
              </w:rPr>
            </w:pPr>
            <w:r>
              <w:rPr>
                <w:color w:val="000000"/>
              </w:rPr>
              <w:t xml:space="preserve">   </w:t>
            </w:r>
          </w:p>
        </w:tc>
        <w:tc>
          <w:tcPr>
            <w:tcW w:w="883" w:type="dxa"/>
            <w:tcBorders/>
            <w:shd w:fill="CFF0FC" w:val="clear"/>
            <w:vAlign w:val="bottom"/>
          </w:tcPr>
          <w:p>
            <w:pPr>
              <w:pStyle w:val="TableContents"/>
              <w:spacing w:before="0" w:after="0"/>
              <w:ind w:left="0" w:right="0" w:hanging="0"/>
              <w:jc w:val="right"/>
              <w:rPr>
                <w:color w:val="000000"/>
              </w:rPr>
            </w:pPr>
            <w:r>
              <w:rPr>
                <w:color w:val="000000"/>
              </w:rPr>
              <w:t xml:space="preserve">   </w:t>
            </w:r>
          </w:p>
        </w:tc>
        <w:tc>
          <w:tcPr>
            <w:tcW w:w="215"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4061"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Warrants </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279"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883"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318</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279"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883"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318</w:t>
            </w:r>
          </w:p>
        </w:tc>
        <w:tc>
          <w:tcPr>
            <w:tcW w:w="215"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061" w:type="dxa"/>
            <w:tcBorders/>
            <w:shd w:fill="CFF0FC"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Conversion feature </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279" w:type="dxa"/>
            <w:tcBorders/>
            <w:shd w:fill="CFF0FC" w:val="clear"/>
            <w:vAlign w:val="bottom"/>
          </w:tcPr>
          <w:p>
            <w:pPr>
              <w:pStyle w:val="TableContents"/>
              <w:spacing w:before="0" w:after="283"/>
              <w:rPr>
                <w:sz w:val="4"/>
                <w:szCs w:val="4"/>
              </w:rPr>
            </w:pPr>
            <w:r>
              <w:rPr>
                <w:sz w:val="4"/>
                <w:szCs w:val="4"/>
              </w:rPr>
            </w:r>
          </w:p>
        </w:tc>
        <w:tc>
          <w:tcPr>
            <w:tcW w:w="883" w:type="dxa"/>
            <w:tcBorders/>
            <w:shd w:fill="CFF0FC"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122</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181" w:type="dxa"/>
            <w:tcBorders/>
            <w:shd w:fill="CFF0FC" w:val="clear"/>
            <w:vAlign w:val="bottom"/>
          </w:tcPr>
          <w:p>
            <w:pPr>
              <w:pStyle w:val="TableContents"/>
              <w:spacing w:before="0" w:after="0"/>
              <w:ind w:left="0" w:right="0" w:hanging="0"/>
              <w:rPr>
                <w:color w:val="000000"/>
              </w:rPr>
            </w:pPr>
            <w:r>
              <w:rPr>
                <w:color w:val="000000"/>
              </w:rPr>
              <w:t xml:space="preserve">   </w:t>
            </w:r>
          </w:p>
        </w:tc>
        <w:tc>
          <w:tcPr>
            <w:tcW w:w="279" w:type="dxa"/>
            <w:tcBorders/>
            <w:shd w:fill="CFF0FC" w:val="clear"/>
            <w:vAlign w:val="bottom"/>
          </w:tcPr>
          <w:p>
            <w:pPr>
              <w:pStyle w:val="TableContents"/>
              <w:spacing w:before="0" w:after="283"/>
              <w:rPr>
                <w:sz w:val="4"/>
                <w:szCs w:val="4"/>
              </w:rPr>
            </w:pPr>
            <w:r>
              <w:rPr>
                <w:sz w:val="4"/>
                <w:szCs w:val="4"/>
              </w:rPr>
            </w:r>
          </w:p>
        </w:tc>
        <w:tc>
          <w:tcPr>
            <w:tcW w:w="883" w:type="dxa"/>
            <w:tcBorders/>
            <w:shd w:fill="CFF0FC"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122</w:t>
            </w:r>
          </w:p>
        </w:tc>
        <w:tc>
          <w:tcPr>
            <w:tcW w:w="215" w:type="dxa"/>
            <w:tcBorders/>
            <w:shd w:fill="CFF0FC" w:val="clear"/>
            <w:vAlign w:val="bottom"/>
          </w:tcPr>
          <w:p>
            <w:pPr>
              <w:pStyle w:val="TableContents"/>
              <w:spacing w:before="0" w:after="0"/>
              <w:ind w:left="0" w:right="0" w:hanging="0"/>
              <w:rPr>
                <w:color w:val="000000"/>
              </w:rPr>
            </w:pPr>
            <w:r>
              <w:rPr>
                <w:color w:val="000000"/>
              </w:rPr>
              <w:t xml:space="preserve">   </w:t>
            </w:r>
          </w:p>
        </w:tc>
      </w:tr>
      <w:tr>
        <w:trPr/>
        <w:tc>
          <w:tcPr>
            <w:tcW w:w="4061" w:type="dxa"/>
            <w:tcBorders/>
            <w:shd w:fill="auto" w:val="cle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Net carrying amount </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279"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883"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440</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181" w:type="dxa"/>
            <w:tcBorders/>
            <w:shd w:fill="auto" w:val="clear"/>
            <w:vAlign w:val="bottom"/>
          </w:tcPr>
          <w:p>
            <w:pPr>
              <w:pStyle w:val="TableContents"/>
              <w:spacing w:before="0" w:after="0"/>
              <w:ind w:left="0" w:right="0" w:hanging="0"/>
              <w:rPr>
                <w:color w:val="000000"/>
              </w:rPr>
            </w:pPr>
            <w:r>
              <w:rPr>
                <w:color w:val="000000"/>
              </w:rPr>
              <w:t xml:space="preserve">   </w:t>
            </w:r>
          </w:p>
        </w:tc>
        <w:tc>
          <w:tcPr>
            <w:tcW w:w="279" w:type="dxa"/>
            <w:tcBorders/>
            <w:shd w:fill="auto" w:val="cle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883" w:type="dxa"/>
            <w:tcBorders/>
            <w:shd w:fill="auto" w:val="cle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440</w:t>
            </w:r>
          </w:p>
        </w:tc>
        <w:tc>
          <w:tcPr>
            <w:tcW w:w="215" w:type="dxa"/>
            <w:tcBorders/>
            <w:shd w:fill="auto" w:val="clear"/>
            <w:vAlign w:val="bottom"/>
          </w:tcPr>
          <w:p>
            <w:pPr>
              <w:pStyle w:val="TableContents"/>
              <w:spacing w:before="0" w:after="0"/>
              <w:ind w:left="0" w:right="0" w:hanging="0"/>
              <w:rPr>
                <w:color w:val="000000"/>
              </w:rPr>
            </w:pPr>
            <w:r>
              <w:rPr>
                <w:color w:val="000000"/>
              </w:rPr>
              <w:t xml:space="preserve">   </w:t>
            </w:r>
          </w:p>
        </w:tc>
      </w:tr>
      <w:tr>
        <w:trPr/>
        <w:tc>
          <w:tcPr>
            <w:tcW w:w="4061" w:type="dxa"/>
            <w:tcBorders/>
            <w:shd w:fill="CFF0FC" w:val="clear"/>
            <w:vAlign w:val="center"/>
          </w:tcPr>
          <w:p>
            <w:pPr>
              <w:pStyle w:val="TableContents"/>
              <w:spacing w:before="0" w:after="283"/>
              <w:rPr/>
            </w:pPr>
            <w:r>
              <w:rPr/>
            </w:r>
          </w:p>
        </w:tc>
        <w:tc>
          <w:tcPr>
            <w:tcW w:w="181" w:type="dxa"/>
            <w:tcBorders/>
            <w:shd w:fill="CFF0FC" w:val="clear"/>
            <w:vAlign w:val="center"/>
          </w:tcPr>
          <w:p>
            <w:pPr>
              <w:pStyle w:val="TableContents"/>
              <w:spacing w:before="0" w:after="283"/>
              <w:rPr/>
            </w:pPr>
            <w:r>
              <w:rPr/>
            </w:r>
          </w:p>
        </w:tc>
        <w:tc>
          <w:tcPr>
            <w:tcW w:w="279" w:type="dxa"/>
            <w:tcBorders/>
            <w:shd w:fill="CFF0FC" w:val="clear"/>
            <w:vAlign w:val="center"/>
          </w:tcPr>
          <w:p>
            <w:pPr>
              <w:pStyle w:val="TableContents"/>
              <w:spacing w:before="0" w:after="283"/>
              <w:rPr/>
            </w:pPr>
            <w:r>
              <w:rPr/>
            </w:r>
          </w:p>
        </w:tc>
        <w:tc>
          <w:tcPr>
            <w:tcW w:w="883" w:type="dxa"/>
            <w:tcBorders/>
            <w:shd w:fill="CFF0FC" w:val="clear"/>
            <w:vAlign w:val="center"/>
          </w:tcPr>
          <w:p>
            <w:pPr>
              <w:pStyle w:val="TableContents"/>
              <w:spacing w:before="0" w:after="283"/>
              <w:rPr/>
            </w:pPr>
            <w:r>
              <w:rPr/>
            </w:r>
          </w:p>
        </w:tc>
        <w:tc>
          <w:tcPr>
            <w:tcW w:w="181" w:type="dxa"/>
            <w:tcBorders/>
            <w:shd w:fill="CFF0FC" w:val="clear"/>
            <w:vAlign w:val="center"/>
          </w:tcPr>
          <w:p>
            <w:pPr>
              <w:pStyle w:val="TableContents"/>
              <w:spacing w:before="0" w:after="283"/>
              <w:rPr/>
            </w:pPr>
            <w:r>
              <w:rPr/>
            </w:r>
          </w:p>
        </w:tc>
        <w:tc>
          <w:tcPr>
            <w:tcW w:w="181" w:type="dxa"/>
            <w:tcBorders/>
            <w:shd w:fill="CFF0FC" w:val="clear"/>
            <w:vAlign w:val="center"/>
          </w:tcPr>
          <w:p>
            <w:pPr>
              <w:pStyle w:val="TableContents"/>
              <w:spacing w:before="0" w:after="283"/>
              <w:rPr/>
            </w:pPr>
            <w:r>
              <w:rPr/>
            </w:r>
          </w:p>
        </w:tc>
        <w:tc>
          <w:tcPr>
            <w:tcW w:w="279" w:type="dxa"/>
            <w:tcBorders/>
            <w:shd w:fill="CFF0FC" w:val="clear"/>
            <w:vAlign w:val="center"/>
          </w:tcPr>
          <w:p>
            <w:pPr>
              <w:pStyle w:val="TableContents"/>
              <w:spacing w:before="0" w:after="283"/>
              <w:rPr/>
            </w:pPr>
            <w:r>
              <w:rPr/>
            </w:r>
          </w:p>
        </w:tc>
        <w:tc>
          <w:tcPr>
            <w:tcW w:w="883" w:type="dxa"/>
            <w:tcBorders/>
            <w:shd w:fill="CFF0FC" w:val="clear"/>
            <w:vAlign w:val="center"/>
          </w:tcPr>
          <w:p>
            <w:pPr>
              <w:pStyle w:val="TableContents"/>
              <w:spacing w:before="0" w:after="283"/>
              <w:rPr/>
            </w:pPr>
            <w:r>
              <w:rPr/>
            </w:r>
          </w:p>
        </w:tc>
        <w:tc>
          <w:tcPr>
            <w:tcW w:w="215" w:type="dxa"/>
            <w:tcBorders/>
            <w:shd w:fill="CFF0FC" w:val="clear"/>
            <w:vAlign w:val="center"/>
          </w:tcPr>
          <w:p>
            <w:pPr>
              <w:pStyle w:val="TableContents"/>
              <w:spacing w:before="0" w:after="283"/>
              <w:rPr/>
            </w:pPr>
            <w:r>
              <w:rPr/>
            </w:r>
          </w:p>
        </w:tc>
      </w:tr>
      <w:tr>
        <w:trPr/>
        <w:tc>
          <w:tcPr>
            <w:tcW w:w="4061" w:type="dxa"/>
            <w:tcBorders/>
            <w:shd w:fill="auto" w:val="clear"/>
            <w:vAlign w:val="center"/>
          </w:tcPr>
          <w:p>
            <w:pPr>
              <w:pStyle w:val="TableContents"/>
              <w:spacing w:before="0" w:after="283"/>
              <w:rPr/>
            </w:pPr>
            <w:r>
              <w:rPr/>
              <w:t>Current portion of liability component included under short-term debt</w:t>
            </w:r>
          </w:p>
        </w:tc>
        <w:tc>
          <w:tcPr>
            <w:tcW w:w="181" w:type="dxa"/>
            <w:tcBorders/>
            <w:shd w:fill="auto" w:val="clear"/>
            <w:vAlign w:val="center"/>
          </w:tcPr>
          <w:p>
            <w:pPr>
              <w:pStyle w:val="TableContents"/>
              <w:spacing w:before="0" w:after="283"/>
              <w:rPr/>
            </w:pPr>
            <w:r>
              <w:rPr/>
            </w:r>
          </w:p>
        </w:tc>
        <w:tc>
          <w:tcPr>
            <w:tcW w:w="279" w:type="dxa"/>
            <w:tcBorders/>
            <w:shd w:fill="auto" w:val="clear"/>
            <w:vAlign w:val="center"/>
          </w:tcPr>
          <w:p>
            <w:pPr>
              <w:pStyle w:val="TableContents"/>
              <w:spacing w:before="0" w:after="283"/>
              <w:rPr/>
            </w:pPr>
            <w:r>
              <w:rPr/>
              <w:t>$</w:t>
            </w:r>
          </w:p>
        </w:tc>
        <w:tc>
          <w:tcPr>
            <w:tcW w:w="883" w:type="dxa"/>
            <w:tcBorders/>
            <w:shd w:fill="auto" w:val="clear"/>
            <w:vAlign w:val="center"/>
          </w:tcPr>
          <w:p>
            <w:pPr>
              <w:pStyle w:val="TableContents"/>
              <w:spacing w:before="0" w:after="283"/>
              <w:jc w:val="right"/>
              <w:rPr/>
            </w:pPr>
            <w:r>
              <w:rPr/>
              <w:t>1,920</w:t>
            </w:r>
          </w:p>
        </w:tc>
        <w:tc>
          <w:tcPr>
            <w:tcW w:w="181" w:type="dxa"/>
            <w:tcBorders/>
            <w:shd w:fill="auto" w:val="clear"/>
            <w:vAlign w:val="center"/>
          </w:tcPr>
          <w:p>
            <w:pPr>
              <w:pStyle w:val="TableContents"/>
              <w:spacing w:before="0" w:after="283"/>
              <w:rPr/>
            </w:pPr>
            <w:r>
              <w:rPr/>
            </w:r>
          </w:p>
        </w:tc>
        <w:tc>
          <w:tcPr>
            <w:tcW w:w="181" w:type="dxa"/>
            <w:tcBorders/>
            <w:shd w:fill="auto" w:val="clear"/>
            <w:vAlign w:val="center"/>
          </w:tcPr>
          <w:p>
            <w:pPr>
              <w:pStyle w:val="TableContents"/>
              <w:spacing w:before="0" w:after="283"/>
              <w:rPr/>
            </w:pPr>
            <w:r>
              <w:rPr/>
            </w:r>
          </w:p>
        </w:tc>
        <w:tc>
          <w:tcPr>
            <w:tcW w:w="279" w:type="dxa"/>
            <w:tcBorders/>
            <w:shd w:fill="auto" w:val="clear"/>
            <w:vAlign w:val="center"/>
          </w:tcPr>
          <w:p>
            <w:pPr>
              <w:pStyle w:val="TableContents"/>
              <w:spacing w:before="0" w:after="283"/>
              <w:rPr/>
            </w:pPr>
            <w:r>
              <w:rPr/>
              <w:t>$</w:t>
            </w:r>
          </w:p>
        </w:tc>
        <w:tc>
          <w:tcPr>
            <w:tcW w:w="883" w:type="dxa"/>
            <w:tcBorders/>
            <w:shd w:fill="auto" w:val="clear"/>
            <w:vAlign w:val="center"/>
          </w:tcPr>
          <w:p>
            <w:pPr>
              <w:pStyle w:val="TableContents"/>
              <w:spacing w:before="0" w:after="283"/>
              <w:jc w:val="right"/>
              <w:rPr/>
            </w:pPr>
            <w:r>
              <w:rPr/>
              <w:t>720</w:t>
            </w:r>
          </w:p>
        </w:tc>
        <w:tc>
          <w:tcPr>
            <w:tcW w:w="215" w:type="dxa"/>
            <w:tcBorders/>
            <w:shd w:fill="auto" w:val="clear"/>
            <w:vAlign w:val="center"/>
          </w:tcPr>
          <w:p>
            <w:pPr>
              <w:pStyle w:val="TableContents"/>
              <w:spacing w:before="0" w:after="283"/>
              <w:rPr/>
            </w:pPr>
            <w:r>
              <w:rPr/>
            </w:r>
          </w:p>
        </w:tc>
      </w:tr>
      <w:tr>
        <w:trPr/>
        <w:tc>
          <w:tcPr>
            <w:tcW w:w="4061" w:type="dxa"/>
            <w:tcBorders/>
            <w:shd w:fill="CFF0FC" w:val="clear"/>
            <w:vAlign w:val="center"/>
          </w:tcPr>
          <w:p>
            <w:pPr>
              <w:pStyle w:val="TableContents"/>
              <w:spacing w:before="0" w:after="283"/>
              <w:rPr/>
            </w:pPr>
            <w:r>
              <w:rPr/>
              <w:t>Long-term portion of liability component included under long-term debt</w:t>
            </w:r>
          </w:p>
        </w:tc>
        <w:tc>
          <w:tcPr>
            <w:tcW w:w="181" w:type="dxa"/>
            <w:tcBorders/>
            <w:shd w:fill="CFF0FC" w:val="clear"/>
            <w:vAlign w:val="center"/>
          </w:tcPr>
          <w:p>
            <w:pPr>
              <w:pStyle w:val="TableContents"/>
              <w:spacing w:before="0" w:after="283"/>
              <w:rPr/>
            </w:pPr>
            <w:r>
              <w:rPr/>
            </w:r>
          </w:p>
        </w:tc>
        <w:tc>
          <w:tcPr>
            <w:tcW w:w="279" w:type="dxa"/>
            <w:tcBorders>
              <w:bottom w:val="single" w:sz="8" w:space="0" w:color="000000"/>
            </w:tcBorders>
            <w:shd w:fill="CFF0FC" w:val="clear"/>
            <w:tcMar>
              <w:bottom w:w="28" w:type="dxa"/>
            </w:tcMar>
            <w:vAlign w:val="center"/>
          </w:tcPr>
          <w:p>
            <w:pPr>
              <w:pStyle w:val="TableContents"/>
              <w:spacing w:before="0" w:after="283"/>
              <w:rPr/>
            </w:pPr>
            <w:r>
              <w:rPr/>
            </w:r>
          </w:p>
        </w:tc>
        <w:tc>
          <w:tcPr>
            <w:tcW w:w="883" w:type="dxa"/>
            <w:tcBorders>
              <w:bottom w:val="single" w:sz="8" w:space="0" w:color="000000"/>
            </w:tcBorders>
            <w:shd w:fill="CFF0FC" w:val="clear"/>
            <w:tcMar>
              <w:bottom w:w="28" w:type="dxa"/>
            </w:tcMar>
            <w:vAlign w:val="center"/>
          </w:tcPr>
          <w:p>
            <w:pPr>
              <w:pStyle w:val="TableContents"/>
              <w:spacing w:before="0" w:after="283"/>
              <w:jc w:val="right"/>
              <w:rPr/>
            </w:pPr>
            <w:r>
              <w:rPr/>
              <w:t>—</w:t>
            </w:r>
          </w:p>
        </w:tc>
        <w:tc>
          <w:tcPr>
            <w:tcW w:w="181" w:type="dxa"/>
            <w:tcBorders/>
            <w:shd w:fill="CFF0FC" w:val="clear"/>
            <w:vAlign w:val="center"/>
          </w:tcPr>
          <w:p>
            <w:pPr>
              <w:pStyle w:val="TableContents"/>
              <w:spacing w:before="0" w:after="283"/>
              <w:rPr/>
            </w:pPr>
            <w:r>
              <w:rPr/>
            </w:r>
          </w:p>
        </w:tc>
        <w:tc>
          <w:tcPr>
            <w:tcW w:w="181" w:type="dxa"/>
            <w:tcBorders/>
            <w:shd w:fill="CFF0FC" w:val="clear"/>
            <w:vAlign w:val="center"/>
          </w:tcPr>
          <w:p>
            <w:pPr>
              <w:pStyle w:val="TableContents"/>
              <w:spacing w:before="0" w:after="283"/>
              <w:rPr/>
            </w:pPr>
            <w:r>
              <w:rPr/>
            </w:r>
          </w:p>
        </w:tc>
        <w:tc>
          <w:tcPr>
            <w:tcW w:w="279" w:type="dxa"/>
            <w:tcBorders>
              <w:bottom w:val="single" w:sz="8" w:space="0" w:color="000000"/>
            </w:tcBorders>
            <w:shd w:fill="CFF0FC" w:val="clear"/>
            <w:tcMar>
              <w:bottom w:w="28" w:type="dxa"/>
            </w:tcMar>
            <w:vAlign w:val="center"/>
          </w:tcPr>
          <w:p>
            <w:pPr>
              <w:pStyle w:val="TableContents"/>
              <w:spacing w:before="0" w:after="283"/>
              <w:rPr/>
            </w:pPr>
            <w:r>
              <w:rPr/>
            </w:r>
          </w:p>
        </w:tc>
        <w:tc>
          <w:tcPr>
            <w:tcW w:w="883" w:type="dxa"/>
            <w:tcBorders>
              <w:bottom w:val="single" w:sz="8" w:space="0" w:color="000000"/>
            </w:tcBorders>
            <w:shd w:fill="CFF0FC" w:val="clear"/>
            <w:tcMar>
              <w:bottom w:w="28" w:type="dxa"/>
            </w:tcMar>
            <w:vAlign w:val="center"/>
          </w:tcPr>
          <w:p>
            <w:pPr>
              <w:pStyle w:val="TableContents"/>
              <w:spacing w:before="0" w:after="283"/>
              <w:jc w:val="right"/>
              <w:rPr/>
            </w:pPr>
            <w:r>
              <w:rPr/>
              <w:t>1,920</w:t>
            </w:r>
          </w:p>
        </w:tc>
        <w:tc>
          <w:tcPr>
            <w:tcW w:w="215" w:type="dxa"/>
            <w:tcBorders/>
            <w:shd w:fill="CFF0FC" w:val="clear"/>
            <w:vAlign w:val="center"/>
          </w:tcPr>
          <w:p>
            <w:pPr>
              <w:pStyle w:val="TableContents"/>
              <w:spacing w:before="0" w:after="283"/>
              <w:rPr/>
            </w:pPr>
            <w:r>
              <w:rPr/>
            </w:r>
          </w:p>
        </w:tc>
      </w:tr>
      <w:tr>
        <w:trPr/>
        <w:tc>
          <w:tcPr>
            <w:tcW w:w="4061" w:type="dxa"/>
            <w:tcBorders/>
            <w:shd w:fill="auto" w:val="clear"/>
            <w:vAlign w:val="center"/>
          </w:tcPr>
          <w:p>
            <w:pPr>
              <w:pStyle w:val="TableContents"/>
              <w:spacing w:before="0" w:after="283"/>
              <w:rPr/>
            </w:pPr>
            <w:r>
              <w:rPr/>
              <w:t>Liability component total</w:t>
            </w:r>
          </w:p>
        </w:tc>
        <w:tc>
          <w:tcPr>
            <w:tcW w:w="181" w:type="dxa"/>
            <w:tcBorders/>
            <w:shd w:fill="auto" w:val="clear"/>
            <w:vAlign w:val="center"/>
          </w:tcPr>
          <w:p>
            <w:pPr>
              <w:pStyle w:val="TableContents"/>
              <w:spacing w:before="0" w:after="283"/>
              <w:rPr/>
            </w:pPr>
            <w:r>
              <w:rPr/>
            </w:r>
          </w:p>
        </w:tc>
        <w:tc>
          <w:tcPr>
            <w:tcW w:w="279" w:type="dxa"/>
            <w:tcBorders>
              <w:bottom w:val="double" w:sz="7" w:space="0" w:color="000000"/>
            </w:tcBorders>
            <w:shd w:fill="auto" w:val="clear"/>
            <w:tcMar>
              <w:bottom w:w="28" w:type="dxa"/>
            </w:tcMar>
            <w:vAlign w:val="center"/>
          </w:tcPr>
          <w:p>
            <w:pPr>
              <w:pStyle w:val="TableContents"/>
              <w:spacing w:before="0" w:after="283"/>
              <w:rPr/>
            </w:pPr>
            <w:r>
              <w:rPr/>
              <w:t>$</w:t>
            </w:r>
          </w:p>
        </w:tc>
        <w:tc>
          <w:tcPr>
            <w:tcW w:w="883" w:type="dxa"/>
            <w:tcBorders>
              <w:bottom w:val="double" w:sz="7" w:space="0" w:color="000000"/>
            </w:tcBorders>
            <w:shd w:fill="auto" w:val="clear"/>
            <w:tcMar>
              <w:bottom w:w="28" w:type="dxa"/>
            </w:tcMar>
            <w:vAlign w:val="center"/>
          </w:tcPr>
          <w:p>
            <w:pPr>
              <w:pStyle w:val="TableContents"/>
              <w:spacing w:before="0" w:after="283"/>
              <w:jc w:val="right"/>
              <w:rPr/>
            </w:pPr>
            <w:r>
              <w:rPr/>
              <w:t>1,920</w:t>
            </w:r>
          </w:p>
        </w:tc>
        <w:tc>
          <w:tcPr>
            <w:tcW w:w="181" w:type="dxa"/>
            <w:tcBorders/>
            <w:shd w:fill="auto" w:val="clear"/>
            <w:vAlign w:val="center"/>
          </w:tcPr>
          <w:p>
            <w:pPr>
              <w:pStyle w:val="TableContents"/>
              <w:spacing w:before="0" w:after="283"/>
              <w:rPr/>
            </w:pPr>
            <w:r>
              <w:rPr/>
            </w:r>
          </w:p>
        </w:tc>
        <w:tc>
          <w:tcPr>
            <w:tcW w:w="181" w:type="dxa"/>
            <w:tcBorders/>
            <w:shd w:fill="auto" w:val="clear"/>
            <w:vAlign w:val="center"/>
          </w:tcPr>
          <w:p>
            <w:pPr>
              <w:pStyle w:val="TableContents"/>
              <w:spacing w:before="0" w:after="283"/>
              <w:rPr/>
            </w:pPr>
            <w:r>
              <w:rPr/>
            </w:r>
          </w:p>
        </w:tc>
        <w:tc>
          <w:tcPr>
            <w:tcW w:w="279" w:type="dxa"/>
            <w:tcBorders>
              <w:bottom w:val="double" w:sz="7" w:space="0" w:color="000000"/>
            </w:tcBorders>
            <w:shd w:fill="auto" w:val="clear"/>
            <w:tcMar>
              <w:bottom w:w="28" w:type="dxa"/>
            </w:tcMar>
            <w:vAlign w:val="center"/>
          </w:tcPr>
          <w:p>
            <w:pPr>
              <w:pStyle w:val="TableContents"/>
              <w:spacing w:before="0" w:after="283"/>
              <w:rPr/>
            </w:pPr>
            <w:r>
              <w:rPr/>
              <w:t>$</w:t>
            </w:r>
          </w:p>
        </w:tc>
        <w:tc>
          <w:tcPr>
            <w:tcW w:w="883" w:type="dxa"/>
            <w:tcBorders>
              <w:bottom w:val="double" w:sz="7" w:space="0" w:color="000000"/>
            </w:tcBorders>
            <w:shd w:fill="auto" w:val="clear"/>
            <w:tcMar>
              <w:bottom w:w="28" w:type="dxa"/>
            </w:tcMar>
            <w:vAlign w:val="center"/>
          </w:tcPr>
          <w:p>
            <w:pPr>
              <w:pStyle w:val="TableContents"/>
              <w:spacing w:before="0" w:after="283"/>
              <w:jc w:val="right"/>
              <w:rPr/>
            </w:pPr>
            <w:r>
              <w:rPr/>
              <w:t>2,640</w:t>
            </w:r>
          </w:p>
        </w:tc>
        <w:tc>
          <w:tcPr>
            <w:tcW w:w="215" w:type="dxa"/>
            <w:tcBorders/>
            <w:shd w:fill="auto" w:val="clear"/>
            <w:vAlign w:val="center"/>
          </w:tcPr>
          <w:p>
            <w:pPr>
              <w:pStyle w:val="TableContents"/>
              <w:spacing w:before="0" w:after="283"/>
              <w:rPr/>
            </w:pPr>
            <w:r>
              <w:rPr/>
            </w:r>
          </w:p>
        </w:tc>
      </w:tr>
    </w:tbl>
    <w:p>
      <w:pPr>
        <w:pStyle w:val="TextBody"/>
        <w:spacing w:lineRule="auto" w:line="240"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0"/>
        <w:rPr/>
      </w:pPr>
      <w:r>
        <w:rPr/>
      </w:r>
    </w:p>
    <w:p>
      <w:pPr>
        <w:pStyle w:val="TextBody"/>
        <w:spacing w:lineRule="auto" w:line="240"/>
        <w:rPr>
          <w:rFonts w:ascii="times new roman;times" w:hAnsi="times new roman;times"/>
          <w:color w:val="212529"/>
          <w:sz w:val="20"/>
        </w:rPr>
      </w:pPr>
      <w:r>
        <w:rPr>
          <w:rFonts w:ascii="times new roman;times" w:hAnsi="times new roman;times"/>
          <w:color w:val="212529"/>
          <w:sz w:val="20"/>
        </w:rPr>
        <w:t>(1) Recorded on the consolidated balance sheets as additional paid-in capital.</w:t>
      </w: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Debt discount and issuance costs are amortized over the life of the note to interest expense using the effective interest method. During the twelve months December 31, 2022 amortization of debt discount and issuance costs were </w:t>
      </w:r>
      <w:r>
        <w:rPr>
          <w:rFonts w:ascii="times new roman;times" w:hAnsi="times new roman;times"/>
          <w:sz w:val="20"/>
        </w:rPr>
        <w:t>$197 and $196 respectively.</w:t>
      </w:r>
      <w:r>
        <w:rPr>
          <w:rFonts w:ascii="times new roman;times" w:hAnsi="times new roman;times"/>
          <w:sz w:val="20"/>
        </w:rPr>
        <w:t xml:space="preserve"> The following table represents schedule of maturities of principal amount contained in the Notes as of December 31, 2022:</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r>
    </w:p>
    <w:tbl>
      <w:tblPr>
        <w:tblW w:w="3250" w:type="pct"/>
        <w:jc w:val="left"/>
        <w:tblInd w:w="0" w:type="dxa"/>
        <w:tblCellMar>
          <w:top w:w="0" w:type="dxa"/>
          <w:left w:w="0" w:type="dxa"/>
          <w:bottom w:w="28" w:type="dxa"/>
          <w:right w:w="0" w:type="dxa"/>
        </w:tblCellMar>
      </w:tblPr>
      <w:tblGrid>
        <w:gridCol w:w="2907"/>
        <w:gridCol w:w="294"/>
        <w:gridCol w:w="799"/>
        <w:gridCol w:w="2296"/>
        <w:gridCol w:w="337"/>
      </w:tblGrid>
      <w:tr>
        <w:trPr/>
        <w:tc>
          <w:tcPr>
            <w:tcW w:w="2907" w:type="dxa"/>
            <w:tcBorders>
              <w:bottom w:val="single" w:sz="8" w:space="0" w:color="000000"/>
            </w:tcBorders>
            <w:shd w:fill="FFFFFF" w:val="clear"/>
            <w:vAlign w:val="bottom"/>
          </w:tcPr>
          <w:p>
            <w:pPr>
              <w:pStyle w:val="TableContents"/>
              <w:spacing w:before="0" w:after="0"/>
              <w:ind w:left="0" w:right="0" w:hanging="0"/>
              <w:rPr>
                <w:rFonts w:ascii="times new roman;times" w:hAnsi="times new roman;times"/>
                <w:b/>
                <w:sz w:val="18"/>
              </w:rPr>
            </w:pPr>
            <w:r>
              <w:rPr>
                <w:rFonts w:ascii="times new roman;times" w:hAnsi="times new roman;times"/>
                <w:b/>
                <w:sz w:val="18"/>
              </w:rPr>
              <w:t>Year</w:t>
            </w:r>
            <w:r>
              <w:rPr>
                <w:rFonts w:ascii="times new roman;times" w:hAnsi="times new roman;times"/>
                <w:b/>
                <w:color w:val="000000"/>
                <w:sz w:val="18"/>
              </w:rPr>
              <w:t xml:space="preserve"> ending December 31,</w:t>
            </w:r>
          </w:p>
        </w:tc>
        <w:tc>
          <w:tcPr>
            <w:tcW w:w="294" w:type="dxa"/>
            <w:tcBorders/>
            <w:shd w:fill="FFFFFF" w:val="clear"/>
            <w:tcMar>
              <w:bottom w:w="0" w:type="dxa"/>
            </w:tcMar>
            <w:vAlign w:val="bottom"/>
          </w:tcPr>
          <w:p>
            <w:pPr>
              <w:pStyle w:val="TableContents"/>
              <w:spacing w:before="0" w:after="0"/>
              <w:ind w:left="0" w:right="0" w:hanging="0"/>
              <w:rPr/>
            </w:pPr>
            <w:r>
              <w:rPr/>
            </w:r>
          </w:p>
        </w:tc>
        <w:tc>
          <w:tcPr>
            <w:tcW w:w="3095" w:type="dxa"/>
            <w:gridSpan w:val="2"/>
            <w:tcBorders>
              <w:bottom w:val="single" w:sz="8" w:space="0" w:color="000000"/>
            </w:tcBorders>
            <w:shd w:fill="FFFFFF" w:val="clear"/>
            <w:vAlign w:val="bottom"/>
          </w:tcPr>
          <w:p>
            <w:pPr>
              <w:pStyle w:val="TableContents"/>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Principal Amount Maturing</w:t>
            </w:r>
          </w:p>
        </w:tc>
        <w:tc>
          <w:tcPr>
            <w:tcW w:w="337" w:type="dxa"/>
            <w:tcBorders/>
            <w:shd w:fill="FFFFFF" w:val="clear"/>
            <w:tcMar>
              <w:bottom w:w="0" w:type="dxa"/>
            </w:tcMar>
            <w:vAlign w:val="bottom"/>
          </w:tcPr>
          <w:p>
            <w:pPr>
              <w:pStyle w:val="TableContents"/>
              <w:spacing w:before="0" w:after="0"/>
              <w:ind w:left="0" w:right="0" w:hanging="0"/>
              <w:rPr/>
            </w:pPr>
            <w:r>
              <w:rPr/>
            </w:r>
          </w:p>
        </w:tc>
      </w:tr>
      <w:tr>
        <w:trPr/>
        <w:tc>
          <w:tcPr>
            <w:tcW w:w="2907" w:type="dxa"/>
            <w:tcBorders/>
            <w:shd w:fill="CCEEFF" w:val="clear"/>
            <w:tcMar>
              <w:bottom w:w="0" w:type="dxa"/>
            </w:tcM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2023</w:t>
            </w:r>
          </w:p>
        </w:tc>
        <w:tc>
          <w:tcPr>
            <w:tcW w:w="294" w:type="dxa"/>
            <w:tcBorders/>
            <w:shd w:fill="CCEEFF" w:val="clear"/>
            <w:tcMar>
              <w:bottom w:w="0" w:type="dxa"/>
            </w:tcMar>
            <w:vAlign w:val="bottom"/>
          </w:tcPr>
          <w:p>
            <w:pPr>
              <w:pStyle w:val="TableContents"/>
              <w:spacing w:before="0" w:after="0"/>
              <w:ind w:left="0" w:right="0" w:hanging="0"/>
              <w:rPr>
                <w:color w:val="000000"/>
              </w:rPr>
            </w:pPr>
            <w:r>
              <w:rPr>
                <w:color w:val="000000"/>
              </w:rPr>
              <w:t xml:space="preserve">   </w:t>
            </w:r>
          </w:p>
        </w:tc>
        <w:tc>
          <w:tcPr>
            <w:tcW w:w="799" w:type="dxa"/>
            <w:tcBorders/>
            <w:shd w:fill="CCEEFF" w:val="clear"/>
            <w:tcMar>
              <w:bottom w:w="0" w:type="dxa"/>
            </w:tcMar>
            <w:vAlign w:val="bottom"/>
          </w:tcPr>
          <w:p>
            <w:pPr>
              <w:pStyle w:val="TableContents"/>
              <w:spacing w:before="0" w:after="0"/>
              <w:ind w:left="0" w:right="0" w:hanging="0"/>
              <w:rPr>
                <w:color w:val="000000"/>
              </w:rPr>
            </w:pPr>
            <w:r>
              <w:rPr>
                <w:color w:val="000000"/>
              </w:rPr>
              <w:t xml:space="preserve">   </w:t>
            </w:r>
          </w:p>
        </w:tc>
        <w:tc>
          <w:tcPr>
            <w:tcW w:w="2296" w:type="dxa"/>
            <w:tcBorders/>
            <w:shd w:fill="CCEEFF" w:val="clear"/>
            <w:tcMar>
              <w:bottom w:w="0"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1,920</w:t>
            </w:r>
          </w:p>
        </w:tc>
        <w:tc>
          <w:tcPr>
            <w:tcW w:w="337" w:type="dxa"/>
            <w:tcBorders/>
            <w:shd w:fill="CCEEFF" w:val="clear"/>
            <w:tcMar>
              <w:bottom w:w="0" w:type="dxa"/>
            </w:tcMar>
            <w:vAlign w:val="bottom"/>
          </w:tcPr>
          <w:p>
            <w:pPr>
              <w:pStyle w:val="TableContents"/>
              <w:spacing w:before="0" w:after="0"/>
              <w:ind w:left="0" w:right="0" w:hanging="0"/>
              <w:rPr>
                <w:color w:val="000000"/>
              </w:rPr>
            </w:pPr>
            <w:r>
              <w:rPr>
                <w:color w:val="000000"/>
              </w:rPr>
              <w:t xml:space="preserve">   </w:t>
            </w:r>
          </w:p>
        </w:tc>
      </w:tr>
      <w:tr>
        <w:trPr/>
        <w:tc>
          <w:tcPr>
            <w:tcW w:w="2907" w:type="dxa"/>
            <w:tcBorders/>
            <w:shd w:fill="auto" w:val="clear"/>
            <w:tcMar>
              <w:bottom w:w="0" w:type="dxa"/>
            </w:tcMar>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Net carrying amount </w:t>
            </w:r>
          </w:p>
        </w:tc>
        <w:tc>
          <w:tcPr>
            <w:tcW w:w="294" w:type="dxa"/>
            <w:tcBorders/>
            <w:shd w:fill="auto" w:val="clear"/>
            <w:tcMar>
              <w:bottom w:w="0" w:type="dxa"/>
            </w:tcMar>
            <w:vAlign w:val="bottom"/>
          </w:tcPr>
          <w:p>
            <w:pPr>
              <w:pStyle w:val="TableContents"/>
              <w:spacing w:before="0" w:after="0"/>
              <w:ind w:left="0" w:right="0" w:hanging="0"/>
              <w:rPr>
                <w:color w:val="000000"/>
              </w:rPr>
            </w:pPr>
            <w:r>
              <w:rPr>
                <w:color w:val="000000"/>
              </w:rPr>
              <w:t xml:space="preserve">   </w:t>
            </w:r>
          </w:p>
        </w:tc>
        <w:tc>
          <w:tcPr>
            <w:tcW w:w="799" w:type="dxa"/>
            <w:tcBorders/>
            <w:shd w:fill="auto" w:val="clear"/>
            <w:tcMar>
              <w:bottom w:w="0" w:type="dxa"/>
            </w:tcMar>
            <w:vAlign w:val="bottom"/>
          </w:tcPr>
          <w:p>
            <w:pPr>
              <w:pStyle w:val="TableContents"/>
              <w:spacing w:before="0" w:after="0"/>
              <w:ind w:left="0" w:right="0" w:hanging="0"/>
              <w:rPr>
                <w:rFonts w:ascii="times new roman;times" w:hAnsi="times new roman;times"/>
                <w:color w:val="000000"/>
                <w:sz w:val="20"/>
              </w:rPr>
            </w:pPr>
            <w:r>
              <w:rPr>
                <w:rFonts w:ascii="times new roman;times" w:hAnsi="times new roman;times"/>
                <w:color w:val="000000"/>
                <w:sz w:val="20"/>
              </w:rPr>
              <w:t xml:space="preserve">$ </w:t>
            </w:r>
          </w:p>
        </w:tc>
        <w:tc>
          <w:tcPr>
            <w:tcW w:w="2296" w:type="dxa"/>
            <w:tcBorders/>
            <w:shd w:fill="auto" w:val="clear"/>
            <w:tcMar>
              <w:bottom w:w="0" w:type="dxa"/>
            </w:tcMar>
            <w:vAlign w:val="bottom"/>
          </w:tcPr>
          <w:p>
            <w:pPr>
              <w:pStyle w:val="TableContents"/>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1,920</w:t>
            </w:r>
          </w:p>
        </w:tc>
        <w:tc>
          <w:tcPr>
            <w:tcW w:w="337" w:type="dxa"/>
            <w:tcBorders/>
            <w:shd w:fill="auto" w:val="clear"/>
            <w:tcMar>
              <w:bottom w:w="0" w:type="dxa"/>
            </w:tcMar>
            <w:vAlign w:val="bottom"/>
          </w:tcPr>
          <w:p>
            <w:pPr>
              <w:pStyle w:val="TableContents"/>
              <w:spacing w:before="0" w:after="0"/>
              <w:ind w:left="0" w:right="0" w:hanging="0"/>
              <w:rPr>
                <w:color w:val="000000"/>
              </w:rPr>
            </w:pPr>
            <w:r>
              <w:rPr>
                <w:color w:val="000000"/>
              </w:rPr>
              <w:t xml:space="preserve">   </w:t>
            </w:r>
          </w:p>
        </w:tc>
      </w:tr>
    </w:tbl>
    <w:p>
      <w:pPr>
        <w:pStyle w:val="TextBody"/>
        <w:spacing w:lineRule="auto" w:line="240" w:before="0" w:after="0"/>
        <w:ind w:left="0" w:right="0" w:hanging="0"/>
        <w:jc w:val="both"/>
        <w:rPr/>
      </w:pPr>
      <w:r>
        <w:rPr/>
      </w:r>
    </w:p>
    <w:p>
      <w:pPr>
        <w:pStyle w:val="TextBody"/>
        <w:widowControl/>
        <w:ind w:left="0" w:right="0" w:hanging="0"/>
        <w:rPr>
          <w:rFonts w:ascii="times new roman;times" w:hAnsi="times new roman;times"/>
          <w:b/>
          <w:i/>
          <w:caps w:val="false"/>
          <w:smallCaps w:val="false"/>
          <w:color w:val="000000"/>
          <w:spacing w:val="0"/>
          <w:sz w:val="20"/>
          <w:u w:val="single"/>
        </w:rPr>
      </w:pPr>
      <w:r>
        <w:rPr>
          <w:rFonts w:ascii="times new roman;times" w:hAnsi="times new roman;times"/>
          <w:b/>
          <w:i/>
          <w:caps w:val="false"/>
          <w:smallCaps w:val="false"/>
          <w:color w:val="000000"/>
          <w:spacing w:val="0"/>
          <w:sz w:val="20"/>
          <w:u w:val="single"/>
        </w:rPr>
        <w:t>2021 Short-term Bridge Loan</w:t>
      </w:r>
    </w:p>
    <w:p>
      <w:pPr>
        <w:pStyle w:val="TextBody"/>
        <w:widowControl/>
        <w:ind w:left="0" w:right="0" w:hanging="0"/>
        <w:rPr/>
      </w:pPr>
      <w:r>
        <w:rPr/>
      </w:r>
    </w:p>
    <w:p>
      <w:pPr>
        <w:pStyle w:val="TextBody"/>
        <w:widowControl/>
        <w:ind w:left="0" w:right="0" w:firstLine="72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July 2, 2021, the Company obtained a bridge loan in the principal amount of $2,000 from Edward D. Bagley (the “2021 Bridge Loan”), an affiliate of the Company. The Bridge Loan is evidenced by a promissory note dated July 2, 2021 (the “Note”) issued by the Company to Mr. Bagley.The Note bears interests at a rate of 8.0% per annum, matures on the earlier to occur of (i) October 1, 2021 or (ii) within two business days of the Company’s receipt of its expected U.S. federal income tax refund, and contains other customary covenants and events of default. On September 11, 2021, the Company amended and restated the terms of the 2021 Bridge Loan to extend the latest maturity date from October 1, 2021 to January 3, 2022. All other terms and conditions of the Bridge Loan remained the same. This Bridge Loan of $2,000 is included under short-term debt as of December 31, 2021. On January 4, 2022, the Company entered into a Securities Purchase Agreement with Edward D. Bagley, pursuant to which the Company issued and sold to Mr. Bagley, in a private placement 1,538,461 shares (the “Shares”) of the Company’s common stock, par value $0.001 per share, at a purchase price of $1.30 per share of Common Stock. The consideration for the Shares was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21</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widowControl/>
        <w:rPr/>
      </w:pPr>
      <w:r>
        <w:rPr/>
      </w:r>
    </w:p>
    <w:p>
      <w:pPr>
        <w:pStyle w:val="TextBody"/>
        <w:widowControl/>
        <w:ind w:left="0" w:right="0" w:hanging="0"/>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Paycheck Protection Program Loan</w:t>
      </w:r>
    </w:p>
    <w:p>
      <w:pPr>
        <w:pStyle w:val="TextBody"/>
        <w:widowControl/>
        <w:ind w:left="0" w:right="0" w:hanging="0"/>
        <w:rPr/>
      </w:pPr>
      <w:r>
        <w:rPr/>
      </w:r>
    </w:p>
    <w:p>
      <w:pPr>
        <w:pStyle w:val="TextBody"/>
        <w:spacing w:lineRule="auto" w:line="240" w:before="0" w:after="0"/>
        <w:ind w:left="0" w:right="0" w:firstLine="360"/>
        <w:jc w:val="both"/>
        <w:rPr>
          <w:rFonts w:ascii="times new roman;times" w:hAnsi="times new roman;times"/>
          <w:color w:val="000000"/>
          <w:sz w:val="20"/>
        </w:rPr>
      </w:pPr>
      <w:r>
        <w:rPr>
          <w:rFonts w:ascii="times new roman;times" w:hAnsi="times new roman;times"/>
          <w:color w:val="000000"/>
          <w:sz w:val="20"/>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had a two-year term and bears interest at a rate of 1.0% per annum. Monthly principal and interest payments are deferred for approximately sixteen months after the date of disbursement.  </w:t>
      </w:r>
    </w:p>
    <w:p>
      <w:pPr>
        <w:pStyle w:val="TextBody"/>
        <w:spacing w:lineRule="auto" w:line="240" w:before="0" w:after="0"/>
        <w:ind w:left="0" w:right="0" w:hanging="0"/>
        <w:jc w:val="both"/>
        <w:rPr/>
      </w:pPr>
      <w:r>
        <w:rPr/>
      </w:r>
    </w:p>
    <w:p>
      <w:pPr>
        <w:pStyle w:val="TextBody"/>
        <w:widowControl/>
        <w:spacing w:lineRule="auto" w:line="240" w:before="0" w:after="0"/>
        <w:ind w:left="0" w:right="0" w:firstLine="720"/>
        <w:jc w:val="both"/>
        <w:rPr>
          <w:rFonts w:ascii="times new roman;times" w:hAnsi="times new roman;times"/>
          <w:color w:val="000000"/>
          <w:sz w:val="20"/>
        </w:rPr>
      </w:pPr>
      <w:r>
        <w:rPr>
          <w:rFonts w:ascii="times new roman;times" w:hAnsi="times new roman;times"/>
          <w:b w:val="false"/>
          <w:i w:val="false"/>
          <w:caps w:val="false"/>
          <w:smallCaps w:val="false"/>
          <w:color w:val="000000"/>
          <w:spacing w:val="0"/>
          <w:sz w:val="20"/>
        </w:rPr>
        <w:t>The Company's Paycheck Protection Program Loan ("PPP Loan") under the CARES Act was forgiven by Small Business Administration effective April 29, 2022. With this forgiveness, the Company is not required to repay the principal amount of $</w:t>
      </w:r>
      <w:r>
        <w:rPr>
          <w:rFonts w:ascii="times new roman;times" w:hAnsi="times new roman;times"/>
          <w:color w:val="000000"/>
          <w:sz w:val="20"/>
        </w:rPr>
        <w:t>1,499</w:t>
      </w:r>
      <w:r>
        <w:rPr>
          <w:rFonts w:ascii="times new roman;times" w:hAnsi="times new roman;times"/>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and the interest of $</w:t>
      </w:r>
      <w:r>
        <w:rPr>
          <w:rFonts w:ascii="times new roman;times" w:hAnsi="times new roman;times"/>
          <w:color w:val="000000"/>
          <w:sz w:val="20"/>
        </w:rPr>
        <w:t>31</w:t>
      </w:r>
      <w:r>
        <w:rPr>
          <w:rFonts w:ascii="times new roman;times" w:hAnsi="times new roman;times"/>
          <w:b w:val="false"/>
          <w:i w:val="false"/>
          <w:caps w:val="false"/>
          <w:smallCaps w:val="false"/>
          <w:color w:val="000000"/>
          <w:spacing w:val="0"/>
          <w:sz w:val="20"/>
        </w:rPr>
        <w:t>. The Company received $</w:t>
      </w:r>
      <w:r>
        <w:rPr>
          <w:rFonts w:ascii="times new roman;times" w:hAnsi="times new roman;times"/>
          <w:color w:val="000000"/>
          <w:sz w:val="20"/>
        </w:rPr>
        <w:t>953</w:t>
      </w:r>
      <w:r>
        <w:rPr>
          <w:rFonts w:ascii="times new roman;times" w:hAnsi="times new roman;times"/>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back that it had already paid towards principal and interest payments toward the PPP Loan. The Company treated the forgiveness as extinguishment of debt in this quarter ended September 30, 2022 and reported the entire principal amount forgiven of $</w:t>
      </w:r>
      <w:r>
        <w:rPr>
          <w:rFonts w:ascii="times new roman;times" w:hAnsi="times new roman;times"/>
          <w:color w:val="000000"/>
          <w:sz w:val="20"/>
        </w:rPr>
        <w:t>1,499</w:t>
      </w:r>
      <w:r>
        <w:rPr>
          <w:rFonts w:ascii="times new roman;times" w:hAnsi="times new roman;times"/>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along with interest already accounted for of $29as a gain on extinguishment of debt included in other income.</w:t>
      </w:r>
    </w:p>
    <w:p>
      <w:pPr>
        <w:pStyle w:val="TextBody"/>
        <w:spacing w:lineRule="auto" w:line="240" w:before="0" w:after="0"/>
        <w:ind w:left="0" w:right="0" w:firstLine="360"/>
        <w:jc w:val="both"/>
        <w:rPr/>
      </w:pPr>
      <w:r>
        <w:rPr/>
      </w:r>
    </w:p>
    <w:p>
      <w:pPr>
        <w:pStyle w:val="TextBody"/>
        <w:widowControl/>
        <w:spacing w:before="0" w:after="0"/>
        <w:ind w:left="0" w:right="0" w:hanging="0"/>
        <w:rPr>
          <w:rFonts w:ascii="times new roman;times" w:hAnsi="times new roman;times"/>
          <w:b/>
          <w:i/>
          <w:caps w:val="false"/>
          <w:smallCaps w:val="false"/>
          <w:color w:val="000000"/>
          <w:spacing w:val="0"/>
          <w:sz w:val="20"/>
          <w:u w:val="single"/>
        </w:rPr>
      </w:pPr>
      <w:r>
        <w:rPr>
          <w:rFonts w:ascii="times new roman;times" w:hAnsi="times new roman;times"/>
          <w:b/>
          <w:i/>
          <w:caps w:val="false"/>
          <w:smallCaps w:val="false"/>
          <w:color w:val="000000"/>
          <w:spacing w:val="0"/>
          <w:sz w:val="20"/>
          <w:u w:val="single"/>
        </w:rPr>
        <w:t>2022 Bridge Loan</w:t>
      </w:r>
    </w:p>
    <w:p>
      <w:pPr>
        <w:pStyle w:val="TextBody"/>
        <w:widowControl/>
        <w:spacing w:before="0" w:after="0"/>
        <w:ind w:left="0" w:right="0" w:hanging="0"/>
        <w:rPr/>
      </w:pPr>
      <w:r>
        <w:rPr/>
      </w:r>
    </w:p>
    <w:p>
      <w:pPr>
        <w:pStyle w:val="TextBody"/>
        <w:widowControl/>
        <w:spacing w:before="0" w:after="0"/>
        <w:ind w:left="0" w:right="0" w:hanging="0"/>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On October 28, 2022 the Company obtained a bridge loan in the principal amount of $2,000 from Edward D. Bagley (the “2022 Bridge Loan”), an affiliate of the Company. The 2022Bridge Loan is evidenced by a promissory note dated October 28, 2022 (the “2022 Note”) issued by the Company to Mr. Bagley.The2022 Note bears interest at a rate of 12.0% per annum and matures on October 28, 2023. Mr. Bagley is an affiliate of the Company and the Company’s single largest stockholder. This Bridge Loan of $2,000is included under short-term debt as of December 31, 2022.</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10</w:t>
      </w:r>
      <w:r>
        <w:rPr>
          <w:rFonts w:ascii="Times New Roman" w:hAnsi="Times New Roman"/>
          <w:b/>
          <w:sz w:val="20"/>
        </w:rPr>
        <w:t>. Share-Based Payments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i/>
          <w:sz w:val="20"/>
          <w:u w:val="single"/>
        </w:rPr>
      </w:pPr>
      <w:r>
        <w:rPr>
          <w:rFonts w:ascii="Times New Roman" w:hAnsi="Times New Roman"/>
          <w:i/>
          <w:sz w:val="20"/>
          <w:u w:val="single"/>
        </w:rPr>
        <w:t>Employee Stock Option Plans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Company’s share-based incentive plan offering stock options is primarily through 2007 Equity Incentive Plan (the “2007 Plan”). Under this plan, one new share is issued for each stock option exercised. The plan</w:t>
      </w:r>
      <w:r>
        <w:rPr>
          <w:rFonts w:ascii="times new roman;times" w:hAnsi="times new roman;times"/>
          <w:sz w:val="20"/>
        </w:rPr>
        <w:t> </w:t>
      </w:r>
      <w:r>
        <w:rPr>
          <w:rFonts w:ascii="Times New Roman" w:hAnsi="Times New Roman"/>
          <w:sz w:val="20"/>
        </w:rPr>
        <w:t>is described below.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All vesting schedules for options granted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As of </w:t>
      </w:r>
      <w:r>
        <w:rPr>
          <w:rFonts w:ascii="times new roman;times" w:hAnsi="times new roman;times"/>
          <w:sz w:val="20"/>
        </w:rPr>
        <w:t>December 31, 2022</w:t>
      </w:r>
      <w:r>
        <w:rPr>
          <w:rFonts w:ascii="Times New Roman" w:hAnsi="Times New Roman"/>
          <w:sz w:val="20"/>
        </w:rPr>
        <w:t>, the Company had 245,977 options with contractual lives of ten years and 242,500 options with contractual lives of 6 years. </w:t>
      </w:r>
    </w:p>
    <w:p>
      <w:pPr>
        <w:pStyle w:val="TextBody"/>
        <w:widowControl/>
        <w:spacing w:before="0" w:after="0"/>
        <w:ind w:left="0" w:right="0" w:hanging="0"/>
        <w:rPr/>
      </w:pPr>
      <w:r>
        <w:rPr/>
      </w:r>
    </w:p>
    <w:p>
      <w:pPr>
        <w:pStyle w:val="TextBody"/>
        <w:widowControl/>
        <w:spacing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2022, there were 488,477 options outstanding under the 2007 Plan. As of December 31, 2022, the 2007 Plan had 976,377 authorized unissued options.</w:t>
      </w:r>
    </w:p>
    <w:p>
      <w:pPr>
        <w:pStyle w:val="TextBody"/>
        <w:widowControl/>
        <w:spacing w:before="0" w:after="0"/>
        <w:ind w:left="0" w:right="0" w:hanging="0"/>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uses judgment in determining the fair value of the share-based payments on the date of grant using an option-pricing model with assumptions regarding a number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144" w:right="144" w:hanging="0"/>
        <w:jc w:val="center"/>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22</w:t>
            </w:r>
            <w:r>
              <w:rPr>
                <w:rFonts w:ascii="Times New Roman" w:hAnsi="Times New Roman"/>
                <w:b w:val="false"/>
                <w:i w:val="false"/>
                <w:caps w:val="false"/>
                <w:smallCaps w:val="false"/>
                <w:color w:val="000000"/>
                <w:spacing w:val="0"/>
                <w:sz w:val="20"/>
              </w:rPr>
              <w:t> |</w:t>
            </w:r>
          </w:p>
        </w:tc>
      </w:tr>
    </w:tbl>
    <w:p>
      <w:pPr>
        <w:pStyle w:val="HorizontalLine"/>
        <w:spacing w:lineRule="auto" w:line="288"/>
        <w:rPr/>
      </w:pPr>
      <w:r>
        <w:rPr/>
      </w:r>
    </w:p>
    <w:p>
      <w:pPr>
        <w:pStyle w:val="TextBody"/>
        <w:spacing w:lineRule="auto" w:line="288"/>
        <w:jc w:val="left"/>
        <w:rPr/>
      </w:pPr>
      <w:hyperlink w:anchor="TOC">
        <w:r>
          <w:rPr>
            <w:rStyle w:val="InternetLink"/>
            <w:rFonts w:ascii="times new roman;times" w:hAnsi="times new roman;times"/>
            <w:sz w:val="20"/>
          </w:rPr>
          <w:t>Table of Contents</w:t>
        </w:r>
      </w:hyperlink>
    </w:p>
    <w:p>
      <w:pPr>
        <w:pStyle w:val="TextBody"/>
        <w:spacing w:lineRule="auto" w:line="288" w:before="0" w:after="0"/>
        <w:ind w:left="0" w:right="0" w:hanging="0"/>
        <w:rPr/>
      </w:pPr>
      <w:r>
        <w:rPr/>
      </w:r>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88"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t> </w:t>
      </w:r>
    </w:p>
    <w:p>
      <w:pPr>
        <w:pStyle w:val="TextBody"/>
        <w:widowControl/>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did not grant any options during the year ended December 31, 2022. </w:t>
      </w:r>
    </w:p>
    <w:p>
      <w:pPr>
        <w:pStyle w:val="TextBody"/>
        <w:spacing w:lineRule="auto" w:line="240" w:before="0" w:after="0"/>
        <w:ind w:left="0" w:right="0" w:hanging="0"/>
        <w:jc w:val="both"/>
        <w:rPr/>
      </w:pPr>
      <w:r>
        <w:rPr/>
      </w:r>
    </w:p>
    <w:p>
      <w:pPr>
        <w:pStyle w:val="TextBody"/>
        <w:widowControl/>
        <w:spacing w:lineRule="auto" w:line="240"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In applying the Black-Scholes methodology to the 50,000 options granted during the year ended December 31, 2021, the Company used the following assumptions: </w:t>
      </w:r>
    </w:p>
    <w:p>
      <w:pPr>
        <w:pStyle w:val="TextBody"/>
        <w:spacing w:lineRule="auto" w:line="240"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4045" w:type="dxa"/>
        <w:jc w:val="left"/>
        <w:tblInd w:w="0" w:type="dxa"/>
        <w:tblCellMar>
          <w:top w:w="0" w:type="dxa"/>
          <w:left w:w="0" w:type="dxa"/>
          <w:bottom w:w="0" w:type="dxa"/>
          <w:right w:w="0" w:type="dxa"/>
        </w:tblCellMar>
      </w:tblPr>
      <w:tblGrid>
        <w:gridCol w:w="3215"/>
        <w:gridCol w:w="830"/>
      </w:tblGrid>
      <w:tr>
        <w:trPr/>
        <w:tc>
          <w:tcPr>
            <w:tcW w:w="3215" w:type="dxa"/>
            <w:tcBorders/>
            <w:shd w:fill="CCEEFF" w:val="clear"/>
            <w:vAlign w:val="center"/>
          </w:tcPr>
          <w:p>
            <w:pPr>
              <w:pStyle w:val="TableContents"/>
              <w:spacing w:before="0" w:after="283"/>
              <w:rPr/>
            </w:pPr>
            <w:r>
              <w:rPr/>
              <w:t>Risk free interest rate, average</w:t>
            </w:r>
          </w:p>
        </w:tc>
        <w:tc>
          <w:tcPr>
            <w:tcW w:w="830" w:type="dxa"/>
            <w:tcBorders/>
            <w:shd w:fill="CCEEFF" w:val="clear"/>
            <w:vAlign w:val="center"/>
          </w:tcPr>
          <w:p>
            <w:pPr>
              <w:pStyle w:val="TableContents"/>
              <w:spacing w:before="0" w:after="283"/>
              <w:rPr/>
            </w:pPr>
            <w:r>
              <w:rPr/>
              <w:t>0.84%</w:t>
            </w:r>
          </w:p>
        </w:tc>
      </w:tr>
      <w:tr>
        <w:trPr/>
        <w:tc>
          <w:tcPr>
            <w:tcW w:w="3215" w:type="dxa"/>
            <w:tcBorders/>
            <w:shd w:fill="auto" w:val="clear"/>
            <w:vAlign w:val="center"/>
          </w:tcPr>
          <w:p>
            <w:pPr>
              <w:pStyle w:val="TableContents"/>
              <w:spacing w:before="0" w:after="283"/>
              <w:rPr/>
            </w:pPr>
            <w:r>
              <w:rPr/>
              <w:t>Expected option life, average</w:t>
            </w:r>
          </w:p>
        </w:tc>
        <w:tc>
          <w:tcPr>
            <w:tcW w:w="830" w:type="dxa"/>
            <w:tcBorders/>
            <w:shd w:fill="auto" w:val="clear"/>
            <w:vAlign w:val="center"/>
          </w:tcPr>
          <w:p>
            <w:pPr>
              <w:pStyle w:val="TableContents"/>
              <w:spacing w:before="0" w:after="283"/>
              <w:rPr/>
            </w:pPr>
            <w:r>
              <w:rPr/>
              <w:t>5 years</w:t>
            </w:r>
          </w:p>
        </w:tc>
      </w:tr>
      <w:tr>
        <w:trPr/>
        <w:tc>
          <w:tcPr>
            <w:tcW w:w="3215" w:type="dxa"/>
            <w:tcBorders/>
            <w:shd w:fill="CCEEFF" w:val="clear"/>
            <w:vAlign w:val="center"/>
          </w:tcPr>
          <w:p>
            <w:pPr>
              <w:pStyle w:val="TableContents"/>
              <w:spacing w:before="0" w:after="283"/>
              <w:rPr/>
            </w:pPr>
            <w:r>
              <w:rPr/>
              <w:t>Expected price volatility, average</w:t>
            </w:r>
          </w:p>
        </w:tc>
        <w:tc>
          <w:tcPr>
            <w:tcW w:w="830" w:type="dxa"/>
            <w:tcBorders/>
            <w:shd w:fill="CCEEFF" w:val="clear"/>
            <w:vAlign w:val="center"/>
          </w:tcPr>
          <w:p>
            <w:pPr>
              <w:pStyle w:val="TableContents"/>
              <w:spacing w:before="0" w:after="283"/>
              <w:rPr/>
            </w:pPr>
            <w:r>
              <w:rPr/>
              <w:t>69.74%</w:t>
            </w:r>
          </w:p>
        </w:tc>
      </w:tr>
      <w:tr>
        <w:trPr/>
        <w:tc>
          <w:tcPr>
            <w:tcW w:w="3215" w:type="dxa"/>
            <w:tcBorders/>
            <w:shd w:fill="auto" w:val="clear"/>
            <w:vAlign w:val="center"/>
          </w:tcPr>
          <w:p>
            <w:pPr>
              <w:pStyle w:val="TableContents"/>
              <w:spacing w:before="0" w:after="283"/>
              <w:rPr/>
            </w:pPr>
            <w:r>
              <w:rPr/>
              <w:t>Expected dividend yield</w:t>
            </w:r>
          </w:p>
        </w:tc>
        <w:tc>
          <w:tcPr>
            <w:tcW w:w="830" w:type="dxa"/>
            <w:tcBorders/>
            <w:shd w:fill="auto" w:val="clear"/>
            <w:vAlign w:val="center"/>
          </w:tcPr>
          <w:p>
            <w:pPr>
              <w:pStyle w:val="TableContents"/>
              <w:spacing w:before="0" w:after="283"/>
              <w:rPr/>
            </w:pPr>
            <w:r>
              <w:rPr/>
              <w:t>0%</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jc w:val="both"/>
        <w:rPr/>
      </w:pPr>
      <w:r>
        <w:rPr/>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risk-free interest rate is determined using the U.S. Treasury rate in effect as of the date of the grant, based on the expected life of the stock option. The expected life of the stock option is determined using historical data.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expected price volatility is determined using a weighted average of daily historical volatility of the Company’s stock price over the corresponding expected option life.</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Under guidelines of ASC Topic 718, the Company recognizes the associated compensation cost for only those awards expected to vest on a straight-line basis over the underlying requisite service period.</w:t>
      </w:r>
      <w:r>
        <w:rPr>
          <w:rFonts w:ascii="times new roman;times" w:hAnsi="times new roman;times"/>
          <w:sz w:val="20"/>
        </w:rPr>
        <w:t> </w:t>
      </w:r>
      <w:r>
        <w:rPr>
          <w:rFonts w:ascii="Times New Roman" w:hAnsi="Times New Roman"/>
          <w:sz w:val="20"/>
        </w:rPr>
        <w:t>The Company estimated the forfeiture rates based on its historical experience and expectations about future forfeitures.</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The following table shows the stock option activity:</w:t>
      </w:r>
    </w:p>
    <w:p>
      <w:pPr>
        <w:pStyle w:val="TextBody"/>
        <w:spacing w:lineRule="auto" w:line="240" w:before="0" w:after="0"/>
        <w:ind w:left="0" w:right="0" w:hanging="0"/>
        <w:rPr/>
      </w:pPr>
      <w:r>
        <w:rPr/>
      </w:r>
    </w:p>
    <w:tbl>
      <w:tblPr>
        <w:tblW w:w="5000" w:type="pct"/>
        <w:jc w:val="left"/>
        <w:tblInd w:w="0" w:type="dxa"/>
        <w:tblCellMar>
          <w:top w:w="0" w:type="dxa"/>
          <w:left w:w="0" w:type="dxa"/>
          <w:bottom w:w="0" w:type="dxa"/>
          <w:right w:w="0" w:type="dxa"/>
        </w:tblCellMar>
      </w:tblPr>
      <w:tblGrid>
        <w:gridCol w:w="2415"/>
        <w:gridCol w:w="117"/>
        <w:gridCol w:w="159"/>
        <w:gridCol w:w="1006"/>
        <w:gridCol w:w="138"/>
        <w:gridCol w:w="117"/>
        <w:gridCol w:w="445"/>
        <w:gridCol w:w="1179"/>
        <w:gridCol w:w="117"/>
        <w:gridCol w:w="117"/>
        <w:gridCol w:w="463"/>
        <w:gridCol w:w="2119"/>
        <w:gridCol w:w="117"/>
        <w:gridCol w:w="117"/>
        <w:gridCol w:w="489"/>
        <w:gridCol w:w="916"/>
        <w:gridCol w:w="174"/>
      </w:tblGrid>
      <w:tr>
        <w:trPr/>
        <w:tc>
          <w:tcPr>
            <w:tcW w:w="2415"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116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Number of Shares </w:t>
            </w:r>
          </w:p>
        </w:tc>
        <w:tc>
          <w:tcPr>
            <w:tcW w:w="138"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1624"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Weighted Average Exercise Price </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2582"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Weighted Average Remaining Contractual Term (Years) </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140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 xml:space="preserve">Aggregate Intrinsic Value </w:t>
            </w:r>
          </w:p>
        </w:tc>
        <w:tc>
          <w:tcPr>
            <w:tcW w:w="174" w:type="dxa"/>
            <w:tcBorders/>
            <w:shd w:fill="auto" w:val="clear"/>
            <w:vAlign w:val="center"/>
          </w:tcPr>
          <w:p>
            <w:pPr>
              <w:pStyle w:val="TableContents"/>
              <w:spacing w:before="0" w:after="0"/>
              <w:ind w:left="0" w:right="0" w:hanging="0"/>
              <w:rPr/>
            </w:pPr>
            <w:r>
              <w:rPr/>
              <w:t xml:space="preserve">  </w:t>
            </w:r>
          </w:p>
        </w:tc>
      </w:tr>
      <w:tr>
        <w:trPr/>
        <w:tc>
          <w:tcPr>
            <w:tcW w:w="24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As of December 31, 2020</w:t>
            </w:r>
          </w:p>
        </w:tc>
        <w:tc>
          <w:tcPr>
            <w:tcW w:w="117"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00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843,446</w:t>
            </w:r>
          </w:p>
        </w:tc>
        <w:tc>
          <w:tcPr>
            <w:tcW w:w="138"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6.60</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63" w:type="dxa"/>
            <w:tcBorders/>
            <w:shd w:fill="CCEEFF" w:val="clear"/>
            <w:vAlign w:val="center"/>
          </w:tcPr>
          <w:p>
            <w:pPr>
              <w:pStyle w:val="TableContents"/>
              <w:spacing w:before="0" w:after="0"/>
              <w:ind w:left="0" w:right="0" w:hanging="0"/>
              <w:rPr/>
            </w:pPr>
            <w:r>
              <w:rPr/>
              <w:t xml:space="preserve">  </w:t>
            </w:r>
          </w:p>
        </w:tc>
        <w:tc>
          <w:tcPr>
            <w:tcW w:w="211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4.91</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8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16" w:type="dxa"/>
            <w:tcBorders/>
            <w:shd w:fill="CCEEFF" w:val="clear"/>
            <w:vAlign w:val="center"/>
          </w:tcPr>
          <w:p>
            <w:pPr>
              <w:pStyle w:val="TableContents"/>
              <w:spacing w:before="0" w:after="0"/>
              <w:ind w:left="0" w:right="0" w:hanging="0"/>
              <w:jc w:val="right"/>
              <w:rPr/>
            </w:pPr>
            <w:r>
              <w:rPr/>
              <w:t>—</w:t>
            </w:r>
          </w:p>
        </w:tc>
        <w:tc>
          <w:tcPr>
            <w:tcW w:w="174" w:type="dxa"/>
            <w:tcBorders/>
            <w:shd w:fill="CCEEFF" w:val="clear"/>
            <w:vAlign w:val="center"/>
          </w:tcPr>
          <w:p>
            <w:pPr>
              <w:pStyle w:val="TableContents"/>
              <w:spacing w:before="0" w:after="0"/>
              <w:ind w:left="0" w:right="0" w:hanging="0"/>
              <w:rPr/>
            </w:pPr>
            <w:r>
              <w:rPr/>
              <w:t xml:space="preserve">  </w:t>
            </w:r>
          </w:p>
        </w:tc>
      </w:tr>
      <w:tr>
        <w:trPr/>
        <w:tc>
          <w:tcPr>
            <w:tcW w:w="2415"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Granted </w:t>
            </w:r>
          </w:p>
        </w:tc>
        <w:tc>
          <w:tcPr>
            <w:tcW w:w="117"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00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50,000</w:t>
            </w:r>
          </w:p>
        </w:tc>
        <w:tc>
          <w:tcPr>
            <w:tcW w:w="138"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45" w:type="dxa"/>
            <w:tcBorders/>
            <w:shd w:fill="auto" w:val="clear"/>
            <w:vAlign w:val="center"/>
          </w:tcPr>
          <w:p>
            <w:pPr>
              <w:pStyle w:val="TableContents"/>
              <w:spacing w:before="0" w:after="0"/>
              <w:ind w:left="0" w:right="0" w:hanging="0"/>
              <w:rPr/>
            </w:pPr>
            <w:r>
              <w:rPr/>
              <w:t xml:space="preserve">  </w:t>
            </w:r>
          </w:p>
        </w:tc>
        <w:tc>
          <w:tcPr>
            <w:tcW w:w="117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2.30</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63" w:type="dxa"/>
            <w:tcBorders/>
            <w:shd w:fill="auto" w:val="clear"/>
            <w:vAlign w:val="center"/>
          </w:tcPr>
          <w:p>
            <w:pPr>
              <w:pStyle w:val="TableContents"/>
              <w:spacing w:before="0" w:after="0"/>
              <w:ind w:left="0" w:right="0" w:hanging="0"/>
              <w:rPr/>
            </w:pPr>
            <w:r>
              <w:rPr/>
              <w:t xml:space="preserve">  </w:t>
            </w:r>
          </w:p>
        </w:tc>
        <w:tc>
          <w:tcPr>
            <w:tcW w:w="2119" w:type="dxa"/>
            <w:tcBorders/>
            <w:shd w:fill="auto" w:val="clear"/>
            <w:vAlign w:val="center"/>
          </w:tcPr>
          <w:p>
            <w:pPr>
              <w:pStyle w:val="TableContents"/>
              <w:spacing w:before="0" w:after="0"/>
              <w:ind w:left="0" w:right="0" w:hanging="0"/>
              <w:jc w:val="right"/>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89" w:type="dxa"/>
            <w:tcBorders/>
            <w:shd w:fill="auto" w:val="clear"/>
            <w:vAlign w:val="center"/>
          </w:tcPr>
          <w:p>
            <w:pPr>
              <w:pStyle w:val="TableContents"/>
              <w:spacing w:before="0" w:after="0"/>
              <w:ind w:left="0" w:right="0" w:hanging="0"/>
              <w:rPr/>
            </w:pPr>
            <w:r>
              <w:rPr/>
              <w:t xml:space="preserve">  </w:t>
            </w:r>
          </w:p>
        </w:tc>
        <w:tc>
          <w:tcPr>
            <w:tcW w:w="916" w:type="dxa"/>
            <w:tcBorders/>
            <w:shd w:fill="auto" w:val="clear"/>
            <w:vAlign w:val="center"/>
          </w:tcPr>
          <w:p>
            <w:pPr>
              <w:pStyle w:val="TableContents"/>
              <w:spacing w:before="0" w:after="0"/>
              <w:ind w:left="0" w:right="0" w:hanging="0"/>
              <w:jc w:val="right"/>
              <w:rPr/>
            </w:pPr>
            <w:r>
              <w:rPr/>
              <w:t xml:space="preserve">  </w:t>
            </w:r>
          </w:p>
        </w:tc>
        <w:tc>
          <w:tcPr>
            <w:tcW w:w="174" w:type="dxa"/>
            <w:tcBorders/>
            <w:shd w:fill="auto" w:val="clear"/>
            <w:vAlign w:val="center"/>
          </w:tcPr>
          <w:p>
            <w:pPr>
              <w:pStyle w:val="TableContents"/>
              <w:spacing w:before="0" w:after="0"/>
              <w:ind w:left="0" w:right="0" w:hanging="0"/>
              <w:rPr/>
            </w:pPr>
            <w:r>
              <w:rPr/>
              <w:t xml:space="preserve">  </w:t>
            </w:r>
          </w:p>
        </w:tc>
      </w:tr>
      <w:tr>
        <w:trPr/>
        <w:tc>
          <w:tcPr>
            <w:tcW w:w="241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Expired and canceled </w:t>
            </w:r>
          </w:p>
        </w:tc>
        <w:tc>
          <w:tcPr>
            <w:tcW w:w="117"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00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(34,875</w:t>
            </w:r>
          </w:p>
        </w:tc>
        <w:tc>
          <w:tcPr>
            <w:tcW w:w="13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45" w:type="dxa"/>
            <w:tcBorders/>
            <w:shd w:fill="CCEEFF" w:val="clear"/>
            <w:vAlign w:val="center"/>
          </w:tcPr>
          <w:p>
            <w:pPr>
              <w:pStyle w:val="TableContents"/>
              <w:spacing w:before="0" w:after="0"/>
              <w:ind w:left="0" w:right="0" w:hanging="0"/>
              <w:rPr/>
            </w:pPr>
            <w:r>
              <w:rPr/>
              <w:t xml:space="preserve">  </w:t>
            </w:r>
          </w:p>
        </w:tc>
        <w:tc>
          <w:tcPr>
            <w:tcW w:w="117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6.70</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63" w:type="dxa"/>
            <w:tcBorders/>
            <w:shd w:fill="CCEEFF" w:val="clear"/>
            <w:vAlign w:val="center"/>
          </w:tcPr>
          <w:p>
            <w:pPr>
              <w:pStyle w:val="TableContents"/>
              <w:spacing w:before="0" w:after="0"/>
              <w:ind w:left="0" w:right="0" w:hanging="0"/>
              <w:rPr/>
            </w:pPr>
            <w:r>
              <w:rPr/>
              <w:t xml:space="preserve">  </w:t>
            </w:r>
          </w:p>
        </w:tc>
        <w:tc>
          <w:tcPr>
            <w:tcW w:w="2119" w:type="dxa"/>
            <w:tcBorders/>
            <w:shd w:fill="CCEEFF" w:val="clear"/>
            <w:vAlign w:val="center"/>
          </w:tcPr>
          <w:p>
            <w:pPr>
              <w:pStyle w:val="TableContents"/>
              <w:spacing w:before="0" w:after="0"/>
              <w:ind w:left="0" w:right="0" w:hanging="0"/>
              <w:jc w:val="right"/>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89" w:type="dxa"/>
            <w:tcBorders/>
            <w:shd w:fill="CCEEFF" w:val="clear"/>
            <w:vAlign w:val="center"/>
          </w:tcPr>
          <w:p>
            <w:pPr>
              <w:pStyle w:val="TableContents"/>
              <w:spacing w:before="0" w:after="0"/>
              <w:ind w:left="0" w:right="0" w:hanging="0"/>
              <w:rPr/>
            </w:pPr>
            <w:r>
              <w:rPr/>
              <w:t xml:space="preserve">  </w:t>
            </w:r>
          </w:p>
        </w:tc>
        <w:tc>
          <w:tcPr>
            <w:tcW w:w="916" w:type="dxa"/>
            <w:tcBorders/>
            <w:shd w:fill="CCEEFF" w:val="clear"/>
            <w:vAlign w:val="center"/>
          </w:tcPr>
          <w:p>
            <w:pPr>
              <w:pStyle w:val="TableContents"/>
              <w:spacing w:before="0" w:after="0"/>
              <w:ind w:left="0" w:right="0" w:hanging="0"/>
              <w:jc w:val="right"/>
              <w:rPr/>
            </w:pPr>
            <w:r>
              <w:rPr/>
              <w:t xml:space="preserve">  </w:t>
            </w:r>
          </w:p>
        </w:tc>
        <w:tc>
          <w:tcPr>
            <w:tcW w:w="174" w:type="dxa"/>
            <w:tcBorders/>
            <w:shd w:fill="CCEEFF" w:val="clear"/>
            <w:vAlign w:val="center"/>
          </w:tcPr>
          <w:p>
            <w:pPr>
              <w:pStyle w:val="TableContents"/>
              <w:spacing w:before="0" w:after="0"/>
              <w:ind w:left="0" w:right="0" w:hanging="0"/>
              <w:rPr/>
            </w:pPr>
            <w:r>
              <w:rPr/>
              <w:t xml:space="preserve">  </w:t>
            </w:r>
          </w:p>
        </w:tc>
      </w:tr>
      <w:tr>
        <w:trPr/>
        <w:tc>
          <w:tcPr>
            <w:tcW w:w="2415"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Forfeited prior to vesting </w:t>
            </w:r>
          </w:p>
        </w:tc>
        <w:tc>
          <w:tcPr>
            <w:tcW w:w="117"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00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(27,500</w:t>
            </w:r>
          </w:p>
        </w:tc>
        <w:tc>
          <w:tcPr>
            <w:tcW w:w="138" w:type="dxa"/>
            <w:tcBorders/>
            <w:shd w:fill="auto" w:val="clear"/>
            <w:vAlign w:val="center"/>
          </w:tcPr>
          <w:p>
            <w:pPr>
              <w:pStyle w:val="TableContents"/>
              <w:widowControl/>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 w:type="dxa"/>
            <w:tcBorders/>
            <w:shd w:fill="auto" w:val="clear"/>
            <w:vAlign w:val="center"/>
          </w:tcPr>
          <w:p>
            <w:pPr>
              <w:pStyle w:val="TableContents"/>
              <w:spacing w:before="0" w:after="0"/>
              <w:ind w:left="0" w:right="0" w:hanging="0"/>
              <w:rPr/>
            </w:pPr>
            <w:r>
              <w:rPr/>
              <w:t xml:space="preserve">  </w:t>
            </w:r>
          </w:p>
        </w:tc>
        <w:tc>
          <w:tcPr>
            <w:tcW w:w="445" w:type="dxa"/>
            <w:tcBorders/>
            <w:shd w:fill="auto" w:val="clear"/>
            <w:vAlign w:val="center"/>
          </w:tcPr>
          <w:p>
            <w:pPr>
              <w:pStyle w:val="TableContents"/>
              <w:spacing w:before="0" w:after="0"/>
              <w:ind w:left="0" w:right="0" w:hanging="0"/>
              <w:rPr/>
            </w:pPr>
            <w:r>
              <w:rPr/>
              <w:t xml:space="preserve">  </w:t>
            </w:r>
          </w:p>
        </w:tc>
        <w:tc>
          <w:tcPr>
            <w:tcW w:w="117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63" w:type="dxa"/>
            <w:tcBorders/>
            <w:shd w:fill="auto" w:val="clear"/>
            <w:vAlign w:val="center"/>
          </w:tcPr>
          <w:p>
            <w:pPr>
              <w:pStyle w:val="TableContents"/>
              <w:spacing w:before="0" w:after="0"/>
              <w:ind w:left="0" w:right="0" w:hanging="0"/>
              <w:rPr/>
            </w:pPr>
            <w:r>
              <w:rPr/>
              <w:t xml:space="preserve">  </w:t>
            </w:r>
          </w:p>
        </w:tc>
        <w:tc>
          <w:tcPr>
            <w:tcW w:w="2119" w:type="dxa"/>
            <w:tcBorders/>
            <w:shd w:fill="auto" w:val="clear"/>
            <w:vAlign w:val="center"/>
          </w:tcPr>
          <w:p>
            <w:pPr>
              <w:pStyle w:val="TableContents"/>
              <w:spacing w:before="0" w:after="0"/>
              <w:ind w:left="0" w:right="0" w:hanging="0"/>
              <w:jc w:val="right"/>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89" w:type="dxa"/>
            <w:tcBorders/>
            <w:shd w:fill="auto" w:val="clear"/>
            <w:vAlign w:val="center"/>
          </w:tcPr>
          <w:p>
            <w:pPr>
              <w:pStyle w:val="TableContents"/>
              <w:spacing w:before="0" w:after="0"/>
              <w:ind w:left="0" w:right="0" w:hanging="0"/>
              <w:rPr/>
            </w:pPr>
            <w:r>
              <w:rPr/>
              <w:t xml:space="preserve">  </w:t>
            </w:r>
          </w:p>
        </w:tc>
        <w:tc>
          <w:tcPr>
            <w:tcW w:w="916" w:type="dxa"/>
            <w:tcBorders/>
            <w:shd w:fill="auto" w:val="clear"/>
            <w:vAlign w:val="center"/>
          </w:tcPr>
          <w:p>
            <w:pPr>
              <w:pStyle w:val="TableContents"/>
              <w:spacing w:before="0" w:after="0"/>
              <w:ind w:left="0" w:right="0" w:hanging="0"/>
              <w:jc w:val="right"/>
              <w:rPr/>
            </w:pPr>
            <w:r>
              <w:rPr/>
              <w:t xml:space="preserve">  </w:t>
            </w:r>
          </w:p>
        </w:tc>
        <w:tc>
          <w:tcPr>
            <w:tcW w:w="174" w:type="dxa"/>
            <w:tcBorders/>
            <w:shd w:fill="auto" w:val="clear"/>
            <w:vAlign w:val="center"/>
          </w:tcPr>
          <w:p>
            <w:pPr>
              <w:pStyle w:val="TableContents"/>
              <w:spacing w:before="0" w:after="0"/>
              <w:ind w:left="0" w:right="0" w:hanging="0"/>
              <w:rPr/>
            </w:pPr>
            <w:r>
              <w:rPr/>
              <w:t xml:space="preserve">  </w:t>
            </w:r>
          </w:p>
        </w:tc>
      </w:tr>
      <w:tr>
        <w:trPr/>
        <w:tc>
          <w:tcPr>
            <w:tcW w:w="241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Exercised </w:t>
            </w:r>
          </w:p>
        </w:tc>
        <w:tc>
          <w:tcPr>
            <w:tcW w:w="117" w:type="dxa"/>
            <w:tcBorders/>
            <w:shd w:fill="CCEEFF" w:val="clear"/>
            <w:vAlign w:val="center"/>
          </w:tcPr>
          <w:p>
            <w:pPr>
              <w:pStyle w:val="TableContents"/>
              <w:spacing w:before="0" w:after="0"/>
              <w:ind w:left="0" w:right="0" w:hanging="0"/>
              <w:rPr/>
            </w:pPr>
            <w:r>
              <w:rPr/>
              <w:t xml:space="preserve">  </w:t>
            </w:r>
          </w:p>
        </w:tc>
        <w:tc>
          <w:tcPr>
            <w:tcW w:w="15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006"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38"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45"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179"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63"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2119"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89"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916" w:type="dxa"/>
            <w:tcBorders>
              <w:bottom w:val="single" w:sz="6" w:space="0" w:color="000000"/>
            </w:tcBorders>
            <w:shd w:fill="CCEEFF" w:val="clear"/>
            <w:tcMar>
              <w:bottom w:w="28" w:type="dxa"/>
            </w:tcMar>
            <w:vAlign w:val="center"/>
          </w:tcPr>
          <w:p>
            <w:pPr>
              <w:pStyle w:val="TableContents"/>
              <w:spacing w:before="0" w:after="0"/>
              <w:ind w:left="0" w:right="0" w:hanging="0"/>
              <w:jc w:val="right"/>
              <w:rPr/>
            </w:pPr>
            <w:r>
              <w:rPr/>
              <w:t xml:space="preserve">  </w:t>
            </w:r>
          </w:p>
        </w:tc>
        <w:tc>
          <w:tcPr>
            <w:tcW w:w="174" w:type="dxa"/>
            <w:tcBorders/>
            <w:shd w:fill="CCEEFF" w:val="clear"/>
            <w:vAlign w:val="center"/>
          </w:tcPr>
          <w:p>
            <w:pPr>
              <w:pStyle w:val="TableContents"/>
              <w:spacing w:before="0" w:after="0"/>
              <w:ind w:left="0" w:right="0" w:hanging="0"/>
              <w:rPr/>
            </w:pPr>
            <w:r>
              <w:rPr/>
              <w:t xml:space="preserve">  </w:t>
            </w:r>
          </w:p>
        </w:tc>
      </w:tr>
      <w:tr>
        <w:trPr/>
        <w:tc>
          <w:tcPr>
            <w:tcW w:w="24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As of December 31, 2021</w:t>
            </w:r>
          </w:p>
        </w:tc>
        <w:tc>
          <w:tcPr>
            <w:tcW w:w="117"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00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831,071</w:t>
            </w:r>
          </w:p>
        </w:tc>
        <w:tc>
          <w:tcPr>
            <w:tcW w:w="138"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4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6.47</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63" w:type="dxa"/>
            <w:tcBorders/>
            <w:shd w:fill="auto" w:val="clear"/>
            <w:vAlign w:val="center"/>
          </w:tcPr>
          <w:p>
            <w:pPr>
              <w:pStyle w:val="TableContents"/>
              <w:spacing w:before="0" w:after="0"/>
              <w:ind w:left="0" w:right="0" w:hanging="0"/>
              <w:rPr/>
            </w:pPr>
            <w:r>
              <w:rPr/>
              <w:t xml:space="preserve">  </w:t>
            </w:r>
          </w:p>
        </w:tc>
        <w:tc>
          <w:tcPr>
            <w:tcW w:w="211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4.10</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16" w:type="dxa"/>
            <w:tcBorders/>
            <w:shd w:fill="auto" w:val="clear"/>
            <w:vAlign w:val="center"/>
          </w:tcPr>
          <w:p>
            <w:pPr>
              <w:pStyle w:val="TableContents"/>
              <w:spacing w:before="0" w:after="0"/>
              <w:ind w:left="0" w:right="0" w:hanging="0"/>
              <w:jc w:val="right"/>
              <w:rPr/>
            </w:pPr>
            <w:r>
              <w:rPr/>
              <w:t>—</w:t>
            </w:r>
          </w:p>
        </w:tc>
        <w:tc>
          <w:tcPr>
            <w:tcW w:w="174" w:type="dxa"/>
            <w:tcBorders/>
            <w:shd w:fill="auto" w:val="clear"/>
            <w:vAlign w:val="center"/>
          </w:tcPr>
          <w:p>
            <w:pPr>
              <w:pStyle w:val="TableContents"/>
              <w:spacing w:before="0" w:after="0"/>
              <w:ind w:left="0" w:right="0" w:hanging="0"/>
              <w:rPr/>
            </w:pPr>
            <w:r>
              <w:rPr/>
              <w:t xml:space="preserve">  </w:t>
            </w:r>
          </w:p>
        </w:tc>
      </w:tr>
      <w:tr>
        <w:trPr/>
        <w:tc>
          <w:tcPr>
            <w:tcW w:w="241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Granted </w:t>
            </w:r>
          </w:p>
        </w:tc>
        <w:tc>
          <w:tcPr>
            <w:tcW w:w="117"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006" w:type="dxa"/>
            <w:tcBorders/>
            <w:shd w:fill="CCEEFF" w:val="clear"/>
            <w:vAlign w:val="center"/>
          </w:tcPr>
          <w:p>
            <w:pPr>
              <w:pStyle w:val="TableContents"/>
              <w:spacing w:before="0" w:after="0"/>
              <w:ind w:left="0" w:right="0" w:hanging="0"/>
              <w:jc w:val="right"/>
              <w:rPr/>
            </w:pPr>
            <w:r>
              <w:rPr/>
              <w:t>—</w:t>
            </w:r>
          </w:p>
        </w:tc>
        <w:tc>
          <w:tcPr>
            <w:tcW w:w="138"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45" w:type="dxa"/>
            <w:tcBorders/>
            <w:shd w:fill="CCEEFF" w:val="clear"/>
            <w:vAlign w:val="center"/>
          </w:tcPr>
          <w:p>
            <w:pPr>
              <w:pStyle w:val="TableContents"/>
              <w:spacing w:before="0" w:after="0"/>
              <w:ind w:left="0" w:right="0" w:hanging="0"/>
              <w:rPr/>
            </w:pPr>
            <w:r>
              <w:rPr/>
              <w:t xml:space="preserve">  </w:t>
            </w:r>
          </w:p>
        </w:tc>
        <w:tc>
          <w:tcPr>
            <w:tcW w:w="1179" w:type="dxa"/>
            <w:tcBorders/>
            <w:shd w:fill="CCEEFF" w:val="clear"/>
            <w:vAlign w:val="center"/>
          </w:tcPr>
          <w:p>
            <w:pPr>
              <w:pStyle w:val="TableContents"/>
              <w:spacing w:before="0" w:after="0"/>
              <w:ind w:left="0" w:right="0" w:hanging="0"/>
              <w:jc w:val="right"/>
              <w:rPr/>
            </w:pPr>
            <w:r>
              <w:rPr/>
              <w:t>—</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63" w:type="dxa"/>
            <w:tcBorders/>
            <w:shd w:fill="CCEEFF" w:val="clear"/>
            <w:vAlign w:val="center"/>
          </w:tcPr>
          <w:p>
            <w:pPr>
              <w:pStyle w:val="TableContents"/>
              <w:spacing w:before="0" w:after="0"/>
              <w:ind w:left="0" w:right="0" w:hanging="0"/>
              <w:rPr/>
            </w:pPr>
            <w:r>
              <w:rPr/>
              <w:t xml:space="preserve">  </w:t>
            </w:r>
          </w:p>
        </w:tc>
        <w:tc>
          <w:tcPr>
            <w:tcW w:w="2119" w:type="dxa"/>
            <w:tcBorders/>
            <w:shd w:fill="CCEEFF" w:val="clear"/>
            <w:vAlign w:val="center"/>
          </w:tcPr>
          <w:p>
            <w:pPr>
              <w:pStyle w:val="TableContents"/>
              <w:spacing w:before="0" w:after="0"/>
              <w:ind w:left="0" w:right="0" w:hanging="0"/>
              <w:jc w:val="right"/>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89" w:type="dxa"/>
            <w:tcBorders/>
            <w:shd w:fill="CCEEFF" w:val="clear"/>
            <w:vAlign w:val="center"/>
          </w:tcPr>
          <w:p>
            <w:pPr>
              <w:pStyle w:val="TableContents"/>
              <w:spacing w:before="0" w:after="0"/>
              <w:ind w:left="0" w:right="0" w:hanging="0"/>
              <w:rPr/>
            </w:pPr>
            <w:r>
              <w:rPr/>
              <w:t xml:space="preserve">  </w:t>
            </w:r>
          </w:p>
        </w:tc>
        <w:tc>
          <w:tcPr>
            <w:tcW w:w="916" w:type="dxa"/>
            <w:tcBorders/>
            <w:shd w:fill="CCEEFF" w:val="clear"/>
            <w:vAlign w:val="center"/>
          </w:tcPr>
          <w:p>
            <w:pPr>
              <w:pStyle w:val="TableContents"/>
              <w:spacing w:before="0" w:after="0"/>
              <w:ind w:left="0" w:right="0" w:hanging="0"/>
              <w:jc w:val="right"/>
              <w:rPr/>
            </w:pPr>
            <w:r>
              <w:rPr/>
              <w:t xml:space="preserve">  </w:t>
            </w:r>
          </w:p>
        </w:tc>
        <w:tc>
          <w:tcPr>
            <w:tcW w:w="174" w:type="dxa"/>
            <w:tcBorders/>
            <w:shd w:fill="CCEEFF" w:val="clear"/>
            <w:vAlign w:val="center"/>
          </w:tcPr>
          <w:p>
            <w:pPr>
              <w:pStyle w:val="TableContents"/>
              <w:spacing w:before="0" w:after="0"/>
              <w:ind w:left="0" w:right="0" w:hanging="0"/>
              <w:rPr/>
            </w:pPr>
            <w:r>
              <w:rPr/>
              <w:t xml:space="preserve">  </w:t>
            </w:r>
          </w:p>
        </w:tc>
      </w:tr>
      <w:tr>
        <w:trPr/>
        <w:tc>
          <w:tcPr>
            <w:tcW w:w="2415"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Expired and canceled </w:t>
            </w:r>
          </w:p>
        </w:tc>
        <w:tc>
          <w:tcPr>
            <w:tcW w:w="117"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00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(274,379</w:t>
            </w:r>
          </w:p>
        </w:tc>
        <w:tc>
          <w:tcPr>
            <w:tcW w:w="138" w:type="dxa"/>
            <w:tcBorders/>
            <w:shd w:fill="auto" w:val="clear"/>
            <w:vAlign w:val="center"/>
          </w:tcPr>
          <w:p>
            <w:pPr>
              <w:pStyle w:val="TableContents"/>
              <w:spacing w:before="0" w:after="283"/>
              <w:rPr/>
            </w:pPr>
            <w:r>
              <w:rPr/>
              <w:t>)</w:t>
            </w:r>
          </w:p>
        </w:tc>
        <w:tc>
          <w:tcPr>
            <w:tcW w:w="117" w:type="dxa"/>
            <w:tcBorders/>
            <w:shd w:fill="auto" w:val="clear"/>
            <w:vAlign w:val="center"/>
          </w:tcPr>
          <w:p>
            <w:pPr>
              <w:pStyle w:val="TableContents"/>
              <w:spacing w:before="0" w:after="0"/>
              <w:ind w:left="0" w:right="0" w:hanging="0"/>
              <w:rPr/>
            </w:pPr>
            <w:r>
              <w:rPr/>
              <w:t xml:space="preserve">  </w:t>
            </w:r>
          </w:p>
        </w:tc>
        <w:tc>
          <w:tcPr>
            <w:tcW w:w="445" w:type="dxa"/>
            <w:tcBorders/>
            <w:shd w:fill="auto" w:val="clear"/>
            <w:vAlign w:val="center"/>
          </w:tcPr>
          <w:p>
            <w:pPr>
              <w:pStyle w:val="TableContents"/>
              <w:spacing w:before="0" w:after="0"/>
              <w:ind w:left="0" w:right="0" w:hanging="0"/>
              <w:rPr/>
            </w:pPr>
            <w:r>
              <w:rPr/>
              <w:t xml:space="preserve">  </w:t>
            </w:r>
          </w:p>
        </w:tc>
        <w:tc>
          <w:tcPr>
            <w:tcW w:w="117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7.44</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63" w:type="dxa"/>
            <w:tcBorders/>
            <w:shd w:fill="auto" w:val="clear"/>
            <w:vAlign w:val="center"/>
          </w:tcPr>
          <w:p>
            <w:pPr>
              <w:pStyle w:val="TableContents"/>
              <w:spacing w:before="0" w:after="0"/>
              <w:ind w:left="0" w:right="0" w:hanging="0"/>
              <w:rPr/>
            </w:pPr>
            <w:r>
              <w:rPr/>
              <w:t xml:space="preserve">  </w:t>
            </w:r>
          </w:p>
        </w:tc>
        <w:tc>
          <w:tcPr>
            <w:tcW w:w="2119" w:type="dxa"/>
            <w:tcBorders/>
            <w:shd w:fill="auto" w:val="clear"/>
            <w:vAlign w:val="center"/>
          </w:tcPr>
          <w:p>
            <w:pPr>
              <w:pStyle w:val="TableContents"/>
              <w:spacing w:before="0" w:after="0"/>
              <w:ind w:left="0" w:right="0" w:hanging="0"/>
              <w:jc w:val="right"/>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89" w:type="dxa"/>
            <w:tcBorders/>
            <w:shd w:fill="auto" w:val="clear"/>
            <w:vAlign w:val="center"/>
          </w:tcPr>
          <w:p>
            <w:pPr>
              <w:pStyle w:val="TableContents"/>
              <w:spacing w:before="0" w:after="0"/>
              <w:ind w:left="0" w:right="0" w:hanging="0"/>
              <w:rPr/>
            </w:pPr>
            <w:r>
              <w:rPr/>
              <w:t xml:space="preserve">  </w:t>
            </w:r>
          </w:p>
        </w:tc>
        <w:tc>
          <w:tcPr>
            <w:tcW w:w="916" w:type="dxa"/>
            <w:tcBorders/>
            <w:shd w:fill="auto" w:val="clear"/>
            <w:vAlign w:val="center"/>
          </w:tcPr>
          <w:p>
            <w:pPr>
              <w:pStyle w:val="TableContents"/>
              <w:spacing w:before="0" w:after="0"/>
              <w:ind w:left="0" w:right="0" w:hanging="0"/>
              <w:jc w:val="right"/>
              <w:rPr/>
            </w:pPr>
            <w:r>
              <w:rPr/>
              <w:t xml:space="preserve">  </w:t>
            </w:r>
          </w:p>
        </w:tc>
        <w:tc>
          <w:tcPr>
            <w:tcW w:w="174" w:type="dxa"/>
            <w:tcBorders/>
            <w:shd w:fill="auto" w:val="clear"/>
            <w:vAlign w:val="center"/>
          </w:tcPr>
          <w:p>
            <w:pPr>
              <w:pStyle w:val="TableContents"/>
              <w:spacing w:before="0" w:after="0"/>
              <w:ind w:left="0" w:right="0" w:hanging="0"/>
              <w:rPr/>
            </w:pPr>
            <w:r>
              <w:rPr/>
              <w:t xml:space="preserve">  </w:t>
            </w:r>
          </w:p>
        </w:tc>
      </w:tr>
      <w:tr>
        <w:trPr/>
        <w:tc>
          <w:tcPr>
            <w:tcW w:w="2415"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Forfeited prior to vesting </w:t>
            </w:r>
          </w:p>
        </w:tc>
        <w:tc>
          <w:tcPr>
            <w:tcW w:w="117"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00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(68,215</w:t>
            </w:r>
          </w:p>
        </w:tc>
        <w:tc>
          <w:tcPr>
            <w:tcW w:w="138" w:type="dxa"/>
            <w:tcBorders/>
            <w:shd w:fill="CCEEFF" w:val="clear"/>
            <w:vAlign w:val="center"/>
          </w:tcPr>
          <w:p>
            <w:pPr>
              <w:pStyle w:val="TableContents"/>
              <w:spacing w:before="0" w:after="283"/>
              <w:rPr/>
            </w:pPr>
            <w:r>
              <w:rPr/>
              <w:t>)</w:t>
            </w:r>
          </w:p>
        </w:tc>
        <w:tc>
          <w:tcPr>
            <w:tcW w:w="117" w:type="dxa"/>
            <w:tcBorders/>
            <w:shd w:fill="CCEEFF" w:val="clear"/>
            <w:vAlign w:val="center"/>
          </w:tcPr>
          <w:p>
            <w:pPr>
              <w:pStyle w:val="TableContents"/>
              <w:spacing w:before="0" w:after="0"/>
              <w:ind w:left="0" w:right="0" w:hanging="0"/>
              <w:rPr/>
            </w:pPr>
            <w:r>
              <w:rPr/>
              <w:t xml:space="preserve">  </w:t>
            </w:r>
          </w:p>
        </w:tc>
        <w:tc>
          <w:tcPr>
            <w:tcW w:w="445" w:type="dxa"/>
            <w:tcBorders/>
            <w:shd w:fill="CCEEFF" w:val="clear"/>
            <w:vAlign w:val="center"/>
          </w:tcPr>
          <w:p>
            <w:pPr>
              <w:pStyle w:val="TableContents"/>
              <w:spacing w:before="0" w:after="0"/>
              <w:ind w:left="0" w:right="0" w:hanging="0"/>
              <w:rPr/>
            </w:pPr>
            <w:r>
              <w:rPr/>
              <w:t xml:space="preserve">  </w:t>
            </w:r>
          </w:p>
        </w:tc>
        <w:tc>
          <w:tcPr>
            <w:tcW w:w="117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2.50</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63" w:type="dxa"/>
            <w:tcBorders/>
            <w:shd w:fill="CCEEFF" w:val="clear"/>
            <w:vAlign w:val="center"/>
          </w:tcPr>
          <w:p>
            <w:pPr>
              <w:pStyle w:val="TableContents"/>
              <w:spacing w:before="0" w:after="0"/>
              <w:ind w:left="0" w:right="0" w:hanging="0"/>
              <w:rPr/>
            </w:pPr>
            <w:r>
              <w:rPr/>
              <w:t xml:space="preserve">  </w:t>
            </w:r>
          </w:p>
        </w:tc>
        <w:tc>
          <w:tcPr>
            <w:tcW w:w="2119" w:type="dxa"/>
            <w:tcBorders/>
            <w:shd w:fill="CCEEFF" w:val="clear"/>
            <w:vAlign w:val="center"/>
          </w:tcPr>
          <w:p>
            <w:pPr>
              <w:pStyle w:val="TableContents"/>
              <w:spacing w:before="0" w:after="0"/>
              <w:ind w:left="0" w:right="0" w:hanging="0"/>
              <w:jc w:val="right"/>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89" w:type="dxa"/>
            <w:tcBorders/>
            <w:shd w:fill="CCEEFF" w:val="clear"/>
            <w:vAlign w:val="center"/>
          </w:tcPr>
          <w:p>
            <w:pPr>
              <w:pStyle w:val="TableContents"/>
              <w:spacing w:before="0" w:after="0"/>
              <w:ind w:left="0" w:right="0" w:hanging="0"/>
              <w:rPr/>
            </w:pPr>
            <w:r>
              <w:rPr/>
              <w:t xml:space="preserve">  </w:t>
            </w:r>
          </w:p>
        </w:tc>
        <w:tc>
          <w:tcPr>
            <w:tcW w:w="916" w:type="dxa"/>
            <w:tcBorders/>
            <w:shd w:fill="CCEEFF" w:val="clear"/>
            <w:vAlign w:val="center"/>
          </w:tcPr>
          <w:p>
            <w:pPr>
              <w:pStyle w:val="TableContents"/>
              <w:spacing w:before="0" w:after="0"/>
              <w:ind w:left="0" w:right="0" w:hanging="0"/>
              <w:jc w:val="right"/>
              <w:rPr/>
            </w:pPr>
            <w:r>
              <w:rPr/>
              <w:t xml:space="preserve">  </w:t>
            </w:r>
          </w:p>
        </w:tc>
        <w:tc>
          <w:tcPr>
            <w:tcW w:w="174" w:type="dxa"/>
            <w:tcBorders/>
            <w:shd w:fill="CCEEFF" w:val="clear"/>
            <w:vAlign w:val="center"/>
          </w:tcPr>
          <w:p>
            <w:pPr>
              <w:pStyle w:val="TableContents"/>
              <w:spacing w:before="0" w:after="0"/>
              <w:ind w:left="0" w:right="0" w:hanging="0"/>
              <w:rPr/>
            </w:pPr>
            <w:r>
              <w:rPr/>
              <w:t xml:space="preserve">  </w:t>
            </w:r>
          </w:p>
        </w:tc>
      </w:tr>
      <w:tr>
        <w:trPr/>
        <w:tc>
          <w:tcPr>
            <w:tcW w:w="2415" w:type="dxa"/>
            <w:tcBorders/>
            <w:shd w:fill="auto"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 xml:space="preserve">Exercised </w:t>
            </w:r>
          </w:p>
        </w:tc>
        <w:tc>
          <w:tcPr>
            <w:tcW w:w="117" w:type="dxa"/>
            <w:tcBorders/>
            <w:shd w:fill="auto" w:val="clear"/>
            <w:vAlign w:val="center"/>
          </w:tcPr>
          <w:p>
            <w:pPr>
              <w:pStyle w:val="TableContents"/>
              <w:spacing w:before="0" w:after="0"/>
              <w:ind w:left="0" w:right="0" w:hanging="0"/>
              <w:rPr/>
            </w:pPr>
            <w:r>
              <w:rPr/>
              <w:t xml:space="preserve">  </w:t>
            </w:r>
          </w:p>
        </w:tc>
        <w:tc>
          <w:tcPr>
            <w:tcW w:w="15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06"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38"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4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179"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63"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2119"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89"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16"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 xml:space="preserve">  </w:t>
            </w:r>
          </w:p>
        </w:tc>
        <w:tc>
          <w:tcPr>
            <w:tcW w:w="174" w:type="dxa"/>
            <w:tcBorders/>
            <w:shd w:fill="auto" w:val="clear"/>
            <w:vAlign w:val="center"/>
          </w:tcPr>
          <w:p>
            <w:pPr>
              <w:pStyle w:val="TableContents"/>
              <w:spacing w:before="0" w:after="0"/>
              <w:ind w:left="0" w:right="0" w:hanging="0"/>
              <w:rPr/>
            </w:pPr>
            <w:r>
              <w:rPr/>
              <w:t xml:space="preserve">  </w:t>
            </w:r>
          </w:p>
        </w:tc>
      </w:tr>
      <w:tr>
        <w:trPr/>
        <w:tc>
          <w:tcPr>
            <w:tcW w:w="24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As of December 31, 2022</w:t>
            </w:r>
          </w:p>
        </w:tc>
        <w:tc>
          <w:tcPr>
            <w:tcW w:w="117" w:type="dxa"/>
            <w:tcBorders/>
            <w:shd w:fill="CCEEFF" w:val="clear"/>
            <w:vAlign w:val="center"/>
          </w:tcPr>
          <w:p>
            <w:pPr>
              <w:pStyle w:val="TableContents"/>
              <w:spacing w:before="0" w:after="0"/>
              <w:ind w:left="0" w:right="0" w:hanging="0"/>
              <w:rPr/>
            </w:pPr>
            <w:r>
              <w:rPr/>
              <w:t xml:space="preserve">  </w:t>
            </w:r>
          </w:p>
        </w:tc>
        <w:tc>
          <w:tcPr>
            <w:tcW w:w="159" w:type="dxa"/>
            <w:tcBorders>
              <w:bottom w:val="doub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488,477</w:t>
            </w:r>
          </w:p>
        </w:tc>
        <w:tc>
          <w:tcPr>
            <w:tcW w:w="138"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4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6.48</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63" w:type="dxa"/>
            <w:tcBorders>
              <w:bottom w:val="doub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211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3.42</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8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1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74" w:type="dxa"/>
            <w:tcBorders/>
            <w:shd w:fill="CCEEFF" w:val="clear"/>
            <w:vAlign w:val="center"/>
          </w:tcPr>
          <w:p>
            <w:pPr>
              <w:pStyle w:val="TableContents"/>
              <w:spacing w:before="0" w:after="0"/>
              <w:ind w:left="0" w:right="0" w:hanging="0"/>
              <w:rPr/>
            </w:pPr>
            <w:r>
              <w:rPr/>
              <w:t xml:space="preserve">  </w:t>
            </w:r>
          </w:p>
        </w:tc>
      </w:tr>
      <w:tr>
        <w:trPr/>
        <w:tc>
          <w:tcPr>
            <w:tcW w:w="2415" w:type="dxa"/>
            <w:tcBorders/>
            <w:shd w:fill="auto" w:val="clear"/>
            <w:vAlign w:val="center"/>
          </w:tcPr>
          <w:p>
            <w:pPr>
              <w:pStyle w:val="TableContents"/>
              <w:spacing w:before="0" w:after="0"/>
              <w:ind w:left="180" w:right="0" w:hanging="180"/>
              <w:rPr>
                <w:rFonts w:ascii="Times New Roman" w:hAnsi="Times New Roman"/>
                <w:sz w:val="20"/>
              </w:rPr>
            </w:pPr>
            <w:r>
              <w:rPr>
                <w:rFonts w:ascii="Times New Roman" w:hAnsi="Times New Roman"/>
                <w:sz w:val="20"/>
              </w:rPr>
              <w:t>Vested and Expected to Vest at December 31, 2021</w:t>
            </w:r>
          </w:p>
        </w:tc>
        <w:tc>
          <w:tcPr>
            <w:tcW w:w="117"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00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831,071</w:t>
            </w:r>
          </w:p>
        </w:tc>
        <w:tc>
          <w:tcPr>
            <w:tcW w:w="138"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4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6.47</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63" w:type="dxa"/>
            <w:tcBorders/>
            <w:shd w:fill="auto" w:val="clear"/>
            <w:vAlign w:val="center"/>
          </w:tcPr>
          <w:p>
            <w:pPr>
              <w:pStyle w:val="TableContents"/>
              <w:spacing w:before="0" w:after="0"/>
              <w:ind w:left="0" w:right="0" w:hanging="0"/>
              <w:rPr/>
            </w:pPr>
            <w:r>
              <w:rPr/>
              <w:t xml:space="preserve">  </w:t>
            </w:r>
          </w:p>
        </w:tc>
        <w:tc>
          <w:tcPr>
            <w:tcW w:w="211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4.10</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16" w:type="dxa"/>
            <w:tcBorders/>
            <w:shd w:fill="auto" w:val="clear"/>
            <w:vAlign w:val="center"/>
          </w:tcPr>
          <w:p>
            <w:pPr>
              <w:pStyle w:val="TableContents"/>
              <w:spacing w:before="0" w:after="0"/>
              <w:ind w:left="0" w:right="0" w:hanging="0"/>
              <w:jc w:val="right"/>
              <w:rPr/>
            </w:pPr>
            <w:r>
              <w:rPr/>
              <w:t>—</w:t>
            </w:r>
          </w:p>
        </w:tc>
        <w:tc>
          <w:tcPr>
            <w:tcW w:w="174" w:type="dxa"/>
            <w:tcBorders/>
            <w:shd w:fill="auto" w:val="clear"/>
            <w:vAlign w:val="center"/>
          </w:tcPr>
          <w:p>
            <w:pPr>
              <w:pStyle w:val="TableContents"/>
              <w:spacing w:before="0" w:after="0"/>
              <w:ind w:left="0" w:right="0" w:hanging="0"/>
              <w:rPr/>
            </w:pPr>
            <w:r>
              <w:rPr/>
              <w:t xml:space="preserve">  </w:t>
            </w:r>
          </w:p>
        </w:tc>
      </w:tr>
      <w:tr>
        <w:trPr/>
        <w:tc>
          <w:tcPr>
            <w:tcW w:w="24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Vested at December 31, 2021</w:t>
            </w:r>
          </w:p>
        </w:tc>
        <w:tc>
          <w:tcPr>
            <w:tcW w:w="117"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00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555,237</w:t>
            </w:r>
          </w:p>
        </w:tc>
        <w:tc>
          <w:tcPr>
            <w:tcW w:w="138"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8.46</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63" w:type="dxa"/>
            <w:tcBorders/>
            <w:shd w:fill="CCEEFF" w:val="clear"/>
            <w:vAlign w:val="center"/>
          </w:tcPr>
          <w:p>
            <w:pPr>
              <w:pStyle w:val="TableContents"/>
              <w:spacing w:before="0" w:after="0"/>
              <w:ind w:left="0" w:right="0" w:hanging="0"/>
              <w:rPr/>
            </w:pPr>
            <w:r>
              <w:rPr/>
              <w:t xml:space="preserve">  </w:t>
            </w:r>
          </w:p>
        </w:tc>
        <w:tc>
          <w:tcPr>
            <w:tcW w:w="211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3.64</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8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16" w:type="dxa"/>
            <w:tcBorders/>
            <w:shd w:fill="CCEEFF" w:val="clear"/>
            <w:vAlign w:val="center"/>
          </w:tcPr>
          <w:p>
            <w:pPr>
              <w:pStyle w:val="TableContents"/>
              <w:spacing w:before="0" w:after="0"/>
              <w:ind w:left="0" w:right="0" w:hanging="0"/>
              <w:jc w:val="right"/>
              <w:rPr/>
            </w:pPr>
            <w:r>
              <w:rPr/>
              <w:t>—</w:t>
            </w:r>
          </w:p>
        </w:tc>
        <w:tc>
          <w:tcPr>
            <w:tcW w:w="174" w:type="dxa"/>
            <w:tcBorders/>
            <w:shd w:fill="CCEEFF" w:val="clear"/>
            <w:vAlign w:val="center"/>
          </w:tcPr>
          <w:p>
            <w:pPr>
              <w:pStyle w:val="TableContents"/>
              <w:spacing w:before="0" w:after="0"/>
              <w:ind w:left="0" w:right="0" w:hanging="0"/>
              <w:rPr/>
            </w:pPr>
            <w:r>
              <w:rPr/>
              <w:t xml:space="preserve">  </w:t>
            </w:r>
          </w:p>
        </w:tc>
      </w:tr>
      <w:tr>
        <w:trPr/>
        <w:tc>
          <w:tcPr>
            <w:tcW w:w="2415" w:type="dxa"/>
            <w:tcBorders/>
            <w:shd w:fill="auto" w:val="clear"/>
            <w:vAlign w:val="center"/>
          </w:tcPr>
          <w:p>
            <w:pPr>
              <w:pStyle w:val="TableContents"/>
              <w:spacing w:before="0" w:after="0"/>
              <w:ind w:left="180" w:right="0" w:hanging="180"/>
              <w:rPr>
                <w:rFonts w:ascii="Times New Roman" w:hAnsi="Times New Roman"/>
                <w:sz w:val="20"/>
              </w:rPr>
            </w:pPr>
            <w:r>
              <w:rPr>
                <w:rFonts w:ascii="Times New Roman" w:hAnsi="Times New Roman"/>
                <w:sz w:val="20"/>
              </w:rPr>
              <w:t>Vested and Expected to Vest at December 31, 2022</w:t>
            </w:r>
          </w:p>
        </w:tc>
        <w:tc>
          <w:tcPr>
            <w:tcW w:w="117" w:type="dxa"/>
            <w:tcBorders/>
            <w:shd w:fill="auto" w:val="clear"/>
            <w:vAlign w:val="center"/>
          </w:tcPr>
          <w:p>
            <w:pPr>
              <w:pStyle w:val="TableContents"/>
              <w:spacing w:before="0" w:after="0"/>
              <w:ind w:left="0" w:right="0" w:hanging="0"/>
              <w:rPr/>
            </w:pPr>
            <w:r>
              <w:rPr/>
              <w:t xml:space="preserve">  </w:t>
            </w:r>
          </w:p>
        </w:tc>
        <w:tc>
          <w:tcPr>
            <w:tcW w:w="159" w:type="dxa"/>
            <w:tcBorders/>
            <w:shd w:fill="auto" w:val="clear"/>
            <w:vAlign w:val="center"/>
          </w:tcPr>
          <w:p>
            <w:pPr>
              <w:pStyle w:val="TableContents"/>
              <w:spacing w:before="0" w:after="0"/>
              <w:ind w:left="0" w:right="0" w:hanging="0"/>
              <w:rPr/>
            </w:pPr>
            <w:r>
              <w:rPr/>
              <w:t xml:space="preserve">  </w:t>
            </w:r>
          </w:p>
        </w:tc>
        <w:tc>
          <w:tcPr>
            <w:tcW w:w="100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488,477</w:t>
            </w:r>
          </w:p>
        </w:tc>
        <w:tc>
          <w:tcPr>
            <w:tcW w:w="138"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4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6.48</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63" w:type="dxa"/>
            <w:tcBorders/>
            <w:shd w:fill="auto" w:val="clear"/>
            <w:vAlign w:val="center"/>
          </w:tcPr>
          <w:p>
            <w:pPr>
              <w:pStyle w:val="TableContents"/>
              <w:spacing w:before="0" w:after="0"/>
              <w:ind w:left="0" w:right="0" w:hanging="0"/>
              <w:rPr/>
            </w:pPr>
            <w:r>
              <w:rPr/>
              <w:t xml:space="preserve">  </w:t>
            </w:r>
          </w:p>
        </w:tc>
        <w:tc>
          <w:tcPr>
            <w:tcW w:w="211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3.42</w:t>
            </w:r>
          </w:p>
        </w:tc>
        <w:tc>
          <w:tcPr>
            <w:tcW w:w="117" w:type="dxa"/>
            <w:tcBorders/>
            <w:shd w:fill="auto" w:val="clear"/>
            <w:vAlign w:val="center"/>
          </w:tcPr>
          <w:p>
            <w:pPr>
              <w:pStyle w:val="TableContents"/>
              <w:spacing w:before="0" w:after="0"/>
              <w:ind w:left="0" w:right="0" w:hanging="0"/>
              <w:rPr/>
            </w:pPr>
            <w:r>
              <w:rPr/>
              <w:t xml:space="preserve">  </w:t>
            </w:r>
          </w:p>
        </w:tc>
        <w:tc>
          <w:tcPr>
            <w:tcW w:w="117" w:type="dxa"/>
            <w:tcBorders/>
            <w:shd w:fill="auto" w:val="clear"/>
            <w:vAlign w:val="center"/>
          </w:tcPr>
          <w:p>
            <w:pPr>
              <w:pStyle w:val="TableContents"/>
              <w:spacing w:before="0" w:after="0"/>
              <w:ind w:left="0" w:right="0" w:hanging="0"/>
              <w:rPr/>
            </w:pPr>
            <w:r>
              <w:rPr/>
              <w:t xml:space="preserve">  </w:t>
            </w:r>
          </w:p>
        </w:tc>
        <w:tc>
          <w:tcPr>
            <w:tcW w:w="4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16" w:type="dxa"/>
            <w:tcBorders/>
            <w:shd w:fill="auto" w:val="clear"/>
            <w:vAlign w:val="center"/>
          </w:tcPr>
          <w:p>
            <w:pPr>
              <w:pStyle w:val="TableContents"/>
              <w:spacing w:before="0" w:after="0"/>
              <w:ind w:left="0" w:right="0" w:hanging="0"/>
              <w:jc w:val="right"/>
              <w:rPr/>
            </w:pPr>
            <w:r>
              <w:rPr/>
              <w:t>—</w:t>
            </w:r>
          </w:p>
        </w:tc>
        <w:tc>
          <w:tcPr>
            <w:tcW w:w="174" w:type="dxa"/>
            <w:tcBorders/>
            <w:shd w:fill="auto" w:val="clear"/>
            <w:vAlign w:val="center"/>
          </w:tcPr>
          <w:p>
            <w:pPr>
              <w:pStyle w:val="TableContents"/>
              <w:spacing w:before="0" w:after="0"/>
              <w:ind w:left="0" w:right="0" w:hanging="0"/>
              <w:rPr/>
            </w:pPr>
            <w:r>
              <w:rPr/>
              <w:t xml:space="preserve">  </w:t>
            </w:r>
          </w:p>
        </w:tc>
      </w:tr>
      <w:tr>
        <w:trPr/>
        <w:tc>
          <w:tcPr>
            <w:tcW w:w="24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Vested at December 31, 2022</w:t>
            </w:r>
          </w:p>
        </w:tc>
        <w:tc>
          <w:tcPr>
            <w:tcW w:w="117" w:type="dxa"/>
            <w:tcBorders/>
            <w:shd w:fill="CCEEFF" w:val="clear"/>
            <w:vAlign w:val="center"/>
          </w:tcPr>
          <w:p>
            <w:pPr>
              <w:pStyle w:val="TableContents"/>
              <w:spacing w:before="0" w:after="0"/>
              <w:ind w:left="0" w:right="0" w:hanging="0"/>
              <w:rPr/>
            </w:pPr>
            <w:r>
              <w:rPr/>
              <w:t xml:space="preserve">  </w:t>
            </w:r>
          </w:p>
        </w:tc>
        <w:tc>
          <w:tcPr>
            <w:tcW w:w="159" w:type="dxa"/>
            <w:tcBorders/>
            <w:shd w:fill="CCEEFF" w:val="clear"/>
            <w:vAlign w:val="center"/>
          </w:tcPr>
          <w:p>
            <w:pPr>
              <w:pStyle w:val="TableContents"/>
              <w:spacing w:before="0" w:after="0"/>
              <w:ind w:left="0" w:right="0" w:hanging="0"/>
              <w:rPr/>
            </w:pPr>
            <w:r>
              <w:rPr/>
              <w:t xml:space="preserve">  </w:t>
            </w:r>
          </w:p>
        </w:tc>
        <w:tc>
          <w:tcPr>
            <w:tcW w:w="100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373,612</w:t>
            </w:r>
          </w:p>
        </w:tc>
        <w:tc>
          <w:tcPr>
            <w:tcW w:w="138"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17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7.72</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63" w:type="dxa"/>
            <w:tcBorders/>
            <w:shd w:fill="CCEEFF" w:val="clear"/>
            <w:vAlign w:val="center"/>
          </w:tcPr>
          <w:p>
            <w:pPr>
              <w:pStyle w:val="TableContents"/>
              <w:spacing w:before="0" w:after="0"/>
              <w:ind w:left="0" w:right="0" w:hanging="0"/>
              <w:rPr/>
            </w:pPr>
            <w:r>
              <w:rPr/>
              <w:t xml:space="preserve">  </w:t>
            </w:r>
          </w:p>
        </w:tc>
        <w:tc>
          <w:tcPr>
            <w:tcW w:w="211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3.22</w:t>
            </w:r>
          </w:p>
        </w:tc>
        <w:tc>
          <w:tcPr>
            <w:tcW w:w="117" w:type="dxa"/>
            <w:tcBorders/>
            <w:shd w:fill="CCEEFF" w:val="clear"/>
            <w:vAlign w:val="center"/>
          </w:tcPr>
          <w:p>
            <w:pPr>
              <w:pStyle w:val="TableContents"/>
              <w:spacing w:before="0" w:after="0"/>
              <w:ind w:left="0" w:right="0" w:hanging="0"/>
              <w:rPr/>
            </w:pPr>
            <w:r>
              <w:rPr/>
              <w:t xml:space="preserve">  </w:t>
            </w:r>
          </w:p>
        </w:tc>
        <w:tc>
          <w:tcPr>
            <w:tcW w:w="117" w:type="dxa"/>
            <w:tcBorders/>
            <w:shd w:fill="CCEEFF" w:val="clear"/>
            <w:vAlign w:val="center"/>
          </w:tcPr>
          <w:p>
            <w:pPr>
              <w:pStyle w:val="TableContents"/>
              <w:spacing w:before="0" w:after="0"/>
              <w:ind w:left="0" w:right="0" w:hanging="0"/>
              <w:rPr/>
            </w:pPr>
            <w:r>
              <w:rPr/>
              <w:t xml:space="preserve">  </w:t>
            </w:r>
          </w:p>
        </w:tc>
        <w:tc>
          <w:tcPr>
            <w:tcW w:w="48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16" w:type="dxa"/>
            <w:tcBorders/>
            <w:shd w:fill="CCEEFF" w:val="clear"/>
            <w:vAlign w:val="center"/>
          </w:tcPr>
          <w:p>
            <w:pPr>
              <w:pStyle w:val="TableContents"/>
              <w:spacing w:before="0" w:after="0"/>
              <w:ind w:left="0" w:right="0" w:hanging="0"/>
              <w:jc w:val="right"/>
              <w:rPr/>
            </w:pPr>
            <w:r>
              <w:rPr/>
              <w:t>—</w:t>
            </w:r>
          </w:p>
        </w:tc>
        <w:tc>
          <w:tcPr>
            <w:tcW w:w="174" w:type="dxa"/>
            <w:tcBorders/>
            <w:shd w:fill="CCEEFF" w:val="clear"/>
            <w:vAlign w:val="center"/>
          </w:tcPr>
          <w:p>
            <w:pPr>
              <w:pStyle w:val="TableContents"/>
              <w:spacing w:before="0" w:after="0"/>
              <w:ind w:left="0" w:right="0" w:hanging="0"/>
              <w:rPr/>
            </w:pPr>
            <w:r>
              <w:rPr/>
              <w:t xml:space="preserve">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23</w:t>
            </w:r>
            <w:r>
              <w:rPr>
                <w:rFonts w:ascii="Times New Roman" w:hAnsi="Times New Roman"/>
                <w:b w:val="false"/>
                <w:i w:val="false"/>
                <w:caps w:val="false"/>
                <w:smallCaps w:val="false"/>
                <w:color w:val="000000"/>
                <w:spacing w:val="0"/>
                <w:sz w:val="20"/>
              </w:rPr>
              <w:t> |</w:t>
            </w:r>
          </w:p>
        </w:tc>
      </w:tr>
    </w:tbl>
    <w:p>
      <w:pPr>
        <w:pStyle w:val="HorizontalLine"/>
        <w:spacing w:before="0" w:after="0"/>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ind w:left="0" w:right="0" w:hanging="0"/>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 xml:space="preserve">The total pre-tax compensation cost related to stock options recognized during the years ended December 31, 2022 and 2021 was $112 and $131, respectively. Tax benefit from compensation cost related to stock options during the years ended December 31, 2022 and 2021, respectively was $28 and $0. As of December 31, 2022, the total compensation cost related to stock options not yet recognized and before the effect of any forfeitures was $152, which is expected to be recognized over approximately the next </w:t>
      </w:r>
      <w:r>
        <w:rPr>
          <w:rFonts w:ascii="Times New Roman" w:hAnsi="Times New Roman"/>
          <w:sz w:val="20"/>
        </w:rPr>
        <w:t>2.65</w:t>
      </w:r>
      <w:r>
        <w:rPr>
          <w:rFonts w:ascii="Times New Roman" w:hAnsi="Times New Roman"/>
          <w:sz w:val="20"/>
        </w:rPr>
        <w:t xml:space="preserve"> years on a straight-line basis.</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 w:hAnsi="Times New Roman"/>
          <w:i/>
          <w:sz w:val="20"/>
          <w:u w:val="single"/>
        </w:rPr>
      </w:pPr>
      <w:r>
        <w:rPr>
          <w:rFonts w:ascii="Times New Roman" w:hAnsi="Times New Roman"/>
          <w:i/>
          <w:sz w:val="20"/>
          <w:u w:val="single"/>
        </w:rPr>
        <w:t>Employee Stock Purchase Plan</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 xml:space="preserve">During the years ended </w:t>
      </w:r>
      <w:r>
        <w:rPr>
          <w:rFonts w:ascii="times new roman;times" w:hAnsi="times new roman;times"/>
          <w:sz w:val="20"/>
        </w:rPr>
        <w:t xml:space="preserve">December 31, 2022 </w:t>
      </w:r>
      <w:r>
        <w:rPr>
          <w:rFonts w:ascii="Times New Roman" w:hAnsi="Times New Roman"/>
          <w:sz w:val="20"/>
        </w:rPr>
        <w:t xml:space="preserve">and </w:t>
      </w:r>
      <w:r>
        <w:rPr>
          <w:rFonts w:ascii="times new roman;times" w:hAnsi="times new roman;times"/>
          <w:sz w:val="20"/>
        </w:rPr>
        <w:t>2021</w:t>
      </w:r>
      <w:r>
        <w:rPr>
          <w:rFonts w:ascii="Times New Roman" w:hAnsi="Times New Roman"/>
          <w:sz w:val="20"/>
        </w:rPr>
        <w:t>, the Company issued shares to employees under the Company’s 2016 Employee Stock Purchase Plan (the “ESPP”). The ESPP was approved by the Company’s shareholders on December 12, 2016. As of December 31, 2022,</w:t>
      </w:r>
      <w:r>
        <w:rPr>
          <w:rFonts w:ascii="times new roman;times" w:hAnsi="times new roman;times"/>
          <w:sz w:val="20"/>
        </w:rPr>
        <w:t xml:space="preserve"> </w:t>
      </w:r>
      <w:r>
        <w:rPr>
          <w:rFonts w:ascii="Times New Roman" w:hAnsi="Times New Roman"/>
          <w:sz w:val="20"/>
        </w:rPr>
        <w:t xml:space="preserve">and </w:t>
      </w:r>
      <w:r>
        <w:rPr>
          <w:rFonts w:ascii="times new roman;times" w:hAnsi="times new roman;times"/>
          <w:sz w:val="20"/>
        </w:rPr>
        <w:t>December 31, 2021</w:t>
      </w:r>
      <w:r>
        <w:rPr>
          <w:rFonts w:ascii="Times New Roman" w:hAnsi="Times New Roman"/>
          <w:sz w:val="20"/>
        </w:rPr>
        <w:t xml:space="preserve">, </w:t>
      </w:r>
      <w:r>
        <w:rPr>
          <w:rFonts w:ascii="times new roman;times" w:hAnsi="times new roman;times"/>
          <w:sz w:val="20"/>
        </w:rPr>
        <w:t xml:space="preserve">395,524 </w:t>
      </w:r>
      <w:r>
        <w:rPr>
          <w:rFonts w:ascii="Times New Roman" w:hAnsi="Times New Roman"/>
          <w:sz w:val="20"/>
        </w:rPr>
        <w:t>and 402,704, respectively</w:t>
      </w:r>
      <w:r>
        <w:rPr>
          <w:rFonts w:ascii="times new roman;times" w:hAnsi="times new roman;times"/>
          <w:sz w:val="20"/>
        </w:rPr>
        <w:t> </w:t>
      </w:r>
      <w:r>
        <w:rPr>
          <w:rFonts w:ascii="Times New Roman" w:hAnsi="Times New Roman"/>
          <w:sz w:val="20"/>
        </w:rPr>
        <w:t>of the originally approved 500,000 shares were available for offerings under the ESPP. Offering periods under the ESPP commence on each Jan 1 and July 1 and</w:t>
      </w:r>
      <w:r>
        <w:rPr>
          <w:rFonts w:ascii="times new roman;times" w:hAnsi="times new roman;times"/>
          <w:sz w:val="20"/>
        </w:rPr>
        <w:t xml:space="preserve"> </w:t>
      </w:r>
      <w:r>
        <w:rPr>
          <w:rFonts w:ascii="Times New Roman" w:hAnsi="Times New Roman"/>
          <w:sz w:val="20"/>
        </w:rPr>
        <w:t>continue for a duration of six months. The ESPP is available to all employees who do not own, or are deemed to own, shares of stock making up an excess of 5% of the combined voting power of the Company, its parent or subsidiary. </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Shares purchased and compensation expense associated with Employee Stock Purchase Plans were as follows:</w:t>
      </w:r>
    </w:p>
    <w:p>
      <w:pPr>
        <w:pStyle w:val="TextBody"/>
        <w:spacing w:lineRule="auto" w:line="240" w:before="0" w:after="0"/>
        <w:ind w:left="0" w:right="0" w:hanging="0"/>
        <w:rPr/>
      </w:pPr>
      <w:r>
        <w:rPr/>
        <w:t> </w:t>
      </w:r>
    </w:p>
    <w:tbl>
      <w:tblPr>
        <w:tblW w:w="4000" w:type="pct"/>
        <w:jc w:val="left"/>
        <w:tblInd w:w="0" w:type="dxa"/>
        <w:tblCellMar>
          <w:top w:w="0" w:type="dxa"/>
          <w:left w:w="0" w:type="dxa"/>
          <w:bottom w:w="0" w:type="dxa"/>
          <w:right w:w="0" w:type="dxa"/>
        </w:tblCellMar>
      </w:tblPr>
      <w:tblGrid>
        <w:gridCol w:w="4660"/>
        <w:gridCol w:w="241"/>
        <w:gridCol w:w="322"/>
        <w:gridCol w:w="827"/>
        <w:gridCol w:w="241"/>
        <w:gridCol w:w="241"/>
        <w:gridCol w:w="322"/>
        <w:gridCol w:w="996"/>
        <w:gridCol w:w="314"/>
      </w:tblGrid>
      <w:tr>
        <w:trPr/>
        <w:tc>
          <w:tcPr>
            <w:tcW w:w="4660" w:type="dxa"/>
            <w:tcBorders/>
            <w:shd w:fill="auto" w:val="clear"/>
            <w:vAlign w:val="center"/>
          </w:tcPr>
          <w:p>
            <w:pPr>
              <w:pStyle w:val="TableContents"/>
              <w:spacing w:before="0" w:after="0"/>
              <w:ind w:left="0" w:right="0" w:hanging="0"/>
              <w:rPr/>
            </w:pPr>
            <w:r>
              <w:rPr/>
              <w:t xml:space="preserve">  </w:t>
            </w:r>
          </w:p>
        </w:tc>
        <w:tc>
          <w:tcPr>
            <w:tcW w:w="241" w:type="dxa"/>
            <w:tcBorders/>
            <w:shd w:fill="auto" w:val="clear"/>
            <w:vAlign w:val="center"/>
          </w:tcPr>
          <w:p>
            <w:pPr>
              <w:pStyle w:val="TableContents"/>
              <w:spacing w:before="0" w:after="0"/>
              <w:ind w:left="0" w:right="0" w:hanging="0"/>
              <w:rPr/>
            </w:pPr>
            <w:r>
              <w:rPr/>
              <w:t xml:space="preserve">  </w:t>
            </w:r>
          </w:p>
        </w:tc>
        <w:tc>
          <w:tcPr>
            <w:tcW w:w="1149"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241" w:type="dxa"/>
            <w:tcBorders/>
            <w:shd w:fill="auto" w:val="clear"/>
            <w:vAlign w:val="center"/>
          </w:tcPr>
          <w:p>
            <w:pPr>
              <w:pStyle w:val="TableContents"/>
              <w:spacing w:before="0" w:after="0"/>
              <w:ind w:left="0" w:right="0" w:hanging="0"/>
              <w:rPr/>
            </w:pPr>
            <w:r>
              <w:rPr/>
              <w:t xml:space="preserve">  </w:t>
            </w:r>
          </w:p>
        </w:tc>
        <w:tc>
          <w:tcPr>
            <w:tcW w:w="241" w:type="dxa"/>
            <w:tcBorders/>
            <w:shd w:fill="auto" w:val="clear"/>
            <w:vAlign w:val="center"/>
          </w:tcPr>
          <w:p>
            <w:pPr>
              <w:pStyle w:val="TableContents"/>
              <w:spacing w:before="0" w:after="0"/>
              <w:ind w:left="0" w:right="0" w:hanging="0"/>
              <w:rPr/>
            </w:pPr>
            <w:r>
              <w:rPr/>
              <w:t xml:space="preserve">  </w:t>
            </w:r>
          </w:p>
        </w:tc>
        <w:tc>
          <w:tcPr>
            <w:tcW w:w="131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314" w:type="dxa"/>
            <w:tcBorders/>
            <w:shd w:fill="auto" w:val="clear"/>
            <w:vAlign w:val="center"/>
          </w:tcPr>
          <w:p>
            <w:pPr>
              <w:pStyle w:val="TableContents"/>
              <w:spacing w:before="0" w:after="0"/>
              <w:ind w:left="0" w:right="0" w:hanging="0"/>
              <w:rPr/>
            </w:pPr>
            <w:r>
              <w:rPr/>
              <w:t xml:space="preserve">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Shares purchased under ESPP plan </w:t>
            </w:r>
          </w:p>
        </w:tc>
        <w:tc>
          <w:tcPr>
            <w:tcW w:w="241"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82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7,180</w:t>
            </w:r>
          </w:p>
        </w:tc>
        <w:tc>
          <w:tcPr>
            <w:tcW w:w="241" w:type="dxa"/>
            <w:tcBorders/>
            <w:shd w:fill="CCEEFF" w:val="clear"/>
            <w:vAlign w:val="center"/>
          </w:tcPr>
          <w:p>
            <w:pPr>
              <w:pStyle w:val="TableContents"/>
              <w:spacing w:before="0" w:after="0"/>
              <w:ind w:left="0" w:right="0" w:hanging="0"/>
              <w:rPr/>
            </w:pPr>
            <w:r>
              <w:rPr/>
              <w:t xml:space="preserve">  </w:t>
            </w:r>
          </w:p>
        </w:tc>
        <w:tc>
          <w:tcPr>
            <w:tcW w:w="241" w:type="dxa"/>
            <w:tcBorders/>
            <w:shd w:fill="CCEEFF" w:val="clear"/>
            <w:vAlign w:val="center"/>
          </w:tcPr>
          <w:p>
            <w:pPr>
              <w:pStyle w:val="TableContents"/>
              <w:spacing w:before="0" w:after="0"/>
              <w:ind w:left="0" w:right="0" w:hanging="0"/>
              <w:rPr/>
            </w:pPr>
            <w:r>
              <w:rPr/>
              <w:t xml:space="preserve">  </w:t>
            </w:r>
          </w:p>
        </w:tc>
        <w:tc>
          <w:tcPr>
            <w:tcW w:w="322" w:type="dxa"/>
            <w:tcBorders/>
            <w:shd w:fill="CCEEFF" w:val="clear"/>
            <w:vAlign w:val="center"/>
          </w:tcPr>
          <w:p>
            <w:pPr>
              <w:pStyle w:val="TableContents"/>
              <w:spacing w:before="0" w:after="0"/>
              <w:ind w:left="0" w:right="0" w:hanging="0"/>
              <w:rPr/>
            </w:pPr>
            <w:r>
              <w:rPr/>
              <w:t xml:space="preserve">  </w:t>
            </w:r>
          </w:p>
        </w:tc>
        <w:tc>
          <w:tcPr>
            <w:tcW w:w="99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11,164</w:t>
            </w:r>
          </w:p>
        </w:tc>
        <w:tc>
          <w:tcPr>
            <w:tcW w:w="314" w:type="dxa"/>
            <w:tcBorders/>
            <w:shd w:fill="CCEEFF" w:val="clear"/>
            <w:vAlign w:val="center"/>
          </w:tcPr>
          <w:p>
            <w:pPr>
              <w:pStyle w:val="TableContents"/>
              <w:spacing w:before="0" w:after="0"/>
              <w:ind w:left="0" w:right="0" w:hanging="0"/>
              <w:rPr/>
            </w:pPr>
            <w:r>
              <w:rPr/>
              <w:t xml:space="preserve">  </w:t>
            </w:r>
          </w:p>
        </w:tc>
      </w:tr>
      <w:tr>
        <w:trPr/>
        <w:tc>
          <w:tcPr>
            <w:tcW w:w="466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Plan compensation expense </w:t>
            </w:r>
          </w:p>
        </w:tc>
        <w:tc>
          <w:tcPr>
            <w:tcW w:w="241" w:type="dxa"/>
            <w:tcBorders/>
            <w:shd w:fill="auto" w:val="clear"/>
            <w:vAlign w:val="center"/>
          </w:tcPr>
          <w:p>
            <w:pPr>
              <w:pStyle w:val="TableContents"/>
              <w:spacing w:before="0" w:after="0"/>
              <w:ind w:left="0" w:right="0" w:hanging="0"/>
              <w:rPr/>
            </w:pPr>
            <w:r>
              <w:rPr/>
              <w:t xml:space="preserve">  </w:t>
            </w:r>
          </w:p>
        </w:tc>
        <w:tc>
          <w:tcPr>
            <w:tcW w:w="32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27"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w:t>
            </w:r>
          </w:p>
        </w:tc>
        <w:tc>
          <w:tcPr>
            <w:tcW w:w="241" w:type="dxa"/>
            <w:tcBorders/>
            <w:shd w:fill="auto" w:val="clear"/>
            <w:vAlign w:val="center"/>
          </w:tcPr>
          <w:p>
            <w:pPr>
              <w:pStyle w:val="TableContents"/>
              <w:spacing w:before="0" w:after="0"/>
              <w:ind w:left="0" w:right="0" w:hanging="0"/>
              <w:rPr/>
            </w:pPr>
            <w:r>
              <w:rPr/>
              <w:t xml:space="preserve">  </w:t>
            </w:r>
          </w:p>
        </w:tc>
        <w:tc>
          <w:tcPr>
            <w:tcW w:w="241" w:type="dxa"/>
            <w:tcBorders/>
            <w:shd w:fill="auto" w:val="clear"/>
            <w:vAlign w:val="center"/>
          </w:tcPr>
          <w:p>
            <w:pPr>
              <w:pStyle w:val="TableContents"/>
              <w:spacing w:before="0" w:after="0"/>
              <w:ind w:left="0" w:right="0" w:hanging="0"/>
              <w:rPr/>
            </w:pPr>
            <w:r>
              <w:rPr/>
              <w:t xml:space="preserve">  </w:t>
            </w:r>
          </w:p>
        </w:tc>
        <w:tc>
          <w:tcPr>
            <w:tcW w:w="32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9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w:t>
            </w:r>
          </w:p>
        </w:tc>
        <w:tc>
          <w:tcPr>
            <w:tcW w:w="314" w:type="dxa"/>
            <w:tcBorders/>
            <w:shd w:fill="auto" w:val="cle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jc w:val="both"/>
        <w:rPr/>
      </w:pPr>
      <w:r>
        <w:rPr/>
        <w:t>   </w:t>
      </w:r>
    </w:p>
    <w:p>
      <w:pPr>
        <w:pStyle w:val="TextBody"/>
        <w:widowControl/>
        <w:ind w:left="0" w:right="0" w:hanging="0"/>
        <w:rPr>
          <w:rFonts w:ascii="Times New Roman" w:hAnsi="Times New Roman"/>
          <w:b w:val="false"/>
          <w:i/>
          <w:caps w:val="false"/>
          <w:smallCaps w:val="false"/>
          <w:color w:val="000000"/>
          <w:spacing w:val="0"/>
          <w:sz w:val="20"/>
          <w:u w:val="single"/>
        </w:rPr>
      </w:pPr>
      <w:r>
        <w:rPr>
          <w:rFonts w:ascii="Times New Roman" w:hAnsi="Times New Roman"/>
          <w:b w:val="false"/>
          <w:i/>
          <w:caps w:val="false"/>
          <w:smallCaps w:val="false"/>
          <w:color w:val="000000"/>
          <w:spacing w:val="0"/>
          <w:sz w:val="20"/>
          <w:u w:val="single"/>
        </w:rPr>
        <w:t>Issuance of Common Stock and Warrants</w:t>
      </w:r>
    </w:p>
    <w:p>
      <w:pPr>
        <w:pStyle w:val="TextBody"/>
        <w:widowControl/>
        <w:ind w:left="0" w:right="0" w:hanging="0"/>
        <w:rPr>
          <w:caps w:val="false"/>
          <w:smallCaps w:val="false"/>
          <w:color w:val="000000"/>
          <w:spacing w:val="0"/>
        </w:rPr>
      </w:pPr>
      <w:r>
        <w:rPr>
          <w:caps w:val="false"/>
          <w:smallCaps w:val="false"/>
          <w:color w:val="000000"/>
          <w:spacing w:val="0"/>
        </w:rPr>
        <w:t> </w:t>
      </w:r>
    </w:p>
    <w:p>
      <w:pPr>
        <w:pStyle w:val="TextBody"/>
        <w:widowControl/>
        <w:ind w:left="0" w:right="0" w:firstLine="72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On September 13, 2020, the Company, entered into a Securities Purchase Agreement (the “Purchase Agreement”) with certain purchasers named therein (the “Purchasers”), pursuant to which the Company issued and sold, in a registered direct offering 2,116,050</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shares (the “Shares”) of the Company’s common stock, par value $</w:t>
      </w:r>
      <w:r>
        <w:rPr>
          <w:rFonts w:ascii="Times New Roman" w:hAnsi="Times New Roman"/>
          <w:b w:val="false"/>
          <w:i w:val="false"/>
          <w:caps w:val="false"/>
          <w:smallCaps w:val="false"/>
          <w:color w:val="000000"/>
          <w:spacing w:val="0"/>
          <w:sz w:val="20"/>
        </w:rPr>
        <w:t>0.001</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per share (the “Common Stock”) at an offering price of $2.4925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per share, (the “Registered Offering”). The Company received gross proceeds of approximately $5,275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(4,764 net of issuance costs) in connection with the Registered Offering, before deducting placement agent fees and related offering expenses. </w:t>
      </w:r>
      <w:r>
        <w:rPr>
          <w:rFonts w:ascii="times new roman;times" w:hAnsi="times new roman;times"/>
          <w:b w:val="false"/>
          <w:i w:val="false"/>
          <w:caps w:val="false"/>
          <w:smallCaps w:val="false"/>
          <w:color w:val="000000"/>
          <w:spacing w:val="0"/>
          <w:sz w:val="20"/>
        </w:rPr>
        <w:t>In a concurrent private placement, the Company issued to the Purchasers who participated in the Registered Offering warrants exercisable for an aggregate of 1,058,025</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shares of common stock at an exercise price of $2.43</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xml:space="preserve">per share. Each warrant became immediately exercisable and had an expiry term of </w:t>
      </w:r>
      <w:r>
        <w:rPr>
          <w:rFonts w:ascii="times new roman;times" w:hAnsi="times new roman;times"/>
          <w:b w:val="false"/>
          <w:i w:val="false"/>
          <w:caps w:val="false"/>
          <w:smallCaps w:val="false"/>
          <w:color w:val="000000"/>
          <w:spacing w:val="0"/>
          <w:sz w:val="20"/>
        </w:rPr>
        <w:t>five years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from the issuance date. </w:t>
      </w:r>
    </w:p>
    <w:p>
      <w:pPr>
        <w:pStyle w:val="TextBody"/>
        <w:widowControl/>
        <w:ind w:left="0" w:right="0" w:firstLine="720"/>
        <w:rPr>
          <w:b w:val="false"/>
          <w:i w:val="false"/>
          <w:caps w:val="false"/>
          <w:smallCaps w:val="false"/>
          <w:color w:val="000000"/>
          <w:spacing w:val="0"/>
          <w:sz w:val="20"/>
        </w:rPr>
      </w:pPr>
      <w:r>
        <w:rPr>
          <w:b w:val="false"/>
          <w:i w:val="false"/>
          <w:caps w:val="false"/>
          <w:smallCaps w:val="false"/>
          <w:color w:val="000000"/>
          <w:spacing w:val="0"/>
          <w:sz w:val="20"/>
        </w:rPr>
      </w:r>
    </w:p>
    <w:p>
      <w:pPr>
        <w:pStyle w:val="TextBody"/>
        <w:widowControl/>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$2.64 per share. Each warrant became immediately exercisable and will expire on March 15, 2027. </w:t>
      </w:r>
    </w:p>
    <w:p>
      <w:pPr>
        <w:pStyle w:val="TextBody"/>
        <w:spacing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24</w:t>
            </w:r>
            <w:r>
              <w:rPr>
                <w:rFonts w:ascii="Times New Roman" w:hAnsi="Times New Roman"/>
                <w:b w:val="false"/>
                <w:i w:val="false"/>
                <w:caps w:val="false"/>
                <w:smallCaps w:val="false"/>
                <w:color w:val="000000"/>
                <w:spacing w:val="0"/>
                <w:sz w:val="20"/>
              </w:rPr>
              <w:t>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11</w:t>
      </w:r>
      <w:r>
        <w:rPr>
          <w:rFonts w:ascii="Times New Roman" w:hAnsi="Times New Roman"/>
          <w:b/>
          <w:sz w:val="20"/>
        </w:rPr>
        <w:t>. Significant Customers</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There were no sales to significant customers that represented more than 10 percent of total revenues during the years ended December 31, 2022 and 2021.</w:t>
      </w:r>
    </w:p>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rPr>
          <w:rFonts w:ascii="Times New Roman;serif" w:hAnsi="Times New Roman;serif"/>
          <w:sz w:val="20"/>
        </w:rPr>
      </w:pPr>
      <w:r>
        <w:rPr>
          <w:rFonts w:ascii="Times New Roman;serif" w:hAnsi="Times New Roman;serif"/>
          <w:sz w:val="20"/>
        </w:rPr>
        <w:t>The following table summarizes the percentage of total gross receivables from significant customers that represented more than 10 percent of total gross accounts receivable:</w:t>
      </w:r>
    </w:p>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3222"/>
        <w:gridCol w:w="458"/>
        <w:gridCol w:w="547"/>
        <w:gridCol w:w="1237"/>
        <w:gridCol w:w="782"/>
        <w:gridCol w:w="547"/>
        <w:gridCol w:w="546"/>
        <w:gridCol w:w="1934"/>
        <w:gridCol w:w="932"/>
      </w:tblGrid>
      <w:tr>
        <w:trPr/>
        <w:tc>
          <w:tcPr>
            <w:tcW w:w="3222" w:type="dxa"/>
            <w:tcBorders/>
            <w:shd w:fill="auto" w:val="clear"/>
            <w:vAlign w:val="center"/>
          </w:tcPr>
          <w:p>
            <w:pPr>
              <w:pStyle w:val="TableContents"/>
              <w:spacing w:before="0" w:after="283"/>
              <w:rPr/>
            </w:pPr>
            <w:r>
              <w:rPr/>
            </w:r>
          </w:p>
        </w:tc>
        <w:tc>
          <w:tcPr>
            <w:tcW w:w="458" w:type="dxa"/>
            <w:tcBorders/>
            <w:shd w:fill="auto" w:val="clear"/>
            <w:vAlign w:val="center"/>
          </w:tcPr>
          <w:p>
            <w:pPr>
              <w:pStyle w:val="TableContents"/>
              <w:spacing w:before="0" w:after="283"/>
              <w:rPr/>
            </w:pPr>
            <w:r>
              <w:rPr/>
            </w:r>
          </w:p>
        </w:tc>
        <w:tc>
          <w:tcPr>
            <w:tcW w:w="5593" w:type="dxa"/>
            <w:gridSpan w:val="6"/>
            <w:tcBorders>
              <w:bottom w:val="single" w:sz="2" w:space="0" w:color="000000"/>
            </w:tcBorders>
            <w:shd w:fill="auto" w:val="clear"/>
            <w:tcMar>
              <w:bottom w:w="28" w:type="dxa"/>
            </w:tcMar>
            <w:vAlign w:val="center"/>
          </w:tcPr>
          <w:p>
            <w:pPr>
              <w:pStyle w:val="TableContents"/>
              <w:spacing w:before="0" w:after="283"/>
              <w:jc w:val="center"/>
              <w:rPr>
                <w:b/>
              </w:rPr>
            </w:pPr>
            <w:r>
              <w:rPr>
                <w:b/>
              </w:rPr>
              <w:t>As December 31,</w:t>
            </w:r>
          </w:p>
        </w:tc>
        <w:tc>
          <w:tcPr>
            <w:tcW w:w="932" w:type="dxa"/>
            <w:tcBorders/>
            <w:shd w:fill="auto" w:val="clear"/>
            <w:vAlign w:val="center"/>
          </w:tcPr>
          <w:p>
            <w:pPr>
              <w:pStyle w:val="TableContents"/>
              <w:spacing w:before="0" w:after="283"/>
              <w:rPr/>
            </w:pPr>
            <w:r>
              <w:rPr/>
            </w:r>
          </w:p>
        </w:tc>
      </w:tr>
      <w:tr>
        <w:trPr/>
        <w:tc>
          <w:tcPr>
            <w:tcW w:w="3222" w:type="dxa"/>
            <w:tcBorders/>
            <w:shd w:fill="auto" w:val="clear"/>
            <w:vAlign w:val="center"/>
          </w:tcPr>
          <w:p>
            <w:pPr>
              <w:pStyle w:val="TableContents"/>
              <w:spacing w:before="0" w:after="283"/>
              <w:rPr/>
            </w:pPr>
            <w:r>
              <w:rPr/>
            </w:r>
          </w:p>
        </w:tc>
        <w:tc>
          <w:tcPr>
            <w:tcW w:w="458" w:type="dxa"/>
            <w:tcBorders/>
            <w:shd w:fill="auto" w:val="clear"/>
            <w:vAlign w:val="center"/>
          </w:tcPr>
          <w:p>
            <w:pPr>
              <w:pStyle w:val="TableContents"/>
              <w:spacing w:before="0" w:after="283"/>
              <w:rPr/>
            </w:pPr>
            <w:r>
              <w:rPr/>
            </w:r>
          </w:p>
        </w:tc>
        <w:tc>
          <w:tcPr>
            <w:tcW w:w="1784" w:type="dxa"/>
            <w:gridSpan w:val="2"/>
            <w:tcBorders>
              <w:bottom w:val="single" w:sz="2" w:space="0" w:color="000000"/>
            </w:tcBorders>
            <w:shd w:fill="auto" w:val="clear"/>
            <w:tcMar>
              <w:bottom w:w="28" w:type="dxa"/>
            </w:tcMar>
            <w:vAlign w:val="center"/>
          </w:tcPr>
          <w:p>
            <w:pPr>
              <w:pStyle w:val="TableContents"/>
              <w:spacing w:before="0" w:after="283"/>
              <w:jc w:val="center"/>
              <w:rPr>
                <w:b/>
              </w:rPr>
            </w:pPr>
            <w:r>
              <w:rPr>
                <w:b/>
              </w:rPr>
              <w:t>2022</w:t>
            </w:r>
          </w:p>
        </w:tc>
        <w:tc>
          <w:tcPr>
            <w:tcW w:w="782" w:type="dxa"/>
            <w:tcBorders/>
            <w:shd w:fill="auto" w:val="clear"/>
            <w:vAlign w:val="center"/>
          </w:tcPr>
          <w:p>
            <w:pPr>
              <w:pStyle w:val="TableContents"/>
              <w:spacing w:before="0" w:after="283"/>
              <w:rPr/>
            </w:pPr>
            <w:r>
              <w:rPr/>
            </w:r>
          </w:p>
        </w:tc>
        <w:tc>
          <w:tcPr>
            <w:tcW w:w="547" w:type="dxa"/>
            <w:tcBorders/>
            <w:shd w:fill="auto" w:val="clear"/>
            <w:vAlign w:val="center"/>
          </w:tcPr>
          <w:p>
            <w:pPr>
              <w:pStyle w:val="TableContents"/>
              <w:spacing w:before="0" w:after="283"/>
              <w:rPr/>
            </w:pPr>
            <w:r>
              <w:rPr/>
            </w:r>
          </w:p>
        </w:tc>
        <w:tc>
          <w:tcPr>
            <w:tcW w:w="546" w:type="dxa"/>
            <w:tcBorders/>
            <w:shd w:fill="auto" w:val="clear"/>
            <w:vAlign w:val="center"/>
          </w:tcPr>
          <w:p>
            <w:pPr>
              <w:pStyle w:val="TableContents"/>
              <w:spacing w:before="0" w:after="283"/>
              <w:rPr/>
            </w:pPr>
            <w:r>
              <w:rPr/>
            </w:r>
          </w:p>
        </w:tc>
        <w:tc>
          <w:tcPr>
            <w:tcW w:w="1934" w:type="dxa"/>
            <w:tcBorders>
              <w:bottom w:val="single" w:sz="2" w:space="0" w:color="000000"/>
            </w:tcBorders>
            <w:shd w:fill="auto" w:val="clear"/>
            <w:tcMar>
              <w:bottom w:w="28" w:type="dxa"/>
            </w:tcMar>
            <w:vAlign w:val="center"/>
          </w:tcPr>
          <w:p>
            <w:pPr>
              <w:pStyle w:val="TableContents"/>
              <w:spacing w:before="0" w:after="283"/>
              <w:jc w:val="center"/>
              <w:rPr>
                <w:b/>
              </w:rPr>
            </w:pPr>
            <w:r>
              <w:rPr>
                <w:b/>
              </w:rPr>
              <w:t>2021</w:t>
            </w:r>
          </w:p>
        </w:tc>
        <w:tc>
          <w:tcPr>
            <w:tcW w:w="932" w:type="dxa"/>
            <w:tcBorders/>
            <w:shd w:fill="auto" w:val="clear"/>
            <w:vAlign w:val="center"/>
          </w:tcPr>
          <w:p>
            <w:pPr>
              <w:pStyle w:val="TableContents"/>
              <w:spacing w:before="0" w:after="283"/>
              <w:rPr/>
            </w:pPr>
            <w:r>
              <w:rPr/>
            </w:r>
          </w:p>
        </w:tc>
      </w:tr>
      <w:tr>
        <w:trPr/>
        <w:tc>
          <w:tcPr>
            <w:tcW w:w="3222" w:type="dxa"/>
            <w:tcBorders/>
            <w:shd w:fill="CFF0FC" w:val="clear"/>
            <w:vAlign w:val="center"/>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 xml:space="preserve">Customer A </w:t>
            </w:r>
          </w:p>
        </w:tc>
        <w:tc>
          <w:tcPr>
            <w:tcW w:w="458" w:type="dxa"/>
            <w:tcBorders/>
            <w:shd w:fill="CFF0FC" w:val="clear"/>
            <w:vAlign w:val="center"/>
          </w:tcPr>
          <w:p>
            <w:pPr>
              <w:pStyle w:val="TableContents"/>
              <w:spacing w:before="0" w:after="0"/>
              <w:ind w:left="0" w:right="0" w:hanging="0"/>
              <w:rPr>
                <w:color w:val="000000"/>
              </w:rPr>
            </w:pPr>
            <w:r>
              <w:rPr>
                <w:color w:val="000000"/>
              </w:rPr>
              <w:t xml:space="preserve">  </w:t>
            </w:r>
          </w:p>
        </w:tc>
        <w:tc>
          <w:tcPr>
            <w:tcW w:w="547" w:type="dxa"/>
            <w:tcBorders/>
            <w:shd w:fill="CFF0FC" w:val="clear"/>
            <w:vAlign w:val="center"/>
          </w:tcPr>
          <w:p>
            <w:pPr>
              <w:pStyle w:val="TableContents"/>
              <w:spacing w:before="0" w:after="0"/>
              <w:ind w:left="0" w:right="0" w:hanging="0"/>
              <w:rPr>
                <w:color w:val="000000"/>
              </w:rPr>
            </w:pPr>
            <w:r>
              <w:rPr>
                <w:color w:val="000000"/>
              </w:rPr>
              <w:t xml:space="preserve">  </w:t>
            </w:r>
          </w:p>
        </w:tc>
        <w:tc>
          <w:tcPr>
            <w:tcW w:w="1237" w:type="dxa"/>
            <w:tcBorders/>
            <w:shd w:fill="CFF0FC" w:val="clear"/>
            <w:vAlign w:val="center"/>
          </w:tcPr>
          <w:p>
            <w:pPr>
              <w:pStyle w:val="TableContents"/>
              <w:spacing w:before="0" w:after="0"/>
              <w:ind w:left="0" w:right="0" w:hanging="0"/>
              <w:jc w:val="right"/>
              <w:rPr>
                <w:color w:val="000000"/>
              </w:rPr>
            </w:pPr>
            <w:r>
              <w:rPr>
                <w:color w:val="000000"/>
              </w:rPr>
              <w:t>—</w:t>
            </w:r>
          </w:p>
        </w:tc>
        <w:tc>
          <w:tcPr>
            <w:tcW w:w="782" w:type="dxa"/>
            <w:tcBorders/>
            <w:shd w:fill="CFF0FC" w:val="clear"/>
            <w:vAlign w:val="center"/>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w:t>
            </w:r>
          </w:p>
        </w:tc>
        <w:tc>
          <w:tcPr>
            <w:tcW w:w="547" w:type="dxa"/>
            <w:tcBorders/>
            <w:shd w:fill="CFF0FC" w:val="clear"/>
            <w:vAlign w:val="center"/>
          </w:tcPr>
          <w:p>
            <w:pPr>
              <w:pStyle w:val="TableContents"/>
              <w:spacing w:before="0" w:after="0"/>
              <w:ind w:left="0" w:right="0" w:hanging="0"/>
              <w:rPr>
                <w:color w:val="000000"/>
              </w:rPr>
            </w:pPr>
            <w:r>
              <w:rPr>
                <w:color w:val="000000"/>
              </w:rPr>
              <w:t xml:space="preserve">  </w:t>
            </w:r>
          </w:p>
        </w:tc>
        <w:tc>
          <w:tcPr>
            <w:tcW w:w="546" w:type="dxa"/>
            <w:tcBorders/>
            <w:shd w:fill="CFF0FC" w:val="clear"/>
            <w:vAlign w:val="center"/>
          </w:tcPr>
          <w:p>
            <w:pPr>
              <w:pStyle w:val="TableContents"/>
              <w:spacing w:before="0" w:after="0"/>
              <w:ind w:left="0" w:right="0" w:hanging="0"/>
              <w:rPr>
                <w:color w:val="000000"/>
              </w:rPr>
            </w:pPr>
            <w:r>
              <w:rPr>
                <w:color w:val="000000"/>
              </w:rPr>
              <w:t xml:space="preserve">  </w:t>
            </w:r>
          </w:p>
        </w:tc>
        <w:tc>
          <w:tcPr>
            <w:tcW w:w="1934" w:type="dxa"/>
            <w:tcBorders/>
            <w:shd w:fill="CFF0FC" w:val="clear"/>
            <w:vAlign w:val="center"/>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10.9</w:t>
            </w:r>
          </w:p>
        </w:tc>
        <w:tc>
          <w:tcPr>
            <w:tcW w:w="932" w:type="dxa"/>
            <w:tcBorders/>
            <w:shd w:fill="CFF0FC" w:val="clear"/>
            <w:vAlign w:val="center"/>
          </w:tcPr>
          <w:p>
            <w:pPr>
              <w:pStyle w:val="TableContents"/>
              <w:spacing w:before="0" w:after="0"/>
              <w:ind w:left="0" w:right="0" w:hanging="0"/>
              <w:jc w:val="left"/>
              <w:rPr>
                <w:color w:val="000000"/>
              </w:rPr>
            </w:pPr>
            <w:r>
              <w:rPr>
                <w:color w:val="000000"/>
              </w:rPr>
              <w:t> </w:t>
            </w:r>
            <w:r>
              <w:rPr>
                <w:rFonts w:ascii="Times New Roman;serif" w:hAnsi="Times New Roman;serif"/>
                <w:color w:val="000000"/>
                <w:sz w:val="20"/>
              </w:rPr>
              <w:t>%</w:t>
            </w:r>
          </w:p>
        </w:tc>
      </w:tr>
      <w:tr>
        <w:trPr/>
        <w:tc>
          <w:tcPr>
            <w:tcW w:w="3222" w:type="dxa"/>
            <w:tcBorders/>
            <w:shd w:fill="auto" w:val="clear"/>
            <w:vAlign w:val="center"/>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Customer B</w:t>
            </w:r>
          </w:p>
        </w:tc>
        <w:tc>
          <w:tcPr>
            <w:tcW w:w="458" w:type="dxa"/>
            <w:tcBorders/>
            <w:shd w:fill="auto" w:val="clear"/>
            <w:vAlign w:val="center"/>
          </w:tcPr>
          <w:p>
            <w:pPr>
              <w:pStyle w:val="TableContents"/>
              <w:spacing w:before="0" w:after="0"/>
              <w:ind w:left="0" w:right="0" w:hanging="0"/>
              <w:rPr>
                <w:color w:val="000000"/>
              </w:rPr>
            </w:pPr>
            <w:r>
              <w:rPr>
                <w:color w:val="000000"/>
              </w:rPr>
              <w:t> </w:t>
            </w:r>
          </w:p>
        </w:tc>
        <w:tc>
          <w:tcPr>
            <w:tcW w:w="547" w:type="dxa"/>
            <w:tcBorders/>
            <w:shd w:fill="auto" w:val="clear"/>
            <w:vAlign w:val="center"/>
          </w:tcPr>
          <w:p>
            <w:pPr>
              <w:pStyle w:val="TableContents"/>
              <w:spacing w:before="0" w:after="0"/>
              <w:ind w:left="0" w:right="0" w:hanging="0"/>
              <w:rPr>
                <w:color w:val="000000"/>
              </w:rPr>
            </w:pPr>
            <w:r>
              <w:rPr>
                <w:color w:val="000000"/>
              </w:rPr>
              <w:t> </w:t>
            </w:r>
          </w:p>
        </w:tc>
        <w:tc>
          <w:tcPr>
            <w:tcW w:w="1237" w:type="dxa"/>
            <w:tcBorders/>
            <w:shd w:fill="auto" w:val="clear"/>
            <w:vAlign w:val="center"/>
          </w:tcPr>
          <w:p>
            <w:pPr>
              <w:pStyle w:val="TableContents"/>
              <w:spacing w:before="0" w:after="0"/>
              <w:ind w:left="0" w:right="0" w:hanging="0"/>
              <w:jc w:val="right"/>
              <w:rPr>
                <w:color w:val="000000"/>
              </w:rPr>
            </w:pPr>
            <w:r>
              <w:rPr>
                <w:color w:val="000000"/>
              </w:rPr>
              <w:t>—</w:t>
            </w:r>
          </w:p>
        </w:tc>
        <w:tc>
          <w:tcPr>
            <w:tcW w:w="782" w:type="dxa"/>
            <w:tcBorders/>
            <w:shd w:fill="auto" w:val="clear"/>
            <w:vAlign w:val="center"/>
          </w:tcPr>
          <w:p>
            <w:pPr>
              <w:pStyle w:val="TableContents"/>
              <w:spacing w:before="0" w:after="0"/>
              <w:ind w:left="0" w:right="0" w:hanging="0"/>
              <w:rPr>
                <w:rFonts w:ascii="Times New Roman;serif" w:hAnsi="Times New Roman;serif"/>
                <w:color w:val="000000"/>
                <w:sz w:val="20"/>
              </w:rPr>
            </w:pPr>
            <w:r>
              <w:rPr>
                <w:rFonts w:ascii="Times New Roman;serif" w:hAnsi="Times New Roman;serif"/>
                <w:color w:val="000000"/>
                <w:sz w:val="20"/>
              </w:rPr>
              <w:t>%</w:t>
            </w:r>
          </w:p>
        </w:tc>
        <w:tc>
          <w:tcPr>
            <w:tcW w:w="547" w:type="dxa"/>
            <w:tcBorders/>
            <w:shd w:fill="auto" w:val="clear"/>
            <w:vAlign w:val="center"/>
          </w:tcPr>
          <w:p>
            <w:pPr>
              <w:pStyle w:val="TableContents"/>
              <w:spacing w:before="0" w:after="0"/>
              <w:ind w:left="0" w:right="0" w:hanging="0"/>
              <w:rPr>
                <w:color w:val="000000"/>
              </w:rPr>
            </w:pPr>
            <w:r>
              <w:rPr>
                <w:color w:val="000000"/>
              </w:rPr>
              <w:t> </w:t>
            </w:r>
          </w:p>
        </w:tc>
        <w:tc>
          <w:tcPr>
            <w:tcW w:w="546" w:type="dxa"/>
            <w:tcBorders/>
            <w:shd w:fill="auto" w:val="clear"/>
            <w:vAlign w:val="center"/>
          </w:tcPr>
          <w:p>
            <w:pPr>
              <w:pStyle w:val="TableContents"/>
              <w:spacing w:before="0" w:after="0"/>
              <w:ind w:left="0" w:right="0" w:hanging="0"/>
              <w:rPr>
                <w:color w:val="000000"/>
              </w:rPr>
            </w:pPr>
            <w:r>
              <w:rPr>
                <w:color w:val="000000"/>
              </w:rPr>
              <w:t> </w:t>
            </w:r>
          </w:p>
        </w:tc>
        <w:tc>
          <w:tcPr>
            <w:tcW w:w="1934" w:type="dxa"/>
            <w:tcBorders/>
            <w:shd w:fill="auto" w:val="clear"/>
            <w:vAlign w:val="center"/>
          </w:tcPr>
          <w:p>
            <w:pPr>
              <w:pStyle w:val="TableContents"/>
              <w:spacing w:before="0" w:after="0"/>
              <w:ind w:left="0" w:right="0" w:hanging="0"/>
              <w:jc w:val="right"/>
              <w:rPr>
                <w:rFonts w:ascii="Times New Roman;serif" w:hAnsi="Times New Roman;serif"/>
                <w:color w:val="000000"/>
                <w:sz w:val="20"/>
              </w:rPr>
            </w:pPr>
            <w:r>
              <w:rPr>
                <w:rFonts w:ascii="Times New Roman;serif" w:hAnsi="Times New Roman;serif"/>
                <w:color w:val="000000"/>
                <w:sz w:val="20"/>
              </w:rPr>
              <w:t>10.6</w:t>
            </w:r>
          </w:p>
        </w:tc>
        <w:tc>
          <w:tcPr>
            <w:tcW w:w="932" w:type="dxa"/>
            <w:tcBorders/>
            <w:shd w:fill="auto" w:val="clear"/>
            <w:vAlign w:val="center"/>
          </w:tcPr>
          <w:p>
            <w:pPr>
              <w:pStyle w:val="TableContents"/>
              <w:spacing w:before="0" w:after="0"/>
              <w:ind w:left="0" w:right="0" w:hanging="0"/>
              <w:rPr>
                <w:color w:val="000000"/>
              </w:rPr>
            </w:pPr>
            <w:r>
              <w:rPr>
                <w:color w:val="000000"/>
              </w:rPr>
              <w:t> </w:t>
            </w:r>
            <w:r>
              <w:rPr>
                <w:rFonts w:ascii="Times New Roman;serif" w:hAnsi="Times New Roman;serif"/>
                <w:color w:val="000000"/>
                <w:sz w:val="20"/>
              </w:rPr>
              <w:t>%</w:t>
            </w:r>
          </w:p>
        </w:tc>
      </w:tr>
    </w:tbl>
    <w:p>
      <w:pPr>
        <w:pStyle w:val="TextBody"/>
        <w:spacing w:lineRule="auto" w:line="240" w:before="0" w:after="0"/>
        <w:ind w:left="0" w:right="0" w:hanging="0"/>
        <w:rPr>
          <w:rFonts w:ascii="Times New Roman" w:hAnsi="Times New Roman"/>
          <w:sz w:val="20"/>
        </w:rPr>
      </w:pPr>
      <w:r>
        <w:rPr>
          <w:rFonts w:ascii="Times New Roman" w:hAnsi="Times New Roman"/>
          <w:sz w:val="20"/>
        </w:rPr>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12</w:t>
      </w:r>
      <w:r>
        <w:rPr>
          <w:rFonts w:ascii="Times New Roman" w:hAnsi="Times New Roman"/>
          <w:b/>
          <w:sz w:val="20"/>
        </w:rPr>
        <w:t>. Fair Value Mezasurements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pStyle w:val="TextBody"/>
        <w:spacing w:lineRule="auto" w:line="240" w:before="0" w:after="0"/>
        <w:ind w:left="0" w:right="0" w:hanging="0"/>
        <w:jc w:val="both"/>
        <w:rPr/>
      </w:pPr>
      <w:r>
        <w:rPr/>
        <w:t> </w:t>
      </w:r>
    </w:p>
    <w:p>
      <w:pPr>
        <w:pStyle w:val="TextBody"/>
        <w:spacing w:lineRule="auto" w:line="240" w:before="0" w:after="0"/>
        <w:ind w:left="720" w:right="0" w:hanging="0"/>
        <w:jc w:val="both"/>
        <w:rPr>
          <w:rFonts w:ascii="times new roman;times" w:hAnsi="times new roman;times"/>
          <w:sz w:val="20"/>
        </w:rPr>
      </w:pPr>
      <w:r>
        <w:rPr>
          <w:rFonts w:ascii="Times New Roman" w:hAnsi="Times New Roman"/>
          <w:sz w:val="20"/>
          <w:u w:val="single"/>
        </w:rPr>
        <w:t>Level 1</w:t>
      </w:r>
      <w:r>
        <w:rPr>
          <w:rFonts w:ascii="times new roman;times" w:hAnsi="times new roman;times"/>
          <w:sz w:val="20"/>
        </w:rPr>
        <w:t xml:space="preserve"> </w:t>
      </w:r>
      <w:r>
        <w:rPr>
          <w:rFonts w:ascii="Times New Roman" w:hAnsi="Times New Roman"/>
          <w:sz w:val="20"/>
        </w:rPr>
        <w:t>- Quoted prices in active markets for identical assets and liabilities.</w:t>
      </w:r>
    </w:p>
    <w:p>
      <w:pPr>
        <w:pStyle w:val="TextBody"/>
        <w:spacing w:lineRule="auto" w:line="240" w:before="0" w:after="0"/>
        <w:ind w:left="0" w:right="0" w:hanging="0"/>
        <w:jc w:val="both"/>
        <w:rPr/>
      </w:pPr>
      <w:r>
        <w:rPr/>
        <w:t> </w:t>
      </w:r>
    </w:p>
    <w:p>
      <w:pPr>
        <w:pStyle w:val="TextBody"/>
        <w:spacing w:lineRule="auto" w:line="240" w:before="0" w:after="0"/>
        <w:ind w:left="720" w:right="0" w:hanging="0"/>
        <w:jc w:val="both"/>
        <w:rPr>
          <w:rFonts w:ascii="times new roman;times" w:hAnsi="times new roman;times"/>
          <w:sz w:val="20"/>
        </w:rPr>
      </w:pPr>
      <w:r>
        <w:rPr>
          <w:rFonts w:ascii="Times New Roman" w:hAnsi="Times New Roman"/>
          <w:sz w:val="20"/>
          <w:u w:val="single"/>
        </w:rPr>
        <w:t>Level 2</w:t>
      </w:r>
      <w:r>
        <w:rPr>
          <w:rFonts w:ascii="times new roman;times" w:hAnsi="times new roman;times"/>
          <w:sz w:val="20"/>
        </w:rPr>
        <w:t xml:space="preserve"> </w:t>
      </w:r>
      <w:r>
        <w:rPr>
          <w:rFonts w:ascii="Times New Roman" w:hAnsi="Times New Roman"/>
          <w:sz w:val="20"/>
        </w:rPr>
        <w:t>-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pStyle w:val="TextBody"/>
        <w:spacing w:lineRule="auto" w:line="240" w:before="0" w:after="0"/>
        <w:ind w:left="0" w:right="0" w:hanging="0"/>
        <w:jc w:val="both"/>
        <w:rPr/>
      </w:pPr>
      <w:r>
        <w:rPr/>
        <w:t> </w:t>
      </w:r>
    </w:p>
    <w:p>
      <w:pPr>
        <w:pStyle w:val="TextBody"/>
        <w:spacing w:lineRule="auto" w:line="240" w:before="0" w:after="0"/>
        <w:ind w:left="720" w:right="0" w:hanging="0"/>
        <w:jc w:val="both"/>
        <w:rPr>
          <w:rFonts w:ascii="times new roman;times" w:hAnsi="times new roman;times"/>
          <w:sz w:val="20"/>
        </w:rPr>
      </w:pPr>
      <w:r>
        <w:rPr>
          <w:rFonts w:ascii="Times New Roman" w:hAnsi="Times New Roman"/>
          <w:sz w:val="20"/>
          <w:u w:val="single"/>
        </w:rPr>
        <w:t>Level 3</w:t>
      </w:r>
      <w:r>
        <w:rPr>
          <w:rFonts w:ascii="times new roman;times" w:hAnsi="times new roman;times"/>
          <w:sz w:val="20"/>
        </w:rPr>
        <w:t xml:space="preserve"> </w:t>
      </w:r>
      <w:r>
        <w:rPr>
          <w:rFonts w:ascii="Times New Roman" w:hAnsi="Times New Roman"/>
          <w:sz w:val="20"/>
        </w:rPr>
        <w:t>- Unobservable inputs.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substantial majority of</w:t>
      </w:r>
      <w:r>
        <w:rPr>
          <w:rFonts w:ascii="times new roman;times" w:hAnsi="times new roman;times"/>
          <w:sz w:val="20"/>
        </w:rPr>
        <w:t xml:space="preserve"> </w:t>
      </w:r>
      <w:r>
        <w:rPr>
          <w:rFonts w:ascii="Times New Roman" w:hAnsi="Times New Roman"/>
          <w:sz w:val="20"/>
        </w:rPr>
        <w:t>the Company’s financial instruments are valued using quoted prices in active markets or based on other observable inputs.</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widowControl/>
        <w:spacing w:lineRule="auto" w:line="240"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There were </w:t>
      </w:r>
      <w:r>
        <w:rPr>
          <w:rFonts w:ascii="Times New Roman" w:hAnsi="Times New Roman"/>
          <w:sz w:val="20"/>
        </w:rPr>
        <w:t>no</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financial instruments that were re-measured by the Company as of December 31, 2022. </w:t>
      </w:r>
      <w:r>
        <w:rPr>
          <w:rFonts w:ascii="Times New Roman" w:hAnsi="Times New Roman"/>
          <w:sz w:val="20"/>
        </w:rPr>
        <w:t xml:space="preserve">The following tables set forth the fair value of the financial instruments re-measured by the Company as of </w:t>
      </w:r>
      <w:r>
        <w:rPr>
          <w:rFonts w:ascii="times new roman;times" w:hAnsi="times new roman;times"/>
          <w:sz w:val="20"/>
        </w:rPr>
        <w:t>December 31, 2021</w:t>
      </w:r>
      <w:r>
        <w:rPr>
          <w:rFonts w:ascii="Times New Roman" w:hAnsi="Times New Roman"/>
          <w:sz w:val="20"/>
        </w:rPr>
        <w:t>.</w:t>
      </w:r>
    </w:p>
    <w:p>
      <w:pPr>
        <w:pStyle w:val="TextBody"/>
        <w:spacing w:lineRule="auto" w:line="24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691"/>
        <w:gridCol w:w="242"/>
        <w:gridCol w:w="402"/>
        <w:gridCol w:w="695"/>
        <w:gridCol w:w="242"/>
        <w:gridCol w:w="242"/>
        <w:gridCol w:w="323"/>
        <w:gridCol w:w="832"/>
        <w:gridCol w:w="242"/>
        <w:gridCol w:w="243"/>
        <w:gridCol w:w="402"/>
        <w:gridCol w:w="694"/>
        <w:gridCol w:w="243"/>
        <w:gridCol w:w="242"/>
        <w:gridCol w:w="323"/>
        <w:gridCol w:w="832"/>
        <w:gridCol w:w="315"/>
      </w:tblGrid>
      <w:tr>
        <w:trPr/>
        <w:tc>
          <w:tcPr>
            <w:tcW w:w="3691"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109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1</w:t>
            </w:r>
          </w:p>
        </w:tc>
        <w:tc>
          <w:tcPr>
            <w:tcW w:w="242"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115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2</w:t>
            </w:r>
          </w:p>
        </w:tc>
        <w:tc>
          <w:tcPr>
            <w:tcW w:w="242" w:type="dxa"/>
            <w:tcBorders/>
            <w:shd w:fill="auto" w:val="clear"/>
            <w:vAlign w:val="center"/>
          </w:tcPr>
          <w:p>
            <w:pPr>
              <w:pStyle w:val="TableContents"/>
              <w:spacing w:before="0" w:after="0"/>
              <w:ind w:left="0" w:right="0" w:hanging="0"/>
              <w:rPr/>
            </w:pPr>
            <w:r>
              <w:rPr/>
              <w:t xml:space="preserve">  </w:t>
            </w:r>
          </w:p>
        </w:tc>
        <w:tc>
          <w:tcPr>
            <w:tcW w:w="243" w:type="dxa"/>
            <w:tcBorders/>
            <w:shd w:fill="auto" w:val="clear"/>
            <w:vAlign w:val="center"/>
          </w:tcPr>
          <w:p>
            <w:pPr>
              <w:pStyle w:val="TableContents"/>
              <w:spacing w:before="0" w:after="0"/>
              <w:ind w:left="0" w:right="0" w:hanging="0"/>
              <w:rPr/>
            </w:pPr>
            <w:r>
              <w:rPr/>
              <w:t xml:space="preserve">  </w:t>
            </w:r>
          </w:p>
        </w:tc>
        <w:tc>
          <w:tcPr>
            <w:tcW w:w="1096"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Level 3</w:t>
            </w:r>
          </w:p>
        </w:tc>
        <w:tc>
          <w:tcPr>
            <w:tcW w:w="243"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115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Total </w:t>
            </w:r>
          </w:p>
        </w:tc>
        <w:tc>
          <w:tcPr>
            <w:tcW w:w="315" w:type="dxa"/>
            <w:tcBorders/>
            <w:shd w:fill="auto" w:val="clear"/>
            <w:vAlign w:val="center"/>
          </w:tcPr>
          <w:p>
            <w:pPr>
              <w:pStyle w:val="TableContents"/>
              <w:spacing w:before="0" w:after="0"/>
              <w:ind w:left="0" w:right="0" w:hanging="0"/>
              <w:rPr/>
            </w:pPr>
            <w:r>
              <w:rPr/>
              <w:t xml:space="preserve">  </w:t>
            </w:r>
          </w:p>
        </w:tc>
      </w:tr>
      <w:tr>
        <w:trPr/>
        <w:tc>
          <w:tcPr>
            <w:tcW w:w="3691" w:type="dxa"/>
            <w:tcBorders/>
            <w:shd w:fill="auto" w:val="clear"/>
            <w:vAlign w:val="center"/>
          </w:tcPr>
          <w:p>
            <w:pPr>
              <w:pStyle w:val="TableContents"/>
              <w:spacing w:before="0" w:after="0"/>
              <w:ind w:left="0" w:right="0" w:hanging="0"/>
              <w:rPr>
                <w:rFonts w:ascii="Times New Roman" w:hAnsi="Times New Roman"/>
                <w:b/>
                <w:sz w:val="20"/>
              </w:rPr>
            </w:pPr>
            <w:r>
              <w:rPr>
                <w:rFonts w:ascii="Times New Roman" w:hAnsi="Times New Roman"/>
                <w:b/>
                <w:sz w:val="20"/>
              </w:rPr>
              <w:t>December 31, 2021</w:t>
            </w:r>
          </w:p>
        </w:tc>
        <w:tc>
          <w:tcPr>
            <w:tcW w:w="242" w:type="dxa"/>
            <w:tcBorders/>
            <w:shd w:fill="auto" w:val="clear"/>
            <w:vAlign w:val="center"/>
          </w:tcPr>
          <w:p>
            <w:pPr>
              <w:pStyle w:val="TableContents"/>
              <w:spacing w:before="0" w:after="0"/>
              <w:ind w:left="0" w:right="0" w:hanging="0"/>
              <w:rPr/>
            </w:pPr>
            <w:r>
              <w:rPr/>
              <w:t xml:space="preserve">  </w:t>
            </w:r>
          </w:p>
        </w:tc>
        <w:tc>
          <w:tcPr>
            <w:tcW w:w="402" w:type="dxa"/>
            <w:tcBorders/>
            <w:shd w:fill="auto" w:val="clear"/>
            <w:vAlign w:val="center"/>
          </w:tcPr>
          <w:p>
            <w:pPr>
              <w:pStyle w:val="TableContents"/>
              <w:spacing w:before="0" w:after="0"/>
              <w:ind w:left="0" w:right="0" w:hanging="0"/>
              <w:rPr/>
            </w:pPr>
            <w:r>
              <w:rPr/>
              <w:t xml:space="preserve">  </w:t>
            </w:r>
          </w:p>
        </w:tc>
        <w:tc>
          <w:tcPr>
            <w:tcW w:w="695"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323" w:type="dxa"/>
            <w:tcBorders/>
            <w:shd w:fill="auto" w:val="clear"/>
            <w:vAlign w:val="center"/>
          </w:tcPr>
          <w:p>
            <w:pPr>
              <w:pStyle w:val="TableContents"/>
              <w:spacing w:before="0" w:after="0"/>
              <w:ind w:left="0" w:right="0" w:hanging="0"/>
              <w:rPr/>
            </w:pPr>
            <w:r>
              <w:rPr/>
              <w:t xml:space="preserve">  </w:t>
            </w:r>
          </w:p>
        </w:tc>
        <w:tc>
          <w:tcPr>
            <w:tcW w:w="832"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243" w:type="dxa"/>
            <w:tcBorders/>
            <w:shd w:fill="auto" w:val="clear"/>
            <w:vAlign w:val="center"/>
          </w:tcPr>
          <w:p>
            <w:pPr>
              <w:pStyle w:val="TableContents"/>
              <w:spacing w:before="0" w:after="0"/>
              <w:ind w:left="0" w:right="0" w:hanging="0"/>
              <w:rPr/>
            </w:pPr>
            <w:r>
              <w:rPr/>
              <w:t xml:space="preserve">  </w:t>
            </w:r>
          </w:p>
        </w:tc>
        <w:tc>
          <w:tcPr>
            <w:tcW w:w="402" w:type="dxa"/>
            <w:tcBorders/>
            <w:shd w:fill="auto" w:val="clear"/>
            <w:vAlign w:val="center"/>
          </w:tcPr>
          <w:p>
            <w:pPr>
              <w:pStyle w:val="TableContents"/>
              <w:spacing w:before="0" w:after="0"/>
              <w:ind w:left="0" w:right="0" w:hanging="0"/>
              <w:rPr/>
            </w:pPr>
            <w:r>
              <w:rPr/>
              <w:t xml:space="preserve">  </w:t>
            </w:r>
          </w:p>
        </w:tc>
        <w:tc>
          <w:tcPr>
            <w:tcW w:w="694" w:type="dxa"/>
            <w:tcBorders/>
            <w:shd w:fill="auto" w:val="clear"/>
            <w:vAlign w:val="center"/>
          </w:tcPr>
          <w:p>
            <w:pPr>
              <w:pStyle w:val="TableContents"/>
              <w:spacing w:before="0" w:after="0"/>
              <w:ind w:left="0" w:right="0" w:hanging="0"/>
              <w:rPr/>
            </w:pPr>
            <w:r>
              <w:rPr/>
              <w:t xml:space="preserve">  </w:t>
            </w:r>
          </w:p>
        </w:tc>
        <w:tc>
          <w:tcPr>
            <w:tcW w:w="243"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323" w:type="dxa"/>
            <w:tcBorders/>
            <w:shd w:fill="auto" w:val="clear"/>
            <w:vAlign w:val="center"/>
          </w:tcPr>
          <w:p>
            <w:pPr>
              <w:pStyle w:val="TableContents"/>
              <w:spacing w:before="0" w:after="0"/>
              <w:ind w:left="0" w:right="0" w:hanging="0"/>
              <w:rPr/>
            </w:pPr>
            <w:r>
              <w:rPr/>
              <w:t xml:space="preserve">  </w:t>
            </w:r>
          </w:p>
        </w:tc>
        <w:tc>
          <w:tcPr>
            <w:tcW w:w="832" w:type="dxa"/>
            <w:tcBorders/>
            <w:shd w:fill="auto" w:val="clear"/>
            <w:vAlign w:val="center"/>
          </w:tcPr>
          <w:p>
            <w:pPr>
              <w:pStyle w:val="TableContents"/>
              <w:spacing w:before="0" w:after="0"/>
              <w:ind w:left="0" w:right="0" w:hanging="0"/>
              <w:rPr/>
            </w:pPr>
            <w:r>
              <w:rPr/>
              <w:t xml:space="preserve">  </w:t>
            </w:r>
          </w:p>
        </w:tc>
        <w:tc>
          <w:tcPr>
            <w:tcW w:w="315" w:type="dxa"/>
            <w:tcBorders/>
            <w:shd w:fill="auto" w:val="clear"/>
            <w:vAlign w:val="center"/>
          </w:tcPr>
          <w:p>
            <w:pPr>
              <w:pStyle w:val="TableContents"/>
              <w:spacing w:before="0" w:after="0"/>
              <w:ind w:left="0" w:right="0" w:hanging="0"/>
              <w:rPr/>
            </w:pPr>
            <w:r>
              <w:rPr/>
              <w:t xml:space="preserve">  </w:t>
            </w:r>
          </w:p>
        </w:tc>
      </w:tr>
      <w:tr>
        <w:trPr/>
        <w:tc>
          <w:tcPr>
            <w:tcW w:w="369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bonds and notes </w:t>
            </w:r>
          </w:p>
        </w:tc>
        <w:tc>
          <w:tcPr>
            <w:tcW w:w="242" w:type="dxa"/>
            <w:tcBorders/>
            <w:shd w:fill="CCEEFF" w:val="clear"/>
            <w:vAlign w:val="center"/>
          </w:tcPr>
          <w:p>
            <w:pPr>
              <w:pStyle w:val="TableContents"/>
              <w:spacing w:before="0" w:after="0"/>
              <w:ind w:left="0" w:right="0" w:hanging="0"/>
              <w:rPr/>
            </w:pPr>
            <w:r>
              <w:rPr/>
              <w:t xml:space="preserve">  </w:t>
            </w:r>
          </w:p>
        </w:tc>
        <w:tc>
          <w:tcPr>
            <w:tcW w:w="40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95" w:type="dxa"/>
            <w:tcBorders/>
            <w:shd w:fill="CCEEFF" w:val="clear"/>
            <w:vAlign w:val="center"/>
          </w:tcPr>
          <w:p>
            <w:pPr>
              <w:pStyle w:val="TableContents"/>
              <w:spacing w:before="0" w:after="0"/>
              <w:ind w:left="0" w:right="0" w:hanging="0"/>
              <w:jc w:val="right"/>
              <w:rPr/>
            </w:pPr>
            <w:r>
              <w:rPr/>
              <w:t>—</w:t>
            </w:r>
          </w:p>
        </w:tc>
        <w:tc>
          <w:tcPr>
            <w:tcW w:w="242" w:type="dxa"/>
            <w:tcBorders/>
            <w:shd w:fill="CCEEFF" w:val="clear"/>
            <w:vAlign w:val="center"/>
          </w:tcPr>
          <w:p>
            <w:pPr>
              <w:pStyle w:val="TableContents"/>
              <w:spacing w:before="0" w:after="0"/>
              <w:ind w:left="0" w:right="0" w:hanging="0"/>
              <w:rPr/>
            </w:pPr>
            <w:r>
              <w:rPr/>
              <w:t xml:space="preserve">  </w:t>
            </w:r>
          </w:p>
        </w:tc>
        <w:tc>
          <w:tcPr>
            <w:tcW w:w="242" w:type="dxa"/>
            <w:tcBorders/>
            <w:shd w:fill="CCEEFF" w:val="clear"/>
            <w:vAlign w:val="center"/>
          </w:tcPr>
          <w:p>
            <w:pPr>
              <w:pStyle w:val="TableContents"/>
              <w:spacing w:before="0" w:after="0"/>
              <w:ind w:left="0" w:right="0" w:hanging="0"/>
              <w:rPr/>
            </w:pPr>
            <w:r>
              <w:rPr/>
              <w:t xml:space="preserve">  </w:t>
            </w:r>
          </w:p>
        </w:tc>
        <w:tc>
          <w:tcPr>
            <w:tcW w:w="32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1,440</w:t>
            </w:r>
          </w:p>
        </w:tc>
        <w:tc>
          <w:tcPr>
            <w:tcW w:w="242" w:type="dxa"/>
            <w:tcBorders/>
            <w:shd w:fill="CCEEFF" w:val="clear"/>
            <w:vAlign w:val="center"/>
          </w:tcPr>
          <w:p>
            <w:pPr>
              <w:pStyle w:val="TableContents"/>
              <w:spacing w:before="0" w:after="0"/>
              <w:ind w:left="0" w:right="0" w:hanging="0"/>
              <w:rPr/>
            </w:pPr>
            <w:r>
              <w:rPr/>
              <w:t xml:space="preserve">  </w:t>
            </w:r>
          </w:p>
        </w:tc>
        <w:tc>
          <w:tcPr>
            <w:tcW w:w="243" w:type="dxa"/>
            <w:tcBorders/>
            <w:shd w:fill="CCEEFF" w:val="clear"/>
            <w:vAlign w:val="center"/>
          </w:tcPr>
          <w:p>
            <w:pPr>
              <w:pStyle w:val="TableContents"/>
              <w:spacing w:before="0" w:after="0"/>
              <w:ind w:left="0" w:right="0" w:hanging="0"/>
              <w:rPr/>
            </w:pPr>
            <w:r>
              <w:rPr/>
              <w:t xml:space="preserve">  </w:t>
            </w:r>
          </w:p>
        </w:tc>
        <w:tc>
          <w:tcPr>
            <w:tcW w:w="40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94" w:type="dxa"/>
            <w:tcBorders/>
            <w:shd w:fill="CCEEFF" w:val="clear"/>
            <w:vAlign w:val="center"/>
          </w:tcPr>
          <w:p>
            <w:pPr>
              <w:pStyle w:val="TableContents"/>
              <w:spacing w:before="0" w:after="0"/>
              <w:ind w:left="0" w:right="0" w:hanging="0"/>
              <w:jc w:val="right"/>
              <w:rPr/>
            </w:pPr>
            <w:r>
              <w:rPr/>
              <w:t>—</w:t>
            </w:r>
          </w:p>
        </w:tc>
        <w:tc>
          <w:tcPr>
            <w:tcW w:w="243" w:type="dxa"/>
            <w:tcBorders/>
            <w:shd w:fill="CCEEFF" w:val="clear"/>
            <w:vAlign w:val="center"/>
          </w:tcPr>
          <w:p>
            <w:pPr>
              <w:pStyle w:val="TableContents"/>
              <w:spacing w:before="0" w:after="0"/>
              <w:ind w:left="0" w:right="0" w:hanging="0"/>
              <w:rPr/>
            </w:pPr>
            <w:r>
              <w:rPr/>
              <w:t xml:space="preserve">  </w:t>
            </w:r>
          </w:p>
        </w:tc>
        <w:tc>
          <w:tcPr>
            <w:tcW w:w="242" w:type="dxa"/>
            <w:tcBorders/>
            <w:shd w:fill="CCEEFF" w:val="clear"/>
            <w:vAlign w:val="center"/>
          </w:tcPr>
          <w:p>
            <w:pPr>
              <w:pStyle w:val="TableContents"/>
              <w:spacing w:before="0" w:after="0"/>
              <w:ind w:left="0" w:right="0" w:hanging="0"/>
              <w:rPr/>
            </w:pPr>
            <w:r>
              <w:rPr/>
              <w:t xml:space="preserve">  </w:t>
            </w:r>
          </w:p>
        </w:tc>
        <w:tc>
          <w:tcPr>
            <w:tcW w:w="32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32"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1,440</w:t>
            </w:r>
          </w:p>
        </w:tc>
        <w:tc>
          <w:tcPr>
            <w:tcW w:w="315" w:type="dxa"/>
            <w:tcBorders/>
            <w:shd w:fill="CCEEFF" w:val="clear"/>
            <w:vAlign w:val="center"/>
          </w:tcPr>
          <w:p>
            <w:pPr>
              <w:pStyle w:val="TableContents"/>
              <w:spacing w:before="0" w:after="0"/>
              <w:ind w:left="0" w:right="0" w:hanging="0"/>
              <w:rPr/>
            </w:pPr>
            <w:r>
              <w:rPr/>
              <w:t xml:space="preserve">  </w:t>
            </w:r>
          </w:p>
        </w:tc>
      </w:tr>
      <w:tr>
        <w:trPr/>
        <w:tc>
          <w:tcPr>
            <w:tcW w:w="369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Municipal bonds </w:t>
            </w:r>
          </w:p>
        </w:tc>
        <w:tc>
          <w:tcPr>
            <w:tcW w:w="242" w:type="dxa"/>
            <w:tcBorders/>
            <w:shd w:fill="auto" w:val="clear"/>
            <w:vAlign w:val="center"/>
          </w:tcPr>
          <w:p>
            <w:pPr>
              <w:pStyle w:val="TableContents"/>
              <w:spacing w:before="0" w:after="0"/>
              <w:ind w:left="0" w:right="0" w:hanging="0"/>
              <w:rPr/>
            </w:pPr>
            <w:r>
              <w:rPr/>
              <w:t xml:space="preserve">  </w:t>
            </w:r>
          </w:p>
        </w:tc>
        <w:tc>
          <w:tcPr>
            <w:tcW w:w="40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695"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42"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323"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3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1,570</w:t>
            </w:r>
          </w:p>
        </w:tc>
        <w:tc>
          <w:tcPr>
            <w:tcW w:w="242" w:type="dxa"/>
            <w:tcBorders/>
            <w:shd w:fill="auto" w:val="clear"/>
            <w:vAlign w:val="center"/>
          </w:tcPr>
          <w:p>
            <w:pPr>
              <w:pStyle w:val="TableContents"/>
              <w:spacing w:before="0" w:after="0"/>
              <w:ind w:left="0" w:right="0" w:hanging="0"/>
              <w:rPr/>
            </w:pPr>
            <w:r>
              <w:rPr/>
              <w:t xml:space="preserve">  </w:t>
            </w:r>
          </w:p>
        </w:tc>
        <w:tc>
          <w:tcPr>
            <w:tcW w:w="243" w:type="dxa"/>
            <w:tcBorders/>
            <w:shd w:fill="auto" w:val="clear"/>
            <w:vAlign w:val="center"/>
          </w:tcPr>
          <w:p>
            <w:pPr>
              <w:pStyle w:val="TableContents"/>
              <w:spacing w:before="0" w:after="0"/>
              <w:ind w:left="0" w:right="0" w:hanging="0"/>
              <w:rPr/>
            </w:pPr>
            <w:r>
              <w:rPr/>
              <w:t xml:space="preserve">  </w:t>
            </w:r>
          </w:p>
        </w:tc>
        <w:tc>
          <w:tcPr>
            <w:tcW w:w="40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694"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43" w:type="dxa"/>
            <w:tcBorders/>
            <w:shd w:fill="auto" w:val="clear"/>
            <w:vAlign w:val="center"/>
          </w:tcPr>
          <w:p>
            <w:pPr>
              <w:pStyle w:val="TableContents"/>
              <w:spacing w:before="0" w:after="0"/>
              <w:ind w:left="0" w:right="0" w:hanging="0"/>
              <w:rPr/>
            </w:pPr>
            <w:r>
              <w:rPr/>
              <w:t xml:space="preserve">  </w:t>
            </w:r>
          </w:p>
        </w:tc>
        <w:tc>
          <w:tcPr>
            <w:tcW w:w="242" w:type="dxa"/>
            <w:tcBorders/>
            <w:shd w:fill="auto" w:val="clear"/>
            <w:vAlign w:val="center"/>
          </w:tcPr>
          <w:p>
            <w:pPr>
              <w:pStyle w:val="TableContents"/>
              <w:spacing w:before="0" w:after="0"/>
              <w:ind w:left="0" w:right="0" w:hanging="0"/>
              <w:rPr/>
            </w:pPr>
            <w:r>
              <w:rPr/>
              <w:t xml:space="preserve">  </w:t>
            </w:r>
          </w:p>
        </w:tc>
        <w:tc>
          <w:tcPr>
            <w:tcW w:w="323"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832"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1,570</w:t>
            </w:r>
          </w:p>
        </w:tc>
        <w:tc>
          <w:tcPr>
            <w:tcW w:w="315" w:type="dxa"/>
            <w:tcBorders/>
            <w:shd w:fill="auto" w:val="clear"/>
            <w:vAlign w:val="center"/>
          </w:tcPr>
          <w:p>
            <w:pPr>
              <w:pStyle w:val="TableContents"/>
              <w:spacing w:before="0" w:after="0"/>
              <w:ind w:left="0" w:right="0" w:hanging="0"/>
              <w:rPr/>
            </w:pPr>
            <w:r>
              <w:rPr/>
              <w:t xml:space="preserve">  </w:t>
            </w:r>
          </w:p>
        </w:tc>
      </w:tr>
      <w:tr>
        <w:trPr/>
        <w:tc>
          <w:tcPr>
            <w:tcW w:w="3691"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Total </w:t>
            </w:r>
          </w:p>
        </w:tc>
        <w:tc>
          <w:tcPr>
            <w:tcW w:w="242" w:type="dxa"/>
            <w:tcBorders/>
            <w:shd w:fill="CCEEFF" w:val="clear"/>
            <w:vAlign w:val="center"/>
          </w:tcPr>
          <w:p>
            <w:pPr>
              <w:pStyle w:val="TableContents"/>
              <w:spacing w:before="0" w:after="0"/>
              <w:ind w:left="0" w:right="0" w:hanging="0"/>
              <w:rPr/>
            </w:pPr>
            <w:r>
              <w:rPr/>
              <w:t xml:space="preserve">  </w:t>
            </w:r>
          </w:p>
        </w:tc>
        <w:tc>
          <w:tcPr>
            <w:tcW w:w="40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95"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42" w:type="dxa"/>
            <w:tcBorders/>
            <w:shd w:fill="CCEEFF" w:val="clear"/>
            <w:vAlign w:val="center"/>
          </w:tcPr>
          <w:p>
            <w:pPr>
              <w:pStyle w:val="TableContents"/>
              <w:spacing w:before="0" w:after="0"/>
              <w:ind w:left="0" w:right="0" w:hanging="0"/>
              <w:rPr/>
            </w:pPr>
            <w:r>
              <w:rPr/>
              <w:t xml:space="preserve">  </w:t>
            </w:r>
          </w:p>
        </w:tc>
        <w:tc>
          <w:tcPr>
            <w:tcW w:w="242" w:type="dxa"/>
            <w:tcBorders/>
            <w:shd w:fill="CCEEFF" w:val="clear"/>
            <w:vAlign w:val="center"/>
          </w:tcPr>
          <w:p>
            <w:pPr>
              <w:pStyle w:val="TableContents"/>
              <w:spacing w:before="0" w:after="0"/>
              <w:ind w:left="0" w:right="0" w:hanging="0"/>
              <w:rPr/>
            </w:pPr>
            <w:r>
              <w:rPr/>
              <w:t xml:space="preserve">  </w:t>
            </w:r>
          </w:p>
        </w:tc>
        <w:tc>
          <w:tcPr>
            <w:tcW w:w="3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3,010</w:t>
            </w:r>
          </w:p>
        </w:tc>
        <w:tc>
          <w:tcPr>
            <w:tcW w:w="242" w:type="dxa"/>
            <w:tcBorders/>
            <w:shd w:fill="CCEEFF" w:val="clear"/>
            <w:vAlign w:val="center"/>
          </w:tcPr>
          <w:p>
            <w:pPr>
              <w:pStyle w:val="TableContents"/>
              <w:spacing w:before="0" w:after="0"/>
              <w:ind w:left="0" w:right="0" w:hanging="0"/>
              <w:rPr/>
            </w:pPr>
            <w:r>
              <w:rPr/>
              <w:t xml:space="preserve">  </w:t>
            </w:r>
          </w:p>
        </w:tc>
        <w:tc>
          <w:tcPr>
            <w:tcW w:w="243" w:type="dxa"/>
            <w:tcBorders/>
            <w:shd w:fill="CCEEFF" w:val="clear"/>
            <w:vAlign w:val="center"/>
          </w:tcPr>
          <w:p>
            <w:pPr>
              <w:pStyle w:val="TableContents"/>
              <w:spacing w:before="0" w:after="0"/>
              <w:ind w:left="0" w:right="0" w:hanging="0"/>
              <w:rPr/>
            </w:pPr>
            <w:r>
              <w:rPr/>
              <w:t xml:space="preserve">  </w:t>
            </w:r>
          </w:p>
        </w:tc>
        <w:tc>
          <w:tcPr>
            <w:tcW w:w="40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694"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243" w:type="dxa"/>
            <w:tcBorders/>
            <w:shd w:fill="CCEEFF" w:val="clear"/>
            <w:vAlign w:val="center"/>
          </w:tcPr>
          <w:p>
            <w:pPr>
              <w:pStyle w:val="TableContents"/>
              <w:spacing w:before="0" w:after="0"/>
              <w:ind w:left="0" w:right="0" w:hanging="0"/>
              <w:rPr/>
            </w:pPr>
            <w:r>
              <w:rPr/>
              <w:t xml:space="preserve">  </w:t>
            </w:r>
          </w:p>
        </w:tc>
        <w:tc>
          <w:tcPr>
            <w:tcW w:w="242" w:type="dxa"/>
            <w:tcBorders/>
            <w:shd w:fill="CCEEFF" w:val="clear"/>
            <w:vAlign w:val="center"/>
          </w:tcPr>
          <w:p>
            <w:pPr>
              <w:pStyle w:val="TableContents"/>
              <w:spacing w:before="0" w:after="0"/>
              <w:ind w:left="0" w:right="0" w:hanging="0"/>
              <w:rPr/>
            </w:pPr>
            <w:r>
              <w:rPr/>
              <w:t xml:space="preserve">  </w:t>
            </w:r>
          </w:p>
        </w:tc>
        <w:tc>
          <w:tcPr>
            <w:tcW w:w="3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8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3,010</w:t>
            </w:r>
          </w:p>
        </w:tc>
        <w:tc>
          <w:tcPr>
            <w:tcW w:w="315"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144" w:right="144"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25</w:t>
            </w:r>
            <w:r>
              <w:rPr>
                <w:rFonts w:ascii="Times New Roman" w:hAnsi="Times New Roman"/>
                <w:b w:val="false"/>
                <w:i w:val="false"/>
                <w:caps w:val="false"/>
                <w:smallCaps w:val="false"/>
                <w:color w:val="000000"/>
                <w:spacing w:val="0"/>
                <w:sz w:val="20"/>
              </w:rPr>
              <w:t> |</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jc w:val="both"/>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13</w:t>
      </w:r>
      <w:r>
        <w:rPr>
          <w:rFonts w:ascii="Times New Roman" w:hAnsi="Times New Roman"/>
          <w:b/>
          <w:sz w:val="20"/>
        </w:rPr>
        <w:t>. Income Taxes</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Consolidated income (loss) before taxes for domestic and foreign operations consisted of the following:</w:t>
      </w:r>
    </w:p>
    <w:p>
      <w:pPr>
        <w:pStyle w:val="TextBody"/>
        <w:spacing w:lineRule="auto" w:line="240" w:before="0" w:after="0"/>
        <w:ind w:left="0" w:right="0" w:hanging="0"/>
        <w:rPr/>
      </w:pPr>
      <w:r>
        <w:rPr/>
        <w:t>  </w:t>
      </w:r>
    </w:p>
    <w:tbl>
      <w:tblPr>
        <w:tblW w:w="4250" w:type="pct"/>
        <w:jc w:val="left"/>
        <w:tblInd w:w="0" w:type="dxa"/>
        <w:tblCellMar>
          <w:top w:w="0" w:type="dxa"/>
          <w:left w:w="0" w:type="dxa"/>
          <w:bottom w:w="0" w:type="dxa"/>
          <w:right w:w="0" w:type="dxa"/>
        </w:tblCellMar>
      </w:tblPr>
      <w:tblGrid>
        <w:gridCol w:w="2344"/>
        <w:gridCol w:w="402"/>
        <w:gridCol w:w="568"/>
        <w:gridCol w:w="1766"/>
        <w:gridCol w:w="426"/>
        <w:gridCol w:w="426"/>
        <w:gridCol w:w="568"/>
        <w:gridCol w:w="1638"/>
        <w:gridCol w:w="536"/>
      </w:tblGrid>
      <w:tr>
        <w:trPr/>
        <w:tc>
          <w:tcPr>
            <w:tcW w:w="2344" w:type="dxa"/>
            <w:tcBorders/>
            <w:shd w:fill="auto" w:val="clear"/>
            <w:vAlign w:val="center"/>
          </w:tcPr>
          <w:p>
            <w:pPr>
              <w:pStyle w:val="TableContents"/>
              <w:spacing w:before="0" w:after="0"/>
              <w:ind w:left="0" w:right="0" w:hanging="0"/>
              <w:rPr/>
            </w:pPr>
            <w:r>
              <w:rPr/>
              <w:t xml:space="preserve">  </w:t>
            </w:r>
          </w:p>
        </w:tc>
        <w:tc>
          <w:tcPr>
            <w:tcW w:w="402" w:type="dxa"/>
            <w:tcBorders/>
            <w:shd w:fill="auto" w:val="clear"/>
            <w:vAlign w:val="center"/>
          </w:tcPr>
          <w:p>
            <w:pPr>
              <w:pStyle w:val="TableContents"/>
              <w:spacing w:before="0" w:after="0"/>
              <w:ind w:left="0" w:right="0" w:hanging="0"/>
              <w:rPr/>
            </w:pPr>
            <w:r>
              <w:rPr/>
              <w:t xml:space="preserve">  </w:t>
            </w:r>
          </w:p>
        </w:tc>
        <w:tc>
          <w:tcPr>
            <w:tcW w:w="5392"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536" w:type="dxa"/>
            <w:tcBorders/>
            <w:shd w:fill="auto" w:val="clear"/>
            <w:vAlign w:val="center"/>
          </w:tcPr>
          <w:p>
            <w:pPr>
              <w:pStyle w:val="TableContents"/>
              <w:spacing w:before="0" w:after="0"/>
              <w:ind w:left="0" w:right="0" w:hanging="0"/>
              <w:rPr/>
            </w:pPr>
            <w:r>
              <w:rPr/>
              <w:t xml:space="preserve">  </w:t>
            </w:r>
          </w:p>
        </w:tc>
      </w:tr>
      <w:tr>
        <w:trPr/>
        <w:tc>
          <w:tcPr>
            <w:tcW w:w="2344" w:type="dxa"/>
            <w:tcBorders/>
            <w:shd w:fill="auto" w:val="clear"/>
            <w:vAlign w:val="center"/>
          </w:tcPr>
          <w:p>
            <w:pPr>
              <w:pStyle w:val="TableContents"/>
              <w:spacing w:before="0" w:after="0"/>
              <w:ind w:left="0" w:right="0" w:hanging="0"/>
              <w:rPr/>
            </w:pPr>
            <w:r>
              <w:rPr/>
              <w:t xml:space="preserve">  </w:t>
            </w:r>
          </w:p>
        </w:tc>
        <w:tc>
          <w:tcPr>
            <w:tcW w:w="402" w:type="dxa"/>
            <w:tcBorders/>
            <w:shd w:fill="auto" w:val="clear"/>
            <w:vAlign w:val="center"/>
          </w:tcPr>
          <w:p>
            <w:pPr>
              <w:pStyle w:val="TableContents"/>
              <w:spacing w:before="0" w:after="0"/>
              <w:ind w:left="0" w:right="0" w:hanging="0"/>
              <w:rPr/>
            </w:pPr>
            <w:r>
              <w:rPr/>
              <w:t xml:space="preserve">  </w:t>
            </w:r>
          </w:p>
        </w:tc>
        <w:tc>
          <w:tcPr>
            <w:tcW w:w="2334"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426" w:type="dxa"/>
            <w:tcBorders/>
            <w:shd w:fill="auto" w:val="clear"/>
            <w:vAlign w:val="center"/>
          </w:tcPr>
          <w:p>
            <w:pPr>
              <w:pStyle w:val="TableContents"/>
              <w:spacing w:before="0" w:after="0"/>
              <w:ind w:left="0" w:right="0" w:hanging="0"/>
              <w:rPr/>
            </w:pPr>
            <w:r>
              <w:rPr/>
              <w:t xml:space="preserve">  </w:t>
            </w:r>
          </w:p>
        </w:tc>
        <w:tc>
          <w:tcPr>
            <w:tcW w:w="426" w:type="dxa"/>
            <w:tcBorders/>
            <w:shd w:fill="auto" w:val="clear"/>
            <w:vAlign w:val="center"/>
          </w:tcPr>
          <w:p>
            <w:pPr>
              <w:pStyle w:val="TableContents"/>
              <w:spacing w:before="0" w:after="0"/>
              <w:ind w:left="0" w:right="0" w:hanging="0"/>
              <w:rPr/>
            </w:pPr>
            <w:r>
              <w:rPr/>
              <w:t xml:space="preserve">  </w:t>
            </w:r>
          </w:p>
        </w:tc>
        <w:tc>
          <w:tcPr>
            <w:tcW w:w="2206"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536" w:type="dxa"/>
            <w:tcBorders/>
            <w:shd w:fill="auto" w:val="clear"/>
            <w:vAlign w:val="center"/>
          </w:tcPr>
          <w:p>
            <w:pPr>
              <w:pStyle w:val="TableContents"/>
              <w:spacing w:before="0" w:after="0"/>
              <w:ind w:left="0" w:right="0" w:hanging="0"/>
              <w:rPr/>
            </w:pPr>
            <w:r>
              <w:rPr/>
              <w:t xml:space="preserve">  </w:t>
            </w:r>
          </w:p>
        </w:tc>
      </w:tr>
      <w:tr>
        <w:trPr/>
        <w:tc>
          <w:tcPr>
            <w:tcW w:w="234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Domestic </w:t>
            </w:r>
          </w:p>
        </w:tc>
        <w:tc>
          <w:tcPr>
            <w:tcW w:w="402" w:type="dxa"/>
            <w:tcBorders/>
            <w:shd w:fill="CCEEFF" w:val="clear"/>
            <w:vAlign w:val="center"/>
          </w:tcPr>
          <w:p>
            <w:pPr>
              <w:pStyle w:val="TableContents"/>
              <w:spacing w:before="0" w:after="0"/>
              <w:ind w:left="0" w:right="0" w:hanging="0"/>
              <w:rPr/>
            </w:pPr>
            <w:r>
              <w:rPr/>
              <w:t xml:space="preserve">  </w:t>
            </w:r>
          </w:p>
        </w:tc>
        <w:tc>
          <w:tcPr>
            <w:tcW w:w="5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76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28,754</w:t>
            </w:r>
          </w:p>
        </w:tc>
        <w:tc>
          <w:tcPr>
            <w:tcW w:w="426" w:type="dxa"/>
            <w:tcBorders/>
            <w:shd w:fill="CCEEFF" w:val="clear"/>
            <w:vAlign w:val="center"/>
          </w:tcPr>
          <w:p>
            <w:pPr>
              <w:pStyle w:val="TableContents"/>
              <w:spacing w:before="0" w:after="283"/>
              <w:rPr>
                <w:sz w:val="4"/>
                <w:szCs w:val="4"/>
              </w:rPr>
            </w:pPr>
            <w:r>
              <w:rPr>
                <w:sz w:val="4"/>
                <w:szCs w:val="4"/>
              </w:rPr>
            </w:r>
          </w:p>
        </w:tc>
        <w:tc>
          <w:tcPr>
            <w:tcW w:w="426" w:type="dxa"/>
            <w:tcBorders/>
            <w:shd w:fill="CCEEFF" w:val="clear"/>
            <w:vAlign w:val="center"/>
          </w:tcPr>
          <w:p>
            <w:pPr>
              <w:pStyle w:val="TableContents"/>
              <w:spacing w:before="0" w:after="0"/>
              <w:ind w:left="0" w:right="0" w:hanging="0"/>
              <w:rPr/>
            </w:pPr>
            <w:r>
              <w:rPr/>
              <w:t xml:space="preserve">  </w:t>
            </w:r>
          </w:p>
        </w:tc>
        <w:tc>
          <w:tcPr>
            <w:tcW w:w="5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3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(6,201</w:t>
            </w:r>
          </w:p>
        </w:tc>
        <w:tc>
          <w:tcPr>
            <w:tcW w:w="5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234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Foreign </w:t>
            </w:r>
          </w:p>
        </w:tc>
        <w:tc>
          <w:tcPr>
            <w:tcW w:w="402" w:type="dxa"/>
            <w:tcBorders/>
            <w:shd w:fill="auto" w:val="clear"/>
            <w:vAlign w:val="center"/>
          </w:tcPr>
          <w:p>
            <w:pPr>
              <w:pStyle w:val="TableContents"/>
              <w:spacing w:before="0" w:after="0"/>
              <w:ind w:left="0" w:right="0" w:hanging="0"/>
              <w:rPr/>
            </w:pPr>
            <w:r>
              <w:rPr/>
              <w:t xml:space="preserve">  </w:t>
            </w:r>
          </w:p>
        </w:tc>
        <w:tc>
          <w:tcPr>
            <w:tcW w:w="56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766"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(1,294</w:t>
            </w:r>
          </w:p>
        </w:tc>
        <w:tc>
          <w:tcPr>
            <w:tcW w:w="426" w:type="dxa"/>
            <w:tcBorders/>
            <w:shd w:fill="auto" w:val="clear"/>
            <w:vAlign w:val="center"/>
          </w:tcPr>
          <w:p>
            <w:pPr>
              <w:pStyle w:val="TableContents"/>
              <w:spacing w:before="0" w:after="283"/>
              <w:rPr/>
            </w:pPr>
            <w:r>
              <w:rPr/>
              <w:t>)</w:t>
            </w:r>
          </w:p>
        </w:tc>
        <w:tc>
          <w:tcPr>
            <w:tcW w:w="426" w:type="dxa"/>
            <w:tcBorders/>
            <w:shd w:fill="auto" w:val="clear"/>
            <w:vAlign w:val="center"/>
          </w:tcPr>
          <w:p>
            <w:pPr>
              <w:pStyle w:val="TableContents"/>
              <w:spacing w:before="0" w:after="0"/>
              <w:ind w:left="0" w:right="0" w:hanging="0"/>
              <w:rPr/>
            </w:pPr>
            <w:r>
              <w:rPr/>
              <w:t xml:space="preserve">  </w:t>
            </w:r>
          </w:p>
        </w:tc>
        <w:tc>
          <w:tcPr>
            <w:tcW w:w="568"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638"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(1,776</w:t>
            </w:r>
          </w:p>
        </w:tc>
        <w:tc>
          <w:tcPr>
            <w:tcW w:w="5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r>
        <w:trPr/>
        <w:tc>
          <w:tcPr>
            <w:tcW w:w="234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402" w:type="dxa"/>
            <w:tcBorders/>
            <w:shd w:fill="CCEEFF" w:val="clear"/>
            <w:vAlign w:val="center"/>
          </w:tcPr>
          <w:p>
            <w:pPr>
              <w:pStyle w:val="TableContents"/>
              <w:spacing w:before="0" w:after="0"/>
              <w:ind w:left="0" w:right="0" w:hanging="0"/>
              <w:rPr/>
            </w:pPr>
            <w:r>
              <w:rPr/>
              <w:t xml:space="preserve">  </w:t>
            </w:r>
          </w:p>
        </w:tc>
        <w:tc>
          <w:tcPr>
            <w:tcW w:w="5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27,460</w:t>
            </w:r>
          </w:p>
        </w:tc>
        <w:tc>
          <w:tcPr>
            <w:tcW w:w="426" w:type="dxa"/>
            <w:tcBorders/>
            <w:shd w:fill="CCEEFF" w:val="clear"/>
            <w:vAlign w:val="center"/>
          </w:tcPr>
          <w:p>
            <w:pPr>
              <w:pStyle w:val="TableContents"/>
              <w:spacing w:before="0" w:after="283"/>
              <w:rPr>
                <w:sz w:val="4"/>
                <w:szCs w:val="4"/>
              </w:rPr>
            </w:pPr>
            <w:r>
              <w:rPr>
                <w:sz w:val="4"/>
                <w:szCs w:val="4"/>
              </w:rPr>
            </w:r>
          </w:p>
        </w:tc>
        <w:tc>
          <w:tcPr>
            <w:tcW w:w="426" w:type="dxa"/>
            <w:tcBorders/>
            <w:shd w:fill="CCEEFF" w:val="clear"/>
            <w:vAlign w:val="center"/>
          </w:tcPr>
          <w:p>
            <w:pPr>
              <w:pStyle w:val="TableContents"/>
              <w:spacing w:before="0" w:after="0"/>
              <w:ind w:left="0" w:right="0" w:hanging="0"/>
              <w:rPr/>
            </w:pPr>
            <w:r>
              <w:rPr/>
              <w:t xml:space="preserve">  </w:t>
            </w:r>
          </w:p>
        </w:tc>
        <w:tc>
          <w:tcPr>
            <w:tcW w:w="56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63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(7,977</w:t>
            </w:r>
          </w:p>
        </w:tc>
        <w:tc>
          <w:tcPr>
            <w:tcW w:w="53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r>
    </w:tbl>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Company’s benefit from (provision for) income taxes consisted of the following:</w:t>
      </w:r>
    </w:p>
    <w:p>
      <w:pPr>
        <w:pStyle w:val="TextBody"/>
        <w:spacing w:lineRule="auto" w:line="240" w:before="0" w:after="0"/>
        <w:ind w:left="0" w:right="0" w:hanging="0"/>
        <w:rPr/>
      </w:pPr>
      <w:r>
        <w:rPr/>
        <w:t> </w:t>
      </w:r>
    </w:p>
    <w:tbl>
      <w:tblPr>
        <w:tblW w:w="4250" w:type="pct"/>
        <w:jc w:val="left"/>
        <w:tblInd w:w="0" w:type="dxa"/>
        <w:tblCellMar>
          <w:top w:w="0" w:type="dxa"/>
          <w:left w:w="0" w:type="dxa"/>
          <w:bottom w:w="0" w:type="dxa"/>
          <w:right w:w="0" w:type="dxa"/>
        </w:tblCellMar>
      </w:tblPr>
      <w:tblGrid>
        <w:gridCol w:w="4586"/>
        <w:gridCol w:w="261"/>
        <w:gridCol w:w="376"/>
        <w:gridCol w:w="1085"/>
        <w:gridCol w:w="283"/>
        <w:gridCol w:w="283"/>
        <w:gridCol w:w="376"/>
        <w:gridCol w:w="1085"/>
        <w:gridCol w:w="339"/>
      </w:tblGrid>
      <w:tr>
        <w:trPr/>
        <w:tc>
          <w:tcPr>
            <w:tcW w:w="4586"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3488"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339" w:type="dxa"/>
            <w:tcBorders/>
            <w:shd w:fill="auto" w:val="clear"/>
            <w:vAlign w:val="center"/>
          </w:tcPr>
          <w:p>
            <w:pPr>
              <w:pStyle w:val="TableContents"/>
              <w:spacing w:before="0" w:after="0"/>
              <w:ind w:left="0" w:right="0" w:hanging="0"/>
              <w:rPr/>
            </w:pPr>
            <w:r>
              <w:rPr/>
              <w:t xml:space="preserve">  </w:t>
            </w:r>
          </w:p>
        </w:tc>
      </w:tr>
      <w:tr>
        <w:trPr/>
        <w:tc>
          <w:tcPr>
            <w:tcW w:w="4586" w:type="dxa"/>
            <w:tcBorders/>
            <w:shd w:fill="auto" w:val="clear"/>
            <w:vAlign w:val="center"/>
          </w:tcPr>
          <w:p>
            <w:pPr>
              <w:pStyle w:val="TableContents"/>
              <w:spacing w:before="0" w:after="0"/>
              <w:ind w:left="0" w:right="0" w:hanging="0"/>
              <w:rPr/>
            </w:pPr>
            <w:r>
              <w:rPr/>
              <w:t xml:space="preserve">  </w:t>
            </w:r>
          </w:p>
        </w:tc>
        <w:tc>
          <w:tcPr>
            <w:tcW w:w="261" w:type="dxa"/>
            <w:tcBorders/>
            <w:shd w:fill="auto" w:val="clear"/>
            <w:vAlign w:val="center"/>
          </w:tcPr>
          <w:p>
            <w:pPr>
              <w:pStyle w:val="TableContents"/>
              <w:spacing w:before="0" w:after="0"/>
              <w:ind w:left="0" w:right="0" w:hanging="0"/>
              <w:rPr/>
            </w:pPr>
            <w:r>
              <w:rPr/>
              <w:t xml:space="preserve">  </w:t>
            </w:r>
          </w:p>
        </w:tc>
        <w:tc>
          <w:tcPr>
            <w:tcW w:w="1461"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283" w:type="dxa"/>
            <w:tcBorders/>
            <w:shd w:fill="auto" w:val="clear"/>
            <w:vAlign w:val="center"/>
          </w:tcPr>
          <w:p>
            <w:pPr>
              <w:pStyle w:val="TableContents"/>
              <w:spacing w:before="0" w:after="0"/>
              <w:ind w:left="0" w:right="0" w:hanging="0"/>
              <w:rPr/>
            </w:pPr>
            <w:r>
              <w:rPr/>
              <w:t xml:space="preserve">  </w:t>
            </w:r>
          </w:p>
        </w:tc>
        <w:tc>
          <w:tcPr>
            <w:tcW w:w="283" w:type="dxa"/>
            <w:tcBorders/>
            <w:shd w:fill="auto" w:val="clear"/>
            <w:vAlign w:val="center"/>
          </w:tcPr>
          <w:p>
            <w:pPr>
              <w:pStyle w:val="TableContents"/>
              <w:spacing w:before="0" w:after="0"/>
              <w:ind w:left="0" w:right="0" w:hanging="0"/>
              <w:rPr/>
            </w:pPr>
            <w:r>
              <w:rPr/>
              <w:t xml:space="preserve">  </w:t>
            </w:r>
          </w:p>
        </w:tc>
        <w:tc>
          <w:tcPr>
            <w:tcW w:w="1461"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339" w:type="dxa"/>
            <w:tcBorders/>
            <w:shd w:fill="auto" w:val="clear"/>
            <w:vAlign w:val="center"/>
          </w:tcPr>
          <w:p>
            <w:pPr>
              <w:pStyle w:val="TableContents"/>
              <w:spacing w:before="0" w:after="0"/>
              <w:ind w:left="0" w:right="0" w:hanging="0"/>
              <w:rPr/>
            </w:pPr>
            <w:r>
              <w:rPr/>
              <w:t xml:space="preserve">  </w:t>
            </w:r>
          </w:p>
        </w:tc>
      </w:tr>
      <w:tr>
        <w:trPr/>
        <w:tc>
          <w:tcPr>
            <w:tcW w:w="458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Current: </w:t>
            </w:r>
          </w:p>
        </w:tc>
        <w:tc>
          <w:tcPr>
            <w:tcW w:w="261"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085" w:type="dxa"/>
            <w:tcBorders/>
            <w:shd w:fill="CCEEFF" w:val="clear"/>
            <w:vAlign w:val="center"/>
          </w:tcPr>
          <w:p>
            <w:pPr>
              <w:pStyle w:val="TableContents"/>
              <w:spacing w:before="0" w:after="0"/>
              <w:ind w:left="0" w:right="0" w:hanging="0"/>
              <w:rPr/>
            </w:pPr>
            <w:r>
              <w:rPr/>
              <w:t xml:space="preserve">  </w:t>
            </w:r>
          </w:p>
        </w:tc>
        <w:tc>
          <w:tcPr>
            <w:tcW w:w="283" w:type="dxa"/>
            <w:tcBorders/>
            <w:shd w:fill="CCEEFF" w:val="clear"/>
            <w:vAlign w:val="center"/>
          </w:tcPr>
          <w:p>
            <w:pPr>
              <w:pStyle w:val="TableContents"/>
              <w:spacing w:before="0" w:after="0"/>
              <w:ind w:left="0" w:right="0" w:hanging="0"/>
              <w:rPr/>
            </w:pPr>
            <w:r>
              <w:rPr/>
              <w:t xml:space="preserve">  </w:t>
            </w:r>
          </w:p>
        </w:tc>
        <w:tc>
          <w:tcPr>
            <w:tcW w:w="283"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085" w:type="dxa"/>
            <w:tcBorders/>
            <w:shd w:fill="CCEEFF" w:val="clear"/>
            <w:vAlign w:val="center"/>
          </w:tcPr>
          <w:p>
            <w:pPr>
              <w:pStyle w:val="TableContents"/>
              <w:spacing w:before="0" w:after="0"/>
              <w:ind w:left="0" w:right="0" w:hanging="0"/>
              <w:rPr/>
            </w:pPr>
            <w:r>
              <w:rPr/>
              <w:t xml:space="preserve">  </w:t>
            </w:r>
          </w:p>
        </w:tc>
        <w:tc>
          <w:tcPr>
            <w:tcW w:w="339" w:type="dxa"/>
            <w:tcBorders/>
            <w:shd w:fill="CCEEFF" w:val="clear"/>
            <w:vAlign w:val="center"/>
          </w:tcPr>
          <w:p>
            <w:pPr>
              <w:pStyle w:val="TableContents"/>
              <w:spacing w:before="0" w:after="0"/>
              <w:ind w:left="0" w:right="0" w:hanging="0"/>
              <w:rPr/>
            </w:pPr>
            <w:r>
              <w:rPr/>
              <w:t xml:space="preserve">  </w:t>
            </w:r>
          </w:p>
        </w:tc>
      </w:tr>
      <w:tr>
        <w:trPr/>
        <w:tc>
          <w:tcPr>
            <w:tcW w:w="4586"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Federal </w:t>
            </w:r>
          </w:p>
        </w:tc>
        <w:tc>
          <w:tcPr>
            <w:tcW w:w="261"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8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(6,753</w:t>
            </w:r>
          </w:p>
        </w:tc>
        <w:tc>
          <w:tcPr>
            <w:tcW w:w="283" w:type="dxa"/>
            <w:tcBorders/>
            <w:shd w:fill="auto" w:val="clear"/>
            <w:vAlign w:val="center"/>
          </w:tcPr>
          <w:p>
            <w:pPr>
              <w:pStyle w:val="TableContents"/>
              <w:spacing w:before="0" w:after="283"/>
              <w:rPr/>
            </w:pPr>
            <w:r>
              <w:rPr/>
              <w:t>)</w:t>
            </w:r>
          </w:p>
        </w:tc>
        <w:tc>
          <w:tcPr>
            <w:tcW w:w="283"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8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373</w:t>
            </w:r>
          </w:p>
        </w:tc>
        <w:tc>
          <w:tcPr>
            <w:tcW w:w="339" w:type="dxa"/>
            <w:tcBorders/>
            <w:shd w:fill="auto" w:val="clear"/>
            <w:vAlign w:val="center"/>
          </w:tcPr>
          <w:p>
            <w:pPr>
              <w:pStyle w:val="TableContents"/>
              <w:spacing w:before="0" w:after="283"/>
              <w:rPr>
                <w:sz w:val="4"/>
                <w:szCs w:val="4"/>
              </w:rPr>
            </w:pPr>
            <w:r>
              <w:rPr>
                <w:sz w:val="4"/>
                <w:szCs w:val="4"/>
              </w:rPr>
            </w:r>
          </w:p>
        </w:tc>
      </w:tr>
      <w:tr>
        <w:trPr/>
        <w:tc>
          <w:tcPr>
            <w:tcW w:w="4586"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State </w:t>
            </w:r>
          </w:p>
        </w:tc>
        <w:tc>
          <w:tcPr>
            <w:tcW w:w="261"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08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(98</w:t>
            </w:r>
          </w:p>
        </w:tc>
        <w:tc>
          <w:tcPr>
            <w:tcW w:w="283" w:type="dxa"/>
            <w:tcBorders/>
            <w:shd w:fill="CCEEFF" w:val="clear"/>
            <w:vAlign w:val="center"/>
          </w:tcPr>
          <w:p>
            <w:pPr>
              <w:pStyle w:val="TableContents"/>
              <w:spacing w:before="0" w:after="283"/>
              <w:rPr/>
            </w:pPr>
            <w:r>
              <w:rPr/>
              <w:t>)</w:t>
            </w:r>
          </w:p>
        </w:tc>
        <w:tc>
          <w:tcPr>
            <w:tcW w:w="283"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08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w:t>
            </w:r>
          </w:p>
        </w:tc>
        <w:tc>
          <w:tcPr>
            <w:tcW w:w="339" w:type="dxa"/>
            <w:tcBorders/>
            <w:shd w:fill="CCEEFF" w:val="clear"/>
            <w:vAlign w:val="center"/>
          </w:tcPr>
          <w:p>
            <w:pPr>
              <w:pStyle w:val="TableContents"/>
              <w:spacing w:before="0" w:after="283"/>
              <w:rPr/>
            </w:pPr>
            <w:r>
              <w:rPr/>
              <w:t>)</w:t>
            </w:r>
          </w:p>
        </w:tc>
      </w:tr>
      <w:tr>
        <w:trPr/>
        <w:tc>
          <w:tcPr>
            <w:tcW w:w="4586"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Foreign </w:t>
            </w:r>
          </w:p>
        </w:tc>
        <w:tc>
          <w:tcPr>
            <w:tcW w:w="261" w:type="dxa"/>
            <w:tcBorders/>
            <w:shd w:fill="auto"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c>
          <w:tcPr>
            <w:tcW w:w="283" w:type="dxa"/>
            <w:tcBorders/>
            <w:shd w:fill="auto" w:val="clear"/>
            <w:vAlign w:val="center"/>
          </w:tcPr>
          <w:p>
            <w:pPr>
              <w:pStyle w:val="TableContents"/>
              <w:spacing w:before="0" w:after="283"/>
              <w:rPr/>
            </w:pPr>
            <w:r>
              <w:rPr/>
              <w:t>)</w:t>
            </w:r>
          </w:p>
        </w:tc>
        <w:tc>
          <w:tcPr>
            <w:tcW w:w="283" w:type="dxa"/>
            <w:tcBorders/>
            <w:shd w:fill="auto"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(81</w:t>
            </w:r>
          </w:p>
        </w:tc>
        <w:tc>
          <w:tcPr>
            <w:tcW w:w="339" w:type="dxa"/>
            <w:tcBorders/>
            <w:shd w:fill="auto" w:val="clear"/>
            <w:vAlign w:val="center"/>
          </w:tcPr>
          <w:p>
            <w:pPr>
              <w:pStyle w:val="TableContents"/>
              <w:spacing w:before="0" w:after="283"/>
              <w:rPr/>
            </w:pPr>
            <w:r>
              <w:rPr/>
              <w:t>)</w:t>
            </w:r>
          </w:p>
        </w:tc>
      </w:tr>
      <w:tr>
        <w:trPr/>
        <w:tc>
          <w:tcPr>
            <w:tcW w:w="458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current </w:t>
            </w:r>
          </w:p>
        </w:tc>
        <w:tc>
          <w:tcPr>
            <w:tcW w:w="261" w:type="dxa"/>
            <w:tcBorders/>
            <w:shd w:fill="CCEEFF"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(6,904</w:t>
            </w:r>
          </w:p>
        </w:tc>
        <w:tc>
          <w:tcPr>
            <w:tcW w:w="283" w:type="dxa"/>
            <w:tcBorders/>
            <w:shd w:fill="CCEEFF" w:val="clear"/>
            <w:vAlign w:val="center"/>
          </w:tcPr>
          <w:p>
            <w:pPr>
              <w:pStyle w:val="TableContents"/>
              <w:spacing w:before="0" w:after="283"/>
              <w:rPr/>
            </w:pPr>
            <w:r>
              <w:rPr/>
              <w:t>)</w:t>
            </w:r>
          </w:p>
        </w:tc>
        <w:tc>
          <w:tcPr>
            <w:tcW w:w="283" w:type="dxa"/>
            <w:tcBorders/>
            <w:shd w:fill="CCEEFF"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283</w:t>
            </w:r>
          </w:p>
        </w:tc>
        <w:tc>
          <w:tcPr>
            <w:tcW w:w="339" w:type="dxa"/>
            <w:tcBorders/>
            <w:shd w:fill="CCEEFF" w:val="clear"/>
            <w:vAlign w:val="center"/>
          </w:tcPr>
          <w:p>
            <w:pPr>
              <w:pStyle w:val="TableContents"/>
              <w:spacing w:before="0" w:after="283"/>
              <w:rPr>
                <w:sz w:val="4"/>
                <w:szCs w:val="4"/>
              </w:rPr>
            </w:pPr>
            <w:r>
              <w:rPr>
                <w:sz w:val="4"/>
                <w:szCs w:val="4"/>
              </w:rPr>
            </w:r>
          </w:p>
        </w:tc>
      </w:tr>
      <w:tr>
        <w:trPr/>
        <w:tc>
          <w:tcPr>
            <w:tcW w:w="458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w:t>
            </w:r>
          </w:p>
        </w:tc>
        <w:tc>
          <w:tcPr>
            <w:tcW w:w="261"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085" w:type="dxa"/>
            <w:tcBorders/>
            <w:shd w:fill="auto" w:val="clear"/>
            <w:vAlign w:val="center"/>
          </w:tcPr>
          <w:p>
            <w:pPr>
              <w:pStyle w:val="TableContents"/>
              <w:spacing w:before="0" w:after="0"/>
              <w:ind w:left="0" w:right="0" w:hanging="0"/>
              <w:rPr/>
            </w:pPr>
            <w:r>
              <w:rPr/>
              <w:t xml:space="preserve">  </w:t>
            </w:r>
          </w:p>
        </w:tc>
        <w:tc>
          <w:tcPr>
            <w:tcW w:w="283" w:type="dxa"/>
            <w:tcBorders/>
            <w:shd w:fill="auto" w:val="clear"/>
            <w:vAlign w:val="center"/>
          </w:tcPr>
          <w:p>
            <w:pPr>
              <w:pStyle w:val="TableContents"/>
              <w:spacing w:before="0" w:after="0"/>
              <w:ind w:left="0" w:right="0" w:hanging="0"/>
              <w:rPr/>
            </w:pPr>
            <w:r>
              <w:rPr/>
              <w:t xml:space="preserve">  </w:t>
            </w:r>
          </w:p>
        </w:tc>
        <w:tc>
          <w:tcPr>
            <w:tcW w:w="283"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085" w:type="dxa"/>
            <w:tcBorders/>
            <w:shd w:fill="auto" w:val="clear"/>
            <w:vAlign w:val="center"/>
          </w:tcPr>
          <w:p>
            <w:pPr>
              <w:pStyle w:val="TableContents"/>
              <w:spacing w:before="0" w:after="0"/>
              <w:ind w:left="0" w:right="0" w:hanging="0"/>
              <w:rPr/>
            </w:pPr>
            <w:r>
              <w:rPr/>
              <w:t xml:space="preserve">  </w:t>
            </w:r>
          </w:p>
        </w:tc>
        <w:tc>
          <w:tcPr>
            <w:tcW w:w="339" w:type="dxa"/>
            <w:tcBorders/>
            <w:shd w:fill="auto" w:val="clear"/>
            <w:vAlign w:val="center"/>
          </w:tcPr>
          <w:p>
            <w:pPr>
              <w:pStyle w:val="TableContents"/>
              <w:spacing w:before="0" w:after="0"/>
              <w:ind w:left="0" w:right="0" w:hanging="0"/>
              <w:rPr/>
            </w:pPr>
            <w:r>
              <w:rPr/>
              <w:t xml:space="preserve">  </w:t>
            </w:r>
          </w:p>
        </w:tc>
      </w:tr>
      <w:tr>
        <w:trPr/>
        <w:tc>
          <w:tcPr>
            <w:tcW w:w="4586"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Federal </w:t>
            </w:r>
          </w:p>
        </w:tc>
        <w:tc>
          <w:tcPr>
            <w:tcW w:w="261"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08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1,132</w:t>
            </w:r>
          </w:p>
        </w:tc>
        <w:tc>
          <w:tcPr>
            <w:tcW w:w="283" w:type="dxa"/>
            <w:tcBorders/>
            <w:shd w:fill="CCEEFF" w:val="clear"/>
            <w:vAlign w:val="center"/>
          </w:tcPr>
          <w:p>
            <w:pPr>
              <w:pStyle w:val="TableContents"/>
              <w:spacing w:before="0" w:after="283"/>
              <w:rPr>
                <w:sz w:val="4"/>
                <w:szCs w:val="4"/>
              </w:rPr>
            </w:pPr>
            <w:r>
              <w:rPr>
                <w:sz w:val="4"/>
                <w:szCs w:val="4"/>
              </w:rPr>
            </w:r>
          </w:p>
        </w:tc>
        <w:tc>
          <w:tcPr>
            <w:tcW w:w="283" w:type="dxa"/>
            <w:tcBorders/>
            <w:shd w:fill="CCEEFF" w:val="clear"/>
            <w:vAlign w:val="center"/>
          </w:tcPr>
          <w:p>
            <w:pPr>
              <w:pStyle w:val="TableContents"/>
              <w:spacing w:before="0" w:after="0"/>
              <w:ind w:left="0" w:right="0" w:hanging="0"/>
              <w:rPr/>
            </w:pPr>
            <w:r>
              <w:rPr/>
              <w:t xml:space="preserve">  </w:t>
            </w:r>
          </w:p>
        </w:tc>
        <w:tc>
          <w:tcPr>
            <w:tcW w:w="376" w:type="dxa"/>
            <w:tcBorders/>
            <w:shd w:fill="CCEEFF" w:val="clear"/>
            <w:vAlign w:val="center"/>
          </w:tcPr>
          <w:p>
            <w:pPr>
              <w:pStyle w:val="TableContents"/>
              <w:spacing w:before="0" w:after="0"/>
              <w:ind w:left="0" w:right="0" w:hanging="0"/>
              <w:rPr/>
            </w:pPr>
            <w:r>
              <w:rPr/>
              <w:t xml:space="preserve">  </w:t>
            </w:r>
          </w:p>
        </w:tc>
        <w:tc>
          <w:tcPr>
            <w:tcW w:w="108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1,326</w:t>
            </w:r>
          </w:p>
        </w:tc>
        <w:tc>
          <w:tcPr>
            <w:tcW w:w="339" w:type="dxa"/>
            <w:tcBorders/>
            <w:shd w:fill="CCEEFF" w:val="clear"/>
            <w:vAlign w:val="center"/>
          </w:tcPr>
          <w:p>
            <w:pPr>
              <w:pStyle w:val="TableContents"/>
              <w:spacing w:before="0" w:after="283"/>
              <w:rPr>
                <w:sz w:val="4"/>
                <w:szCs w:val="4"/>
              </w:rPr>
            </w:pPr>
            <w:r>
              <w:rPr>
                <w:sz w:val="4"/>
                <w:szCs w:val="4"/>
              </w:rPr>
            </w:r>
          </w:p>
        </w:tc>
      </w:tr>
      <w:tr>
        <w:trPr/>
        <w:tc>
          <w:tcPr>
            <w:tcW w:w="4586"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State </w:t>
            </w:r>
          </w:p>
        </w:tc>
        <w:tc>
          <w:tcPr>
            <w:tcW w:w="261"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08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(976</w:t>
            </w:r>
          </w:p>
        </w:tc>
        <w:tc>
          <w:tcPr>
            <w:tcW w:w="283" w:type="dxa"/>
            <w:tcBorders/>
            <w:shd w:fill="auto" w:val="clear"/>
            <w:vAlign w:val="center"/>
          </w:tcPr>
          <w:p>
            <w:pPr>
              <w:pStyle w:val="TableContents"/>
              <w:spacing w:before="0" w:after="283"/>
              <w:rPr/>
            </w:pPr>
            <w:r>
              <w:rPr/>
              <w:t>)</w:t>
            </w:r>
          </w:p>
        </w:tc>
        <w:tc>
          <w:tcPr>
            <w:tcW w:w="283"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08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398</w:t>
            </w:r>
          </w:p>
        </w:tc>
        <w:tc>
          <w:tcPr>
            <w:tcW w:w="339" w:type="dxa"/>
            <w:tcBorders/>
            <w:shd w:fill="auto" w:val="clear"/>
            <w:vAlign w:val="center"/>
          </w:tcPr>
          <w:p>
            <w:pPr>
              <w:pStyle w:val="TableContents"/>
              <w:spacing w:before="0" w:after="0"/>
              <w:ind w:left="0" w:right="0" w:hanging="0"/>
              <w:rPr/>
            </w:pPr>
            <w:r>
              <w:rPr/>
              <w:t xml:space="preserve">  </w:t>
            </w:r>
          </w:p>
        </w:tc>
      </w:tr>
      <w:tr>
        <w:trPr/>
        <w:tc>
          <w:tcPr>
            <w:tcW w:w="4586"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Foreign </w:t>
            </w:r>
          </w:p>
        </w:tc>
        <w:tc>
          <w:tcPr>
            <w:tcW w:w="261" w:type="dxa"/>
            <w:tcBorders/>
            <w:shd w:fill="CCEEFF"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165</w:t>
            </w:r>
          </w:p>
        </w:tc>
        <w:tc>
          <w:tcPr>
            <w:tcW w:w="283" w:type="dxa"/>
            <w:tcBorders/>
            <w:shd w:fill="CCEEFF" w:val="clear"/>
            <w:vAlign w:val="center"/>
          </w:tcPr>
          <w:p>
            <w:pPr>
              <w:pStyle w:val="TableContents"/>
              <w:spacing w:before="0" w:after="0"/>
              <w:ind w:left="0" w:right="0" w:hanging="0"/>
              <w:rPr/>
            </w:pPr>
            <w:r>
              <w:rPr/>
              <w:t xml:space="preserve">  </w:t>
            </w:r>
          </w:p>
        </w:tc>
        <w:tc>
          <w:tcPr>
            <w:tcW w:w="283" w:type="dxa"/>
            <w:tcBorders/>
            <w:shd w:fill="CCEEFF"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302</w:t>
            </w:r>
          </w:p>
        </w:tc>
        <w:tc>
          <w:tcPr>
            <w:tcW w:w="339" w:type="dxa"/>
            <w:tcBorders/>
            <w:shd w:fill="CCEEFF" w:val="clear"/>
            <w:vAlign w:val="center"/>
          </w:tcPr>
          <w:p>
            <w:pPr>
              <w:pStyle w:val="TableContents"/>
              <w:spacing w:before="0" w:after="0"/>
              <w:ind w:left="0" w:right="0" w:hanging="0"/>
              <w:rPr/>
            </w:pPr>
            <w:r>
              <w:rPr/>
              <w:t xml:space="preserve">  </w:t>
            </w:r>
          </w:p>
        </w:tc>
      </w:tr>
      <w:tr>
        <w:trPr/>
        <w:tc>
          <w:tcPr>
            <w:tcW w:w="4586"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Total </w:t>
            </w:r>
          </w:p>
        </w:tc>
        <w:tc>
          <w:tcPr>
            <w:tcW w:w="261"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08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321</w:t>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0"/>
              <w:ind w:left="0" w:right="0" w:hanging="0"/>
              <w:rPr/>
            </w:pPr>
            <w:r>
              <w:rPr/>
              <w:t xml:space="preserve">  </w:t>
            </w:r>
          </w:p>
        </w:tc>
        <w:tc>
          <w:tcPr>
            <w:tcW w:w="376" w:type="dxa"/>
            <w:tcBorders/>
            <w:shd w:fill="auto" w:val="clear"/>
            <w:vAlign w:val="center"/>
          </w:tcPr>
          <w:p>
            <w:pPr>
              <w:pStyle w:val="TableContents"/>
              <w:spacing w:before="0" w:after="0"/>
              <w:ind w:left="0" w:right="0" w:hanging="0"/>
              <w:rPr/>
            </w:pPr>
            <w:r>
              <w:rPr/>
              <w:t xml:space="preserve">  </w:t>
            </w:r>
          </w:p>
        </w:tc>
        <w:tc>
          <w:tcPr>
            <w:tcW w:w="1085"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2,026</w:t>
            </w:r>
          </w:p>
        </w:tc>
        <w:tc>
          <w:tcPr>
            <w:tcW w:w="339" w:type="dxa"/>
            <w:tcBorders/>
            <w:shd w:fill="auto" w:val="clear"/>
            <w:vAlign w:val="center"/>
          </w:tcPr>
          <w:p>
            <w:pPr>
              <w:pStyle w:val="TableContents"/>
              <w:spacing w:before="0" w:after="283"/>
              <w:rPr>
                <w:sz w:val="4"/>
                <w:szCs w:val="4"/>
              </w:rPr>
            </w:pPr>
            <w:r>
              <w:rPr>
                <w:sz w:val="4"/>
                <w:szCs w:val="4"/>
              </w:rPr>
            </w:r>
          </w:p>
        </w:tc>
      </w:tr>
      <w:tr>
        <w:trPr/>
        <w:tc>
          <w:tcPr>
            <w:tcW w:w="458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Change in valuation allowance </w:t>
            </w:r>
          </w:p>
        </w:tc>
        <w:tc>
          <w:tcPr>
            <w:tcW w:w="261" w:type="dxa"/>
            <w:tcBorders/>
            <w:shd w:fill="CCEEFF"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(321</w:t>
            </w:r>
          </w:p>
        </w:tc>
        <w:tc>
          <w:tcPr>
            <w:tcW w:w="283" w:type="dxa"/>
            <w:tcBorders/>
            <w:shd w:fill="CCEEFF" w:val="clear"/>
            <w:vAlign w:val="center"/>
          </w:tcPr>
          <w:p>
            <w:pPr>
              <w:pStyle w:val="TableContents"/>
              <w:spacing w:before="0" w:after="283"/>
              <w:rPr/>
            </w:pPr>
            <w:r>
              <w:rPr/>
              <w:t>)</w:t>
            </w:r>
          </w:p>
        </w:tc>
        <w:tc>
          <w:tcPr>
            <w:tcW w:w="283" w:type="dxa"/>
            <w:tcBorders/>
            <w:shd w:fill="CCEEFF"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(2,026</w:t>
            </w:r>
          </w:p>
        </w:tc>
        <w:tc>
          <w:tcPr>
            <w:tcW w:w="339" w:type="dxa"/>
            <w:tcBorders/>
            <w:shd w:fill="CCEEFF" w:val="clear"/>
            <w:vAlign w:val="center"/>
          </w:tcPr>
          <w:p>
            <w:pPr>
              <w:pStyle w:val="TableContents"/>
              <w:spacing w:before="0" w:after="283"/>
              <w:rPr/>
            </w:pPr>
            <w:r>
              <w:rPr/>
              <w:t>)</w:t>
            </w:r>
          </w:p>
        </w:tc>
      </w:tr>
      <w:tr>
        <w:trPr/>
        <w:tc>
          <w:tcPr>
            <w:tcW w:w="458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deferred </w:t>
            </w:r>
          </w:p>
        </w:tc>
        <w:tc>
          <w:tcPr>
            <w:tcW w:w="261" w:type="dxa"/>
            <w:tcBorders/>
            <w:shd w:fill="auto"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83" w:type="dxa"/>
            <w:tcBorders/>
            <w:shd w:fill="auto" w:val="clear"/>
            <w:vAlign w:val="center"/>
          </w:tcPr>
          <w:p>
            <w:pPr>
              <w:pStyle w:val="TableContents"/>
              <w:spacing w:before="0" w:after="0"/>
              <w:ind w:left="0" w:right="0" w:hanging="0"/>
              <w:rPr/>
            </w:pPr>
            <w:r>
              <w:rPr/>
            </w:r>
          </w:p>
        </w:tc>
        <w:tc>
          <w:tcPr>
            <w:tcW w:w="283" w:type="dxa"/>
            <w:tcBorders/>
            <w:shd w:fill="auto" w:val="clear"/>
            <w:vAlign w:val="center"/>
          </w:tcPr>
          <w:p>
            <w:pPr>
              <w:pStyle w:val="TableContents"/>
              <w:spacing w:before="0" w:after="0"/>
              <w:ind w:left="0" w:right="0" w:hanging="0"/>
              <w:rPr/>
            </w:pPr>
            <w:r>
              <w:rPr/>
              <w:t xml:space="preserve">  </w:t>
            </w:r>
          </w:p>
        </w:tc>
        <w:tc>
          <w:tcPr>
            <w:tcW w:w="376"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085" w:type="dxa"/>
            <w:tcBorders>
              <w:bottom w:val="sing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39" w:type="dxa"/>
            <w:tcBorders/>
            <w:shd w:fill="auto" w:val="clear"/>
            <w:vAlign w:val="center"/>
          </w:tcPr>
          <w:p>
            <w:pPr>
              <w:pStyle w:val="TableContents"/>
              <w:spacing w:before="0" w:after="283"/>
              <w:rPr>
                <w:sz w:val="4"/>
                <w:szCs w:val="4"/>
              </w:rPr>
            </w:pPr>
            <w:r>
              <w:rPr>
                <w:sz w:val="4"/>
                <w:szCs w:val="4"/>
              </w:rPr>
            </w:r>
          </w:p>
        </w:tc>
      </w:tr>
      <w:tr>
        <w:trPr/>
        <w:tc>
          <w:tcPr>
            <w:tcW w:w="458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Tax benefit (provision)</w:t>
            </w:r>
          </w:p>
        </w:tc>
        <w:tc>
          <w:tcPr>
            <w:tcW w:w="261" w:type="dxa"/>
            <w:tcBorders/>
            <w:shd w:fill="CCEEFF" w:val="clear"/>
            <w:vAlign w:val="center"/>
          </w:tcPr>
          <w:p>
            <w:pPr>
              <w:pStyle w:val="TableContents"/>
              <w:spacing w:before="0" w:after="0"/>
              <w:ind w:left="0" w:right="0" w:hanging="0"/>
              <w:rPr/>
            </w:pPr>
            <w:r>
              <w:rPr/>
              <w:t xml:space="preserve">  </w:t>
            </w:r>
          </w:p>
        </w:tc>
        <w:tc>
          <w:tcPr>
            <w:tcW w:w="37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8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(6,904</w:t>
            </w:r>
          </w:p>
        </w:tc>
        <w:tc>
          <w:tcPr>
            <w:tcW w:w="283" w:type="dxa"/>
            <w:tcBorders/>
            <w:shd w:fill="CCEEFF" w:val="clear"/>
            <w:vAlign w:val="center"/>
          </w:tcPr>
          <w:p>
            <w:pPr>
              <w:pStyle w:val="TableContents"/>
              <w:spacing w:before="0" w:after="283"/>
              <w:rPr/>
            </w:pPr>
            <w:r>
              <w:rPr/>
              <w:t>)</w:t>
            </w:r>
          </w:p>
        </w:tc>
        <w:tc>
          <w:tcPr>
            <w:tcW w:w="283" w:type="dxa"/>
            <w:tcBorders/>
            <w:shd w:fill="CCEEFF" w:val="clear"/>
            <w:vAlign w:val="center"/>
          </w:tcPr>
          <w:p>
            <w:pPr>
              <w:pStyle w:val="TableContents"/>
              <w:spacing w:before="0" w:after="0"/>
              <w:ind w:left="0" w:right="0" w:hanging="0"/>
              <w:rPr/>
            </w:pPr>
            <w:r>
              <w:rPr/>
              <w:t xml:space="preserve">  </w:t>
            </w:r>
          </w:p>
        </w:tc>
        <w:tc>
          <w:tcPr>
            <w:tcW w:w="37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08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283</w:t>
            </w:r>
          </w:p>
        </w:tc>
        <w:tc>
          <w:tcPr>
            <w:tcW w:w="339" w:type="dxa"/>
            <w:tcBorders/>
            <w:shd w:fill="CCEEFF" w:val="clear"/>
            <w:vAlign w:val="center"/>
          </w:tcPr>
          <w:p>
            <w:pPr>
              <w:pStyle w:val="TableContents"/>
              <w:spacing w:before="0" w:after="283"/>
              <w:rPr>
                <w:sz w:val="4"/>
                <w:szCs w:val="4"/>
              </w:rPr>
            </w:pPr>
            <w:r>
              <w:rPr>
                <w:sz w:val="4"/>
                <w:szCs w:val="4"/>
              </w:rPr>
            </w:r>
          </w:p>
        </w:tc>
      </w:tr>
    </w:tbl>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The income tax benefit (provision) differs from that computed at the federal statutory corporate income tax rate as follows:</w:t>
      </w:r>
    </w:p>
    <w:p>
      <w:pPr>
        <w:pStyle w:val="TextBody"/>
        <w:spacing w:lineRule="auto" w:line="240" w:before="0" w:after="0"/>
        <w:ind w:left="0" w:right="0" w:hanging="0"/>
        <w:rPr/>
      </w:pPr>
      <w:r>
        <w:rPr/>
        <w:t> </w:t>
      </w:r>
    </w:p>
    <w:tbl>
      <w:tblPr>
        <w:tblW w:w="4250" w:type="pct"/>
        <w:jc w:val="left"/>
        <w:tblInd w:w="0" w:type="dxa"/>
        <w:tblCellMar>
          <w:top w:w="0" w:type="dxa"/>
          <w:left w:w="0" w:type="dxa"/>
          <w:bottom w:w="0" w:type="dxa"/>
          <w:right w:w="0" w:type="dxa"/>
        </w:tblCellMar>
      </w:tblPr>
      <w:tblGrid>
        <w:gridCol w:w="5813"/>
        <w:gridCol w:w="182"/>
        <w:gridCol w:w="264"/>
        <w:gridCol w:w="759"/>
        <w:gridCol w:w="198"/>
        <w:gridCol w:w="198"/>
        <w:gridCol w:w="263"/>
        <w:gridCol w:w="760"/>
        <w:gridCol w:w="237"/>
      </w:tblGrid>
      <w:tr>
        <w:trPr/>
        <w:tc>
          <w:tcPr>
            <w:tcW w:w="5813"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2442" w:type="dxa"/>
            <w:gridSpan w:val="6"/>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237" w:type="dxa"/>
            <w:tcBorders/>
            <w:shd w:fill="auto" w:val="clear"/>
            <w:vAlign w:val="center"/>
          </w:tcPr>
          <w:p>
            <w:pPr>
              <w:pStyle w:val="TableContents"/>
              <w:spacing w:before="0" w:after="0"/>
              <w:ind w:left="0" w:right="0" w:hanging="0"/>
              <w:rPr/>
            </w:pPr>
            <w:r>
              <w:rPr/>
              <w:t xml:space="preserve">  </w:t>
            </w:r>
          </w:p>
        </w:tc>
      </w:tr>
      <w:tr>
        <w:trPr/>
        <w:tc>
          <w:tcPr>
            <w:tcW w:w="5813" w:type="dxa"/>
            <w:tcBorders/>
            <w:shd w:fill="auto" w:val="clear"/>
            <w:vAlign w:val="center"/>
          </w:tcPr>
          <w:p>
            <w:pPr>
              <w:pStyle w:val="TableContents"/>
              <w:spacing w:before="0" w:after="0"/>
              <w:ind w:left="0" w:right="0" w:hanging="0"/>
              <w:rPr/>
            </w:pPr>
            <w:r>
              <w:rPr/>
              <w:t xml:space="preserve">  </w:t>
            </w:r>
          </w:p>
        </w:tc>
        <w:tc>
          <w:tcPr>
            <w:tcW w:w="182" w:type="dxa"/>
            <w:tcBorders/>
            <w:shd w:fill="auto" w:val="clear"/>
            <w:vAlign w:val="center"/>
          </w:tcPr>
          <w:p>
            <w:pPr>
              <w:pStyle w:val="TableContents"/>
              <w:spacing w:before="0" w:after="0"/>
              <w:ind w:left="0" w:right="0" w:hanging="0"/>
              <w:rPr/>
            </w:pPr>
            <w:r>
              <w:rPr/>
              <w:t xml:space="preserve">  </w:t>
            </w:r>
          </w:p>
        </w:tc>
        <w:tc>
          <w:tcPr>
            <w:tcW w:w="1023"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198"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1023"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237" w:type="dxa"/>
            <w:tcBorders/>
            <w:shd w:fill="auto" w:val="clear"/>
            <w:vAlign w:val="center"/>
          </w:tcPr>
          <w:p>
            <w:pPr>
              <w:pStyle w:val="TableContents"/>
              <w:spacing w:before="0" w:after="0"/>
              <w:ind w:left="0" w:right="0" w:hanging="0"/>
              <w:rPr/>
            </w:pPr>
            <w:r>
              <w:rPr/>
              <w:t xml:space="preserve">  </w:t>
            </w:r>
          </w:p>
        </w:tc>
      </w:tr>
      <w:tr>
        <w:trPr/>
        <w:tc>
          <w:tcPr>
            <w:tcW w:w="581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Tax benefit (provision) at federal statutory rate </w:t>
            </w:r>
          </w:p>
        </w:tc>
        <w:tc>
          <w:tcPr>
            <w:tcW w:w="182"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5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(5,768</w:t>
            </w:r>
          </w:p>
        </w:tc>
        <w:tc>
          <w:tcPr>
            <w:tcW w:w="198" w:type="dxa"/>
            <w:tcBorders/>
            <w:shd w:fill="CCEEFF" w:val="clear"/>
            <w:vAlign w:val="center"/>
          </w:tcPr>
          <w:p>
            <w:pPr>
              <w:pStyle w:val="TableContents"/>
              <w:spacing w:before="0" w:after="283"/>
              <w:rPr/>
            </w:pPr>
            <w:r>
              <w:rPr/>
              <w:t>)</w:t>
            </w:r>
          </w:p>
        </w:tc>
        <w:tc>
          <w:tcPr>
            <w:tcW w:w="198" w:type="dxa"/>
            <w:tcBorders/>
            <w:shd w:fill="CCEEFF" w:val="clear"/>
            <w:vAlign w:val="center"/>
          </w:tcPr>
          <w:p>
            <w:pPr>
              <w:pStyle w:val="TableContents"/>
              <w:spacing w:before="0" w:after="0"/>
              <w:ind w:left="0" w:right="0" w:hanging="0"/>
              <w:rPr/>
            </w:pPr>
            <w:r>
              <w:rPr/>
              <w:t xml:space="preserve">  </w:t>
            </w:r>
          </w:p>
        </w:tc>
        <w:tc>
          <w:tcPr>
            <w:tcW w:w="26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6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1,674</w:t>
            </w:r>
          </w:p>
        </w:tc>
        <w:tc>
          <w:tcPr>
            <w:tcW w:w="237" w:type="dxa"/>
            <w:tcBorders/>
            <w:shd w:fill="CCEEFF" w:val="clear"/>
            <w:vAlign w:val="center"/>
          </w:tcPr>
          <w:p>
            <w:pPr>
              <w:pStyle w:val="TableContents"/>
              <w:spacing w:before="0" w:after="0"/>
              <w:ind w:left="0" w:right="0" w:hanging="0"/>
              <w:rPr/>
            </w:pPr>
            <w:r>
              <w:rPr/>
              <w:t xml:space="preserve">  </w:t>
            </w:r>
          </w:p>
        </w:tc>
      </w:tr>
      <w:tr>
        <w:trPr/>
        <w:tc>
          <w:tcPr>
            <w:tcW w:w="581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State income tax benefit (provision), net of federal benefit </w:t>
            </w:r>
          </w:p>
        </w:tc>
        <w:tc>
          <w:tcPr>
            <w:tcW w:w="182"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75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(1,093</w:t>
            </w:r>
          </w:p>
        </w:tc>
        <w:tc>
          <w:tcPr>
            <w:tcW w:w="198" w:type="dxa"/>
            <w:tcBorders/>
            <w:shd w:fill="auto" w:val="clear"/>
            <w:vAlign w:val="center"/>
          </w:tcPr>
          <w:p>
            <w:pPr>
              <w:pStyle w:val="TableContents"/>
              <w:spacing w:before="0" w:after="283"/>
              <w:rPr/>
            </w:pPr>
            <w:r>
              <w:rPr/>
              <w:t>)</w:t>
            </w:r>
          </w:p>
        </w:tc>
        <w:tc>
          <w:tcPr>
            <w:tcW w:w="198" w:type="dxa"/>
            <w:tcBorders/>
            <w:shd w:fill="auto" w:val="clear"/>
            <w:vAlign w:val="center"/>
          </w:tcPr>
          <w:p>
            <w:pPr>
              <w:pStyle w:val="TableContents"/>
              <w:spacing w:before="0" w:after="0"/>
              <w:ind w:left="0" w:right="0" w:hanging="0"/>
              <w:rPr/>
            </w:pPr>
            <w:r>
              <w:rPr/>
              <w:t xml:space="preserve">  </w:t>
            </w:r>
          </w:p>
        </w:tc>
        <w:tc>
          <w:tcPr>
            <w:tcW w:w="263" w:type="dxa"/>
            <w:tcBorders/>
            <w:shd w:fill="auto" w:val="clear"/>
            <w:vAlign w:val="center"/>
          </w:tcPr>
          <w:p>
            <w:pPr>
              <w:pStyle w:val="TableContents"/>
              <w:spacing w:before="0" w:after="0"/>
              <w:ind w:left="0" w:right="0" w:hanging="0"/>
              <w:rPr/>
            </w:pPr>
            <w:r>
              <w:rPr/>
              <w:t xml:space="preserve">  </w:t>
            </w:r>
          </w:p>
        </w:tc>
        <w:tc>
          <w:tcPr>
            <w:tcW w:w="76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335</w:t>
            </w:r>
          </w:p>
        </w:tc>
        <w:tc>
          <w:tcPr>
            <w:tcW w:w="237" w:type="dxa"/>
            <w:tcBorders/>
            <w:shd w:fill="auto" w:val="clear"/>
            <w:vAlign w:val="center"/>
          </w:tcPr>
          <w:p>
            <w:pPr>
              <w:pStyle w:val="TableContents"/>
              <w:spacing w:before="0" w:after="0"/>
              <w:ind w:left="0" w:right="0" w:hanging="0"/>
              <w:rPr/>
            </w:pPr>
            <w:r>
              <w:rPr/>
              <w:t xml:space="preserve">  </w:t>
            </w:r>
          </w:p>
        </w:tc>
      </w:tr>
      <w:tr>
        <w:trPr/>
        <w:tc>
          <w:tcPr>
            <w:tcW w:w="581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Research and development tax credits </w:t>
            </w:r>
          </w:p>
        </w:tc>
        <w:tc>
          <w:tcPr>
            <w:tcW w:w="182"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75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457</w:t>
            </w:r>
          </w:p>
        </w:tc>
        <w:tc>
          <w:tcPr>
            <w:tcW w:w="198" w:type="dxa"/>
            <w:tcBorders/>
            <w:shd w:fill="CCEEFF" w:val="clear"/>
            <w:vAlign w:val="center"/>
          </w:tcPr>
          <w:p>
            <w:pPr>
              <w:pStyle w:val="TableContents"/>
              <w:spacing w:before="0" w:after="0"/>
              <w:ind w:left="0" w:right="0" w:hanging="0"/>
              <w:rPr/>
            </w:pPr>
            <w:r>
              <w:rPr/>
              <w:t xml:space="preserve">  </w:t>
            </w:r>
          </w:p>
        </w:tc>
        <w:tc>
          <w:tcPr>
            <w:tcW w:w="198" w:type="dxa"/>
            <w:tcBorders/>
            <w:shd w:fill="CCEEFF" w:val="clear"/>
            <w:vAlign w:val="center"/>
          </w:tcPr>
          <w:p>
            <w:pPr>
              <w:pStyle w:val="TableContents"/>
              <w:spacing w:before="0" w:after="0"/>
              <w:ind w:left="0" w:right="0" w:hanging="0"/>
              <w:rPr/>
            </w:pPr>
            <w:r>
              <w:rPr/>
              <w:t xml:space="preserve">  </w:t>
            </w:r>
          </w:p>
        </w:tc>
        <w:tc>
          <w:tcPr>
            <w:tcW w:w="263" w:type="dxa"/>
            <w:tcBorders/>
            <w:shd w:fill="CCEEFF" w:val="clear"/>
            <w:vAlign w:val="center"/>
          </w:tcPr>
          <w:p>
            <w:pPr>
              <w:pStyle w:val="TableContents"/>
              <w:spacing w:before="0" w:after="0"/>
              <w:ind w:left="0" w:right="0" w:hanging="0"/>
              <w:rPr/>
            </w:pPr>
            <w:r>
              <w:rPr/>
              <w:t xml:space="preserve">  </w:t>
            </w:r>
          </w:p>
        </w:tc>
        <w:tc>
          <w:tcPr>
            <w:tcW w:w="76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361</w:t>
            </w:r>
          </w:p>
        </w:tc>
        <w:tc>
          <w:tcPr>
            <w:tcW w:w="237" w:type="dxa"/>
            <w:tcBorders/>
            <w:shd w:fill="CCEEFF" w:val="clear"/>
            <w:vAlign w:val="center"/>
          </w:tcPr>
          <w:p>
            <w:pPr>
              <w:pStyle w:val="TableContents"/>
              <w:spacing w:before="0" w:after="0"/>
              <w:ind w:left="0" w:right="0" w:hanging="0"/>
              <w:rPr/>
            </w:pPr>
            <w:r>
              <w:rPr/>
              <w:t xml:space="preserve">  </w:t>
            </w:r>
          </w:p>
        </w:tc>
      </w:tr>
      <w:tr>
        <w:trPr/>
        <w:tc>
          <w:tcPr>
            <w:tcW w:w="581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Foreign earnings or losses taxed at different rates </w:t>
            </w:r>
          </w:p>
        </w:tc>
        <w:tc>
          <w:tcPr>
            <w:tcW w:w="182"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75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(68</w:t>
            </w:r>
          </w:p>
        </w:tc>
        <w:tc>
          <w:tcPr>
            <w:tcW w:w="198" w:type="dxa"/>
            <w:tcBorders/>
            <w:shd w:fill="auto" w:val="clear"/>
            <w:vAlign w:val="center"/>
          </w:tcPr>
          <w:p>
            <w:pPr>
              <w:pStyle w:val="TableContents"/>
              <w:spacing w:before="0" w:after="283"/>
              <w:rPr/>
            </w:pPr>
            <w:r>
              <w:rPr/>
              <w:t>)</w:t>
            </w:r>
          </w:p>
        </w:tc>
        <w:tc>
          <w:tcPr>
            <w:tcW w:w="198" w:type="dxa"/>
            <w:tcBorders/>
            <w:shd w:fill="auto" w:val="clear"/>
            <w:vAlign w:val="center"/>
          </w:tcPr>
          <w:p>
            <w:pPr>
              <w:pStyle w:val="TableContents"/>
              <w:spacing w:before="0" w:after="0"/>
              <w:ind w:left="0" w:right="0" w:hanging="0"/>
              <w:rPr/>
            </w:pPr>
            <w:r>
              <w:rPr/>
              <w:t xml:space="preserve">  </w:t>
            </w:r>
          </w:p>
        </w:tc>
        <w:tc>
          <w:tcPr>
            <w:tcW w:w="263" w:type="dxa"/>
            <w:tcBorders/>
            <w:shd w:fill="auto" w:val="clear"/>
            <w:vAlign w:val="center"/>
          </w:tcPr>
          <w:p>
            <w:pPr>
              <w:pStyle w:val="TableContents"/>
              <w:spacing w:before="0" w:after="0"/>
              <w:ind w:left="0" w:right="0" w:hanging="0"/>
              <w:rPr/>
            </w:pPr>
            <w:r>
              <w:rPr/>
              <w:t xml:space="preserve">  </w:t>
            </w:r>
          </w:p>
        </w:tc>
        <w:tc>
          <w:tcPr>
            <w:tcW w:w="76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w:t>
            </w:r>
          </w:p>
        </w:tc>
        <w:tc>
          <w:tcPr>
            <w:tcW w:w="237" w:type="dxa"/>
            <w:tcBorders/>
            <w:shd w:fill="auto" w:val="clear"/>
            <w:vAlign w:val="center"/>
          </w:tcPr>
          <w:p>
            <w:pPr>
              <w:pStyle w:val="TableContents"/>
              <w:spacing w:before="0" w:after="283"/>
              <w:rPr/>
            </w:pPr>
            <w:r>
              <w:rPr/>
              <w:t>)</w:t>
            </w:r>
          </w:p>
        </w:tc>
      </w:tr>
      <w:tr>
        <w:trPr/>
        <w:tc>
          <w:tcPr>
            <w:tcW w:w="581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Tax rate change</w:t>
            </w:r>
          </w:p>
        </w:tc>
        <w:tc>
          <w:tcPr>
            <w:tcW w:w="182" w:type="dxa"/>
            <w:tcBorders/>
            <w:shd w:fill="CCEEFF" w:val="clear"/>
            <w:vAlign w:val="center"/>
          </w:tcPr>
          <w:p>
            <w:pPr>
              <w:pStyle w:val="TableContents"/>
              <w:spacing w:before="0" w:after="0"/>
              <w:ind w:left="0" w:right="0" w:hanging="0"/>
              <w:rPr/>
            </w:pPr>
            <w:r>
              <w:rPr/>
              <w:t xml:space="preserve">  </w:t>
            </w:r>
          </w:p>
        </w:tc>
        <w:tc>
          <w:tcPr>
            <w:tcW w:w="264" w:type="dxa"/>
            <w:tcBorders/>
            <w:shd w:fill="CCEEFF" w:val="clear"/>
            <w:vAlign w:val="center"/>
          </w:tcPr>
          <w:p>
            <w:pPr>
              <w:pStyle w:val="TableContents"/>
              <w:spacing w:before="0" w:after="0"/>
              <w:ind w:left="0" w:right="0" w:hanging="0"/>
              <w:rPr/>
            </w:pPr>
            <w:r>
              <w:rPr/>
              <w:t xml:space="preserve">  </w:t>
            </w:r>
          </w:p>
        </w:tc>
        <w:tc>
          <w:tcPr>
            <w:tcW w:w="759"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c>
          <w:tcPr>
            <w:tcW w:w="198" w:type="dxa"/>
            <w:tcBorders/>
            <w:shd w:fill="CCEEFF" w:val="clear"/>
            <w:vAlign w:val="center"/>
          </w:tcPr>
          <w:p>
            <w:pPr>
              <w:pStyle w:val="TableContents"/>
              <w:spacing w:before="0" w:after="283"/>
              <w:rPr/>
            </w:pPr>
            <w:r>
              <w:rPr/>
              <w:t>)</w:t>
            </w:r>
          </w:p>
        </w:tc>
        <w:tc>
          <w:tcPr>
            <w:tcW w:w="198" w:type="dxa"/>
            <w:tcBorders/>
            <w:shd w:fill="CCEEFF" w:val="clear"/>
            <w:vAlign w:val="center"/>
          </w:tcPr>
          <w:p>
            <w:pPr>
              <w:pStyle w:val="TableContents"/>
              <w:spacing w:before="0" w:after="0"/>
              <w:ind w:left="0" w:right="0" w:hanging="0"/>
              <w:rPr/>
            </w:pPr>
            <w:r>
              <w:rPr/>
              <w:t xml:space="preserve">  </w:t>
            </w:r>
          </w:p>
        </w:tc>
        <w:tc>
          <w:tcPr>
            <w:tcW w:w="263" w:type="dxa"/>
            <w:tcBorders/>
            <w:shd w:fill="CCEEFF" w:val="clear"/>
            <w:vAlign w:val="center"/>
          </w:tcPr>
          <w:p>
            <w:pPr>
              <w:pStyle w:val="TableContents"/>
              <w:spacing w:before="0" w:after="0"/>
              <w:ind w:left="0" w:right="0" w:hanging="0"/>
              <w:rPr/>
            </w:pPr>
            <w:r>
              <w:rPr/>
              <w:t xml:space="preserve">  </w:t>
            </w:r>
          </w:p>
        </w:tc>
        <w:tc>
          <w:tcPr>
            <w:tcW w:w="76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w:t>
            </w:r>
          </w:p>
        </w:tc>
        <w:tc>
          <w:tcPr>
            <w:tcW w:w="237" w:type="dxa"/>
            <w:tcBorders/>
            <w:shd w:fill="CCEEFF" w:val="clear"/>
            <w:vAlign w:val="center"/>
          </w:tcPr>
          <w:p>
            <w:pPr>
              <w:pStyle w:val="TableContents"/>
              <w:spacing w:before="0" w:after="283"/>
              <w:rPr/>
            </w:pPr>
            <w:r>
              <w:rPr/>
              <w:t>)</w:t>
            </w:r>
          </w:p>
        </w:tc>
      </w:tr>
      <w:tr>
        <w:trPr/>
        <w:tc>
          <w:tcPr>
            <w:tcW w:w="581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w:t>
            </w:r>
          </w:p>
        </w:tc>
        <w:tc>
          <w:tcPr>
            <w:tcW w:w="182"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759"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(51</w:t>
            </w:r>
          </w:p>
        </w:tc>
        <w:tc>
          <w:tcPr>
            <w:tcW w:w="198" w:type="dxa"/>
            <w:tcBorders/>
            <w:shd w:fill="auto" w:val="clear"/>
            <w:vAlign w:val="center"/>
          </w:tcPr>
          <w:p>
            <w:pPr>
              <w:pStyle w:val="TableContents"/>
              <w:spacing w:before="0" w:after="283"/>
              <w:rPr/>
            </w:pPr>
            <w:r>
              <w:rPr/>
              <w:t>)</w:t>
            </w:r>
          </w:p>
        </w:tc>
        <w:tc>
          <w:tcPr>
            <w:tcW w:w="198" w:type="dxa"/>
            <w:tcBorders/>
            <w:shd w:fill="auto" w:val="clear"/>
            <w:vAlign w:val="center"/>
          </w:tcPr>
          <w:p>
            <w:pPr>
              <w:pStyle w:val="TableContents"/>
              <w:spacing w:before="0" w:after="0"/>
              <w:ind w:left="0" w:right="0" w:hanging="0"/>
              <w:rPr/>
            </w:pPr>
            <w:r>
              <w:rPr/>
              <w:t xml:space="preserve">  </w:t>
            </w:r>
          </w:p>
        </w:tc>
        <w:tc>
          <w:tcPr>
            <w:tcW w:w="263" w:type="dxa"/>
            <w:tcBorders/>
            <w:shd w:fill="auto" w:val="clear"/>
            <w:vAlign w:val="center"/>
          </w:tcPr>
          <w:p>
            <w:pPr>
              <w:pStyle w:val="TableContents"/>
              <w:spacing w:before="0" w:after="0"/>
              <w:ind w:left="0" w:right="0" w:hanging="0"/>
              <w:rPr/>
            </w:pPr>
            <w:r>
              <w:rPr/>
              <w:t xml:space="preserve">  </w:t>
            </w:r>
          </w:p>
        </w:tc>
        <w:tc>
          <w:tcPr>
            <w:tcW w:w="76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c>
          <w:tcPr>
            <w:tcW w:w="237" w:type="dxa"/>
            <w:tcBorders/>
            <w:shd w:fill="auto" w:val="clear"/>
            <w:vAlign w:val="center"/>
          </w:tcPr>
          <w:p>
            <w:pPr>
              <w:pStyle w:val="TableContents"/>
              <w:spacing w:before="0" w:after="283"/>
              <w:rPr/>
            </w:pPr>
            <w:r>
              <w:rPr/>
              <w:t>)</w:t>
            </w:r>
          </w:p>
        </w:tc>
      </w:tr>
      <w:tr>
        <w:trPr/>
        <w:tc>
          <w:tcPr>
            <w:tcW w:w="581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Change in valuation allowance </w:t>
            </w:r>
          </w:p>
        </w:tc>
        <w:tc>
          <w:tcPr>
            <w:tcW w:w="182" w:type="dxa"/>
            <w:tcBorders/>
            <w:shd w:fill="CCEEFF" w:val="clear"/>
            <w:vAlign w:val="center"/>
          </w:tcPr>
          <w:p>
            <w:pPr>
              <w:pStyle w:val="TableContents"/>
              <w:spacing w:before="0" w:after="0"/>
              <w:ind w:left="0" w:right="0" w:hanging="0"/>
              <w:rPr/>
            </w:pPr>
            <w:r>
              <w:rPr/>
              <w:t xml:space="preserve">  </w:t>
            </w:r>
          </w:p>
        </w:tc>
        <w:tc>
          <w:tcPr>
            <w:tcW w:w="264"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59"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(321</w:t>
            </w:r>
          </w:p>
        </w:tc>
        <w:tc>
          <w:tcPr>
            <w:tcW w:w="198" w:type="dxa"/>
            <w:tcBorders/>
            <w:shd w:fill="CCEEFF" w:val="clear"/>
            <w:vAlign w:val="center"/>
          </w:tcPr>
          <w:p>
            <w:pPr>
              <w:pStyle w:val="TableContents"/>
              <w:spacing w:before="0" w:after="283"/>
              <w:rPr/>
            </w:pPr>
            <w:r>
              <w:rPr/>
              <w:t>)</w:t>
            </w:r>
          </w:p>
        </w:tc>
        <w:tc>
          <w:tcPr>
            <w:tcW w:w="198" w:type="dxa"/>
            <w:tcBorders/>
            <w:shd w:fill="CCEEFF" w:val="clear"/>
            <w:vAlign w:val="center"/>
          </w:tcPr>
          <w:p>
            <w:pPr>
              <w:pStyle w:val="TableContents"/>
              <w:spacing w:before="0" w:after="0"/>
              <w:ind w:left="0" w:right="0" w:hanging="0"/>
              <w:rPr/>
            </w:pPr>
            <w:r>
              <w:rPr/>
              <w:t xml:space="preserve">  </w:t>
            </w:r>
          </w:p>
        </w:tc>
        <w:tc>
          <w:tcPr>
            <w:tcW w:w="263" w:type="dxa"/>
            <w:tcBorders>
              <w:bottom w:val="single" w:sz="6" w:space="0" w:color="000000"/>
            </w:tcBorders>
            <w:shd w:fill="CCEEFF" w:val="clear"/>
            <w:tcMar>
              <w:bottom w:w="28" w:type="dxa"/>
            </w:tcMar>
            <w:vAlign w:val="center"/>
          </w:tcPr>
          <w:p>
            <w:pPr>
              <w:pStyle w:val="TableContents"/>
              <w:spacing w:before="0" w:after="0"/>
              <w:ind w:left="0" w:right="0" w:hanging="0"/>
              <w:rPr/>
            </w:pPr>
            <w:r>
              <w:rPr/>
              <w:t xml:space="preserve">  </w:t>
            </w:r>
          </w:p>
        </w:tc>
        <w:tc>
          <w:tcPr>
            <w:tcW w:w="760" w:type="dxa"/>
            <w:tcBorders>
              <w:bottom w:val="sing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(2,026</w:t>
            </w:r>
          </w:p>
        </w:tc>
        <w:tc>
          <w:tcPr>
            <w:tcW w:w="237" w:type="dxa"/>
            <w:tcBorders/>
            <w:shd w:fill="CCEEFF" w:val="clear"/>
            <w:vAlign w:val="center"/>
          </w:tcPr>
          <w:p>
            <w:pPr>
              <w:pStyle w:val="TableContents"/>
              <w:spacing w:before="0" w:after="283"/>
              <w:rPr/>
            </w:pPr>
            <w:r>
              <w:rPr/>
              <w:t>)</w:t>
            </w:r>
          </w:p>
        </w:tc>
      </w:tr>
      <w:tr>
        <w:trPr/>
        <w:tc>
          <w:tcPr>
            <w:tcW w:w="581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Tax benefit (provision)</w:t>
            </w:r>
          </w:p>
        </w:tc>
        <w:tc>
          <w:tcPr>
            <w:tcW w:w="182" w:type="dxa"/>
            <w:tcBorders/>
            <w:shd w:fill="auto" w:val="clear"/>
            <w:vAlign w:val="center"/>
          </w:tcPr>
          <w:p>
            <w:pPr>
              <w:pStyle w:val="TableContents"/>
              <w:spacing w:before="0" w:after="0"/>
              <w:ind w:left="0" w:right="0" w:hanging="0"/>
              <w:rPr/>
            </w:pPr>
            <w:r>
              <w:rPr/>
              <w:t xml:space="preserve">  </w:t>
            </w:r>
          </w:p>
        </w:tc>
        <w:tc>
          <w:tcPr>
            <w:tcW w:w="26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5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(6,904</w:t>
            </w:r>
          </w:p>
        </w:tc>
        <w:tc>
          <w:tcPr>
            <w:tcW w:w="198" w:type="dxa"/>
            <w:tcBorders/>
            <w:shd w:fill="auto" w:val="clear"/>
            <w:vAlign w:val="center"/>
          </w:tcPr>
          <w:p>
            <w:pPr>
              <w:pStyle w:val="TableContents"/>
              <w:spacing w:before="0" w:after="283"/>
              <w:rPr/>
            </w:pPr>
            <w:r>
              <w:rPr/>
              <w:t>)</w:t>
            </w:r>
          </w:p>
        </w:tc>
        <w:tc>
          <w:tcPr>
            <w:tcW w:w="198" w:type="dxa"/>
            <w:tcBorders/>
            <w:shd w:fill="auto" w:val="clear"/>
            <w:vAlign w:val="center"/>
          </w:tcPr>
          <w:p>
            <w:pPr>
              <w:pStyle w:val="TableContents"/>
              <w:spacing w:before="0" w:after="0"/>
              <w:ind w:left="0" w:right="0" w:hanging="0"/>
              <w:rPr/>
            </w:pPr>
            <w:r>
              <w:rPr/>
              <w:t xml:space="preserve">  </w:t>
            </w:r>
          </w:p>
        </w:tc>
        <w:tc>
          <w:tcPr>
            <w:tcW w:w="26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76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283</w:t>
            </w:r>
          </w:p>
        </w:tc>
        <w:tc>
          <w:tcPr>
            <w:tcW w:w="23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44" w:right="144" w:hanging="0"/>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F-26 |</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rPr/>
      </w:pPr>
      <w:r>
        <w:rPr/>
        <w:t>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t>The tax effects of significant temporary differences representing net deferred tax assets and liabilities consisted of the following:</w:t>
      </w:r>
    </w:p>
    <w:p>
      <w:pPr>
        <w:pStyle w:val="TextBody"/>
        <w:spacing w:lineRule="auto" w:line="240" w:before="0" w:after="0"/>
        <w:ind w:left="0" w:right="0" w:hanging="0"/>
        <w:rPr/>
      </w:pPr>
      <w:r>
        <w:rPr/>
        <w:t> </w:t>
      </w:r>
    </w:p>
    <w:tbl>
      <w:tblPr>
        <w:tblW w:w="4250" w:type="pct"/>
        <w:jc w:val="left"/>
        <w:tblInd w:w="0" w:type="dxa"/>
        <w:tblCellMar>
          <w:top w:w="0" w:type="dxa"/>
          <w:left w:w="0" w:type="dxa"/>
          <w:bottom w:w="0" w:type="dxa"/>
          <w:right w:w="0" w:type="dxa"/>
        </w:tblCellMar>
      </w:tblPr>
      <w:tblGrid>
        <w:gridCol w:w="5489"/>
        <w:gridCol w:w="199"/>
        <w:gridCol w:w="264"/>
        <w:gridCol w:w="901"/>
        <w:gridCol w:w="199"/>
        <w:gridCol w:w="198"/>
        <w:gridCol w:w="265"/>
        <w:gridCol w:w="900"/>
        <w:gridCol w:w="259"/>
      </w:tblGrid>
      <w:tr>
        <w:trPr/>
        <w:tc>
          <w:tcPr>
            <w:tcW w:w="5489" w:type="dxa"/>
            <w:tcBorders/>
            <w:shd w:fill="auto" w:val="clear"/>
            <w:vAlign w:val="center"/>
          </w:tcPr>
          <w:p>
            <w:pPr>
              <w:pStyle w:val="TableContents"/>
              <w:spacing w:before="0" w:after="0"/>
              <w:ind w:left="0" w:right="0" w:hanging="0"/>
              <w:rPr/>
            </w:pPr>
            <w:r>
              <w:rPr/>
              <w:t xml:space="preserve">  </w:t>
            </w:r>
          </w:p>
        </w:tc>
        <w:tc>
          <w:tcPr>
            <w:tcW w:w="199" w:type="dxa"/>
            <w:tcBorders/>
            <w:shd w:fill="auto" w:val="clear"/>
            <w:vAlign w:val="center"/>
          </w:tcPr>
          <w:p>
            <w:pPr>
              <w:pStyle w:val="TableContents"/>
              <w:spacing w:before="0" w:after="0"/>
              <w:ind w:left="0" w:right="0" w:hanging="0"/>
              <w:rPr/>
            </w:pPr>
            <w:r>
              <w:rPr/>
              <w:t xml:space="preserve">  </w:t>
            </w:r>
          </w:p>
        </w:tc>
        <w:tc>
          <w:tcPr>
            <w:tcW w:w="116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2022</w:t>
            </w:r>
          </w:p>
        </w:tc>
        <w:tc>
          <w:tcPr>
            <w:tcW w:w="199"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1165"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2021</w:t>
            </w:r>
          </w:p>
        </w:tc>
        <w:tc>
          <w:tcPr>
            <w:tcW w:w="259" w:type="dxa"/>
            <w:tcBorders/>
            <w:shd w:fill="auto" w:val="clear"/>
            <w:vAlign w:val="center"/>
          </w:tcPr>
          <w:p>
            <w:pPr>
              <w:pStyle w:val="TableContents"/>
              <w:spacing w:before="0" w:after="0"/>
              <w:ind w:left="0" w:right="0" w:hanging="0"/>
              <w:rPr/>
            </w:pPr>
            <w:r>
              <w:rPr/>
              <w:t xml:space="preserve">  </w:t>
            </w:r>
          </w:p>
        </w:tc>
      </w:tr>
      <w:tr>
        <w:trPr/>
        <w:tc>
          <w:tcPr>
            <w:tcW w:w="5489"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Deferred revenue </w:t>
            </w:r>
          </w:p>
        </w:tc>
        <w:tc>
          <w:tcPr>
            <w:tcW w:w="199" w:type="dxa"/>
            <w:tcBorders/>
            <w:shd w:fill="CFF0FC" w:val="clear"/>
            <w:vAlign w:val="center"/>
          </w:tcPr>
          <w:p>
            <w:pPr>
              <w:pStyle w:val="TableContents"/>
              <w:spacing w:before="0" w:after="0"/>
              <w:ind w:left="0" w:right="0" w:hanging="0"/>
              <w:rPr/>
            </w:pPr>
            <w:r>
              <w:rPr/>
              <w:t xml:space="preserve">  </w:t>
            </w:r>
          </w:p>
        </w:tc>
        <w:tc>
          <w:tcPr>
            <w:tcW w:w="264"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1"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11</w:t>
            </w:r>
          </w:p>
        </w:tc>
        <w:tc>
          <w:tcPr>
            <w:tcW w:w="199" w:type="dxa"/>
            <w:tcBorders/>
            <w:shd w:fill="CFF0FC" w:val="clear"/>
            <w:vAlign w:val="center"/>
          </w:tcPr>
          <w:p>
            <w:pPr>
              <w:pStyle w:val="TableContents"/>
              <w:spacing w:before="0" w:after="0"/>
              <w:ind w:left="0" w:right="0" w:hanging="0"/>
              <w:rPr/>
            </w:pPr>
            <w:r>
              <w:rPr/>
              <w:t xml:space="preserve">  </w:t>
            </w:r>
          </w:p>
        </w:tc>
        <w:tc>
          <w:tcPr>
            <w:tcW w:w="198" w:type="dxa"/>
            <w:tcBorders/>
            <w:shd w:fill="CFF0FC" w:val="clear"/>
            <w:vAlign w:val="center"/>
          </w:tcPr>
          <w:p>
            <w:pPr>
              <w:pStyle w:val="TableContents"/>
              <w:spacing w:before="0" w:after="0"/>
              <w:ind w:left="0" w:right="0" w:hanging="0"/>
              <w:rPr/>
            </w:pPr>
            <w:r>
              <w:rPr/>
              <w:t xml:space="preserve">  </w:t>
            </w:r>
          </w:p>
        </w:tc>
        <w:tc>
          <w:tcPr>
            <w:tcW w:w="265"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0"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w:t>
            </w:r>
          </w:p>
        </w:tc>
        <w:tc>
          <w:tcPr>
            <w:tcW w:w="259" w:type="dxa"/>
            <w:tcBorders/>
            <w:shd w:fill="CFF0FC" w:val="clear"/>
            <w:vAlign w:val="center"/>
          </w:tcPr>
          <w:p>
            <w:pPr>
              <w:pStyle w:val="TableContents"/>
              <w:spacing w:before="0" w:after="0"/>
              <w:ind w:left="0" w:right="0" w:hanging="0"/>
              <w:rPr/>
            </w:pPr>
            <w:r>
              <w:rPr/>
              <w:t xml:space="preserve">  </w:t>
            </w:r>
          </w:p>
        </w:tc>
      </w:tr>
      <w:tr>
        <w:trPr/>
        <w:tc>
          <w:tcPr>
            <w:tcW w:w="54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Basis difference in intangible assets </w:t>
            </w:r>
          </w:p>
        </w:tc>
        <w:tc>
          <w:tcPr>
            <w:tcW w:w="199"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90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6,604</w:t>
            </w:r>
          </w:p>
        </w:tc>
        <w:tc>
          <w:tcPr>
            <w:tcW w:w="199"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265" w:type="dxa"/>
            <w:tcBorders/>
            <w:shd w:fill="auto" w:val="clear"/>
            <w:vAlign w:val="center"/>
          </w:tcPr>
          <w:p>
            <w:pPr>
              <w:pStyle w:val="TableContents"/>
              <w:spacing w:before="0" w:after="0"/>
              <w:ind w:left="0" w:right="0" w:hanging="0"/>
              <w:rPr/>
            </w:pPr>
            <w:r>
              <w:rPr/>
              <w:t xml:space="preserve">  </w:t>
            </w:r>
          </w:p>
        </w:tc>
        <w:tc>
          <w:tcPr>
            <w:tcW w:w="90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1,319</w:t>
            </w:r>
          </w:p>
        </w:tc>
        <w:tc>
          <w:tcPr>
            <w:tcW w:w="259" w:type="dxa"/>
            <w:tcBorders/>
            <w:shd w:fill="auto" w:val="clear"/>
            <w:vAlign w:val="center"/>
          </w:tcPr>
          <w:p>
            <w:pPr>
              <w:pStyle w:val="TableContents"/>
              <w:spacing w:before="0" w:after="0"/>
              <w:ind w:left="0" w:right="0" w:hanging="0"/>
              <w:rPr/>
            </w:pPr>
            <w:r>
              <w:rPr/>
              <w:t xml:space="preserve">  </w:t>
            </w:r>
          </w:p>
        </w:tc>
      </w:tr>
      <w:tr>
        <w:trPr/>
        <w:tc>
          <w:tcPr>
            <w:tcW w:w="5489"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Inventory reserve </w:t>
            </w:r>
          </w:p>
        </w:tc>
        <w:tc>
          <w:tcPr>
            <w:tcW w:w="199" w:type="dxa"/>
            <w:tcBorders/>
            <w:shd w:fill="CFF0FC" w:val="clear"/>
            <w:vAlign w:val="center"/>
          </w:tcPr>
          <w:p>
            <w:pPr>
              <w:pStyle w:val="TableContents"/>
              <w:spacing w:before="0" w:after="0"/>
              <w:ind w:left="0" w:right="0" w:hanging="0"/>
              <w:rPr/>
            </w:pPr>
            <w:r>
              <w:rPr/>
              <w:t xml:space="preserve">  </w:t>
            </w:r>
          </w:p>
        </w:tc>
        <w:tc>
          <w:tcPr>
            <w:tcW w:w="264" w:type="dxa"/>
            <w:tcBorders/>
            <w:shd w:fill="CFF0FC" w:val="clear"/>
            <w:vAlign w:val="center"/>
          </w:tcPr>
          <w:p>
            <w:pPr>
              <w:pStyle w:val="TableContents"/>
              <w:spacing w:before="0" w:after="0"/>
              <w:ind w:left="0" w:right="0" w:hanging="0"/>
              <w:rPr/>
            </w:pPr>
            <w:r>
              <w:rPr/>
              <w:t xml:space="preserve">  </w:t>
            </w:r>
          </w:p>
        </w:tc>
        <w:tc>
          <w:tcPr>
            <w:tcW w:w="901"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2,258</w:t>
            </w:r>
          </w:p>
        </w:tc>
        <w:tc>
          <w:tcPr>
            <w:tcW w:w="199" w:type="dxa"/>
            <w:tcBorders/>
            <w:shd w:fill="CFF0FC" w:val="clear"/>
            <w:vAlign w:val="center"/>
          </w:tcPr>
          <w:p>
            <w:pPr>
              <w:pStyle w:val="TableContents"/>
              <w:spacing w:before="0" w:after="0"/>
              <w:ind w:left="0" w:right="0" w:hanging="0"/>
              <w:rPr/>
            </w:pPr>
            <w:r>
              <w:rPr/>
              <w:t xml:space="preserve">  </w:t>
            </w:r>
          </w:p>
        </w:tc>
        <w:tc>
          <w:tcPr>
            <w:tcW w:w="198" w:type="dxa"/>
            <w:tcBorders/>
            <w:shd w:fill="CFF0FC" w:val="clear"/>
            <w:vAlign w:val="center"/>
          </w:tcPr>
          <w:p>
            <w:pPr>
              <w:pStyle w:val="TableContents"/>
              <w:spacing w:before="0" w:after="0"/>
              <w:ind w:left="0" w:right="0" w:hanging="0"/>
              <w:rPr/>
            </w:pPr>
            <w:r>
              <w:rPr/>
              <w:t xml:space="preserve">  </w:t>
            </w:r>
          </w:p>
        </w:tc>
        <w:tc>
          <w:tcPr>
            <w:tcW w:w="265" w:type="dxa"/>
            <w:tcBorders/>
            <w:shd w:fill="CFF0FC" w:val="clear"/>
            <w:vAlign w:val="center"/>
          </w:tcPr>
          <w:p>
            <w:pPr>
              <w:pStyle w:val="TableContents"/>
              <w:spacing w:before="0" w:after="0"/>
              <w:ind w:left="0" w:right="0" w:hanging="0"/>
              <w:rPr/>
            </w:pPr>
            <w:r>
              <w:rPr/>
              <w:t xml:space="preserve">  </w:t>
            </w:r>
          </w:p>
        </w:tc>
        <w:tc>
          <w:tcPr>
            <w:tcW w:w="900"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2,377</w:t>
            </w:r>
          </w:p>
        </w:tc>
        <w:tc>
          <w:tcPr>
            <w:tcW w:w="259" w:type="dxa"/>
            <w:tcBorders/>
            <w:shd w:fill="CFF0FC" w:val="clear"/>
            <w:vAlign w:val="center"/>
          </w:tcPr>
          <w:p>
            <w:pPr>
              <w:pStyle w:val="TableContents"/>
              <w:spacing w:before="0" w:after="0"/>
              <w:ind w:left="0" w:right="0" w:hanging="0"/>
              <w:rPr/>
            </w:pPr>
            <w:r>
              <w:rPr/>
              <w:t xml:space="preserve">  </w:t>
            </w:r>
          </w:p>
        </w:tc>
      </w:tr>
      <w:tr>
        <w:trPr/>
        <w:tc>
          <w:tcPr>
            <w:tcW w:w="54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Net operating loss carryforwards </w:t>
            </w:r>
          </w:p>
        </w:tc>
        <w:tc>
          <w:tcPr>
            <w:tcW w:w="199"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90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3,075</w:t>
            </w:r>
          </w:p>
        </w:tc>
        <w:tc>
          <w:tcPr>
            <w:tcW w:w="199"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265" w:type="dxa"/>
            <w:tcBorders/>
            <w:shd w:fill="auto" w:val="clear"/>
            <w:vAlign w:val="center"/>
          </w:tcPr>
          <w:p>
            <w:pPr>
              <w:pStyle w:val="TableContents"/>
              <w:spacing w:before="0" w:after="0"/>
              <w:ind w:left="0" w:right="0" w:hanging="0"/>
              <w:rPr/>
            </w:pPr>
            <w:r>
              <w:rPr/>
              <w:t xml:space="preserve">  </w:t>
            </w:r>
          </w:p>
        </w:tc>
        <w:tc>
          <w:tcPr>
            <w:tcW w:w="90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7,121</w:t>
            </w:r>
          </w:p>
        </w:tc>
        <w:tc>
          <w:tcPr>
            <w:tcW w:w="259" w:type="dxa"/>
            <w:tcBorders/>
            <w:shd w:fill="auto" w:val="clear"/>
            <w:vAlign w:val="center"/>
          </w:tcPr>
          <w:p>
            <w:pPr>
              <w:pStyle w:val="TableContents"/>
              <w:spacing w:before="0" w:after="0"/>
              <w:ind w:left="0" w:right="0" w:hanging="0"/>
              <w:rPr/>
            </w:pPr>
            <w:r>
              <w:rPr/>
              <w:t xml:space="preserve">  </w:t>
            </w:r>
          </w:p>
        </w:tc>
      </w:tr>
      <w:tr>
        <w:trPr/>
        <w:tc>
          <w:tcPr>
            <w:tcW w:w="5489"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Research and development tax credits </w:t>
            </w:r>
          </w:p>
        </w:tc>
        <w:tc>
          <w:tcPr>
            <w:tcW w:w="199" w:type="dxa"/>
            <w:tcBorders/>
            <w:shd w:fill="CFF0FC" w:val="clear"/>
            <w:vAlign w:val="center"/>
          </w:tcPr>
          <w:p>
            <w:pPr>
              <w:pStyle w:val="TableContents"/>
              <w:spacing w:before="0" w:after="0"/>
              <w:ind w:left="0" w:right="0" w:hanging="0"/>
              <w:rPr/>
            </w:pPr>
            <w:r>
              <w:rPr/>
              <w:t xml:space="preserve">  </w:t>
            </w:r>
          </w:p>
        </w:tc>
        <w:tc>
          <w:tcPr>
            <w:tcW w:w="264" w:type="dxa"/>
            <w:tcBorders/>
            <w:shd w:fill="CFF0FC" w:val="clear"/>
            <w:vAlign w:val="center"/>
          </w:tcPr>
          <w:p>
            <w:pPr>
              <w:pStyle w:val="TableContents"/>
              <w:spacing w:before="0" w:after="0"/>
              <w:ind w:left="0" w:right="0" w:hanging="0"/>
              <w:rPr/>
            </w:pPr>
            <w:r>
              <w:rPr/>
              <w:t xml:space="preserve">  </w:t>
            </w:r>
          </w:p>
        </w:tc>
        <w:tc>
          <w:tcPr>
            <w:tcW w:w="901"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48</w:t>
            </w:r>
          </w:p>
        </w:tc>
        <w:tc>
          <w:tcPr>
            <w:tcW w:w="199" w:type="dxa"/>
            <w:tcBorders/>
            <w:shd w:fill="CFF0FC" w:val="clear"/>
            <w:vAlign w:val="center"/>
          </w:tcPr>
          <w:p>
            <w:pPr>
              <w:pStyle w:val="TableContents"/>
              <w:spacing w:before="0" w:after="0"/>
              <w:ind w:left="0" w:right="0" w:hanging="0"/>
              <w:rPr/>
            </w:pPr>
            <w:r>
              <w:rPr/>
              <w:t xml:space="preserve">  </w:t>
            </w:r>
          </w:p>
        </w:tc>
        <w:tc>
          <w:tcPr>
            <w:tcW w:w="198" w:type="dxa"/>
            <w:tcBorders/>
            <w:shd w:fill="CFF0FC" w:val="clear"/>
            <w:vAlign w:val="center"/>
          </w:tcPr>
          <w:p>
            <w:pPr>
              <w:pStyle w:val="TableContents"/>
              <w:spacing w:before="0" w:after="0"/>
              <w:ind w:left="0" w:right="0" w:hanging="0"/>
              <w:rPr/>
            </w:pPr>
            <w:r>
              <w:rPr/>
              <w:t xml:space="preserve">  </w:t>
            </w:r>
          </w:p>
        </w:tc>
        <w:tc>
          <w:tcPr>
            <w:tcW w:w="265" w:type="dxa"/>
            <w:tcBorders/>
            <w:shd w:fill="CFF0FC" w:val="clear"/>
            <w:vAlign w:val="center"/>
          </w:tcPr>
          <w:p>
            <w:pPr>
              <w:pStyle w:val="TableContents"/>
              <w:spacing w:before="0" w:after="0"/>
              <w:ind w:left="0" w:right="0" w:hanging="0"/>
              <w:rPr/>
            </w:pPr>
            <w:r>
              <w:rPr/>
              <w:t xml:space="preserve">  </w:t>
            </w:r>
          </w:p>
        </w:tc>
        <w:tc>
          <w:tcPr>
            <w:tcW w:w="900"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1,579</w:t>
            </w:r>
          </w:p>
        </w:tc>
        <w:tc>
          <w:tcPr>
            <w:tcW w:w="259" w:type="dxa"/>
            <w:tcBorders/>
            <w:shd w:fill="CFF0FC" w:val="clear"/>
            <w:vAlign w:val="center"/>
          </w:tcPr>
          <w:p>
            <w:pPr>
              <w:pStyle w:val="TableContents"/>
              <w:spacing w:before="0" w:after="0"/>
              <w:ind w:left="0" w:right="0" w:hanging="0"/>
              <w:rPr/>
            </w:pPr>
            <w:r>
              <w:rPr/>
              <w:t xml:space="preserve">  </w:t>
            </w:r>
          </w:p>
        </w:tc>
      </w:tr>
      <w:tr>
        <w:trPr/>
        <w:tc>
          <w:tcPr>
            <w:tcW w:w="54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Accrued expenses </w:t>
            </w:r>
          </w:p>
        </w:tc>
        <w:tc>
          <w:tcPr>
            <w:tcW w:w="199"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90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120</w:t>
            </w:r>
          </w:p>
        </w:tc>
        <w:tc>
          <w:tcPr>
            <w:tcW w:w="199"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265" w:type="dxa"/>
            <w:tcBorders/>
            <w:shd w:fill="auto" w:val="clear"/>
            <w:vAlign w:val="center"/>
          </w:tcPr>
          <w:p>
            <w:pPr>
              <w:pStyle w:val="TableContents"/>
              <w:spacing w:before="0" w:after="0"/>
              <w:ind w:left="0" w:right="0" w:hanging="0"/>
              <w:rPr/>
            </w:pPr>
            <w:r>
              <w:rPr/>
              <w:t xml:space="preserve">  </w:t>
            </w:r>
          </w:p>
        </w:tc>
        <w:tc>
          <w:tcPr>
            <w:tcW w:w="90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43</w:t>
            </w:r>
          </w:p>
        </w:tc>
        <w:tc>
          <w:tcPr>
            <w:tcW w:w="259" w:type="dxa"/>
            <w:tcBorders/>
            <w:shd w:fill="auto" w:val="clear"/>
            <w:vAlign w:val="center"/>
          </w:tcPr>
          <w:p>
            <w:pPr>
              <w:pStyle w:val="TableContents"/>
              <w:spacing w:before="0" w:after="0"/>
              <w:ind w:left="0" w:right="0" w:hanging="0"/>
              <w:rPr/>
            </w:pPr>
            <w:r>
              <w:rPr/>
              <w:t xml:space="preserve">  </w:t>
            </w:r>
          </w:p>
        </w:tc>
      </w:tr>
      <w:tr>
        <w:trPr/>
        <w:tc>
          <w:tcPr>
            <w:tcW w:w="5489"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Stock-based compensation </w:t>
            </w:r>
          </w:p>
        </w:tc>
        <w:tc>
          <w:tcPr>
            <w:tcW w:w="199" w:type="dxa"/>
            <w:tcBorders/>
            <w:shd w:fill="CFF0FC" w:val="clear"/>
            <w:vAlign w:val="center"/>
          </w:tcPr>
          <w:p>
            <w:pPr>
              <w:pStyle w:val="TableContents"/>
              <w:spacing w:before="0" w:after="0"/>
              <w:ind w:left="0" w:right="0" w:hanging="0"/>
              <w:rPr/>
            </w:pPr>
            <w:r>
              <w:rPr/>
              <w:t xml:space="preserve">  </w:t>
            </w:r>
          </w:p>
        </w:tc>
        <w:tc>
          <w:tcPr>
            <w:tcW w:w="264" w:type="dxa"/>
            <w:tcBorders/>
            <w:shd w:fill="CFF0FC" w:val="clear"/>
            <w:vAlign w:val="center"/>
          </w:tcPr>
          <w:p>
            <w:pPr>
              <w:pStyle w:val="TableContents"/>
              <w:spacing w:before="0" w:after="0"/>
              <w:ind w:left="0" w:right="0" w:hanging="0"/>
              <w:rPr/>
            </w:pPr>
            <w:r>
              <w:rPr/>
              <w:t xml:space="preserve">  </w:t>
            </w:r>
          </w:p>
        </w:tc>
        <w:tc>
          <w:tcPr>
            <w:tcW w:w="901"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215</w:t>
            </w:r>
          </w:p>
        </w:tc>
        <w:tc>
          <w:tcPr>
            <w:tcW w:w="199" w:type="dxa"/>
            <w:tcBorders/>
            <w:shd w:fill="CFF0FC" w:val="clear"/>
            <w:vAlign w:val="center"/>
          </w:tcPr>
          <w:p>
            <w:pPr>
              <w:pStyle w:val="TableContents"/>
              <w:spacing w:before="0" w:after="0"/>
              <w:ind w:left="0" w:right="0" w:hanging="0"/>
              <w:rPr/>
            </w:pPr>
            <w:r>
              <w:rPr/>
              <w:t xml:space="preserve">  </w:t>
            </w:r>
          </w:p>
        </w:tc>
        <w:tc>
          <w:tcPr>
            <w:tcW w:w="198" w:type="dxa"/>
            <w:tcBorders/>
            <w:shd w:fill="CFF0FC" w:val="clear"/>
            <w:vAlign w:val="center"/>
          </w:tcPr>
          <w:p>
            <w:pPr>
              <w:pStyle w:val="TableContents"/>
              <w:spacing w:before="0" w:after="0"/>
              <w:ind w:left="0" w:right="0" w:hanging="0"/>
              <w:rPr/>
            </w:pPr>
            <w:r>
              <w:rPr/>
              <w:t xml:space="preserve">  </w:t>
            </w:r>
          </w:p>
        </w:tc>
        <w:tc>
          <w:tcPr>
            <w:tcW w:w="265" w:type="dxa"/>
            <w:tcBorders/>
            <w:shd w:fill="CFF0FC" w:val="clear"/>
            <w:vAlign w:val="center"/>
          </w:tcPr>
          <w:p>
            <w:pPr>
              <w:pStyle w:val="TableContents"/>
              <w:spacing w:before="0" w:after="0"/>
              <w:ind w:left="0" w:right="0" w:hanging="0"/>
              <w:rPr/>
            </w:pPr>
            <w:r>
              <w:rPr/>
              <w:t xml:space="preserve">  </w:t>
            </w:r>
          </w:p>
        </w:tc>
        <w:tc>
          <w:tcPr>
            <w:tcW w:w="900"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308</w:t>
            </w:r>
          </w:p>
        </w:tc>
        <w:tc>
          <w:tcPr>
            <w:tcW w:w="259" w:type="dxa"/>
            <w:tcBorders/>
            <w:shd w:fill="CFF0FC" w:val="clear"/>
            <w:vAlign w:val="center"/>
          </w:tcPr>
          <w:p>
            <w:pPr>
              <w:pStyle w:val="TableContents"/>
              <w:spacing w:before="0" w:after="0"/>
              <w:ind w:left="0" w:right="0" w:hanging="0"/>
              <w:rPr/>
            </w:pPr>
            <w:r>
              <w:rPr/>
              <w:t xml:space="preserve">  </w:t>
            </w:r>
          </w:p>
        </w:tc>
      </w:tr>
      <w:tr>
        <w:trPr/>
        <w:tc>
          <w:tcPr>
            <w:tcW w:w="54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Allowance for sales returns and doubtful accounts </w:t>
            </w:r>
          </w:p>
        </w:tc>
        <w:tc>
          <w:tcPr>
            <w:tcW w:w="199" w:type="dxa"/>
            <w:tcBorders/>
            <w:shd w:fill="auto" w:val="clear"/>
            <w:vAlign w:val="center"/>
          </w:tcPr>
          <w:p>
            <w:pPr>
              <w:pStyle w:val="TableContents"/>
              <w:spacing w:before="0" w:after="0"/>
              <w:ind w:left="0" w:right="0" w:hanging="0"/>
              <w:rPr/>
            </w:pPr>
            <w:r>
              <w:rPr/>
              <w:t xml:space="preserve">  </w:t>
            </w:r>
          </w:p>
        </w:tc>
        <w:tc>
          <w:tcPr>
            <w:tcW w:w="264" w:type="dxa"/>
            <w:tcBorders/>
            <w:shd w:fill="auto" w:val="clear"/>
            <w:vAlign w:val="center"/>
          </w:tcPr>
          <w:p>
            <w:pPr>
              <w:pStyle w:val="TableContents"/>
              <w:spacing w:before="0" w:after="0"/>
              <w:ind w:left="0" w:right="0" w:hanging="0"/>
              <w:rPr/>
            </w:pPr>
            <w:r>
              <w:rPr/>
              <w:t xml:space="preserve">  </w:t>
            </w:r>
          </w:p>
        </w:tc>
        <w:tc>
          <w:tcPr>
            <w:tcW w:w="901"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81</w:t>
            </w:r>
          </w:p>
        </w:tc>
        <w:tc>
          <w:tcPr>
            <w:tcW w:w="199"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265" w:type="dxa"/>
            <w:tcBorders/>
            <w:shd w:fill="auto" w:val="clear"/>
            <w:vAlign w:val="center"/>
          </w:tcPr>
          <w:p>
            <w:pPr>
              <w:pStyle w:val="TableContents"/>
              <w:spacing w:before="0" w:after="0"/>
              <w:ind w:left="0" w:right="0" w:hanging="0"/>
              <w:rPr/>
            </w:pPr>
            <w:r>
              <w:rPr/>
              <w:t xml:space="preserve">  </w:t>
            </w:r>
          </w:p>
        </w:tc>
        <w:tc>
          <w:tcPr>
            <w:tcW w:w="900"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w:t>
            </w:r>
          </w:p>
        </w:tc>
        <w:tc>
          <w:tcPr>
            <w:tcW w:w="259" w:type="dxa"/>
            <w:tcBorders/>
            <w:shd w:fill="auto" w:val="clear"/>
            <w:vAlign w:val="center"/>
          </w:tcPr>
          <w:p>
            <w:pPr>
              <w:pStyle w:val="TableContents"/>
              <w:spacing w:before="0" w:after="0"/>
              <w:ind w:left="0" w:right="0" w:hanging="0"/>
              <w:rPr/>
            </w:pPr>
            <w:r>
              <w:rPr/>
              <w:t xml:space="preserve">  </w:t>
            </w:r>
          </w:p>
        </w:tc>
      </w:tr>
      <w:tr>
        <w:trPr/>
        <w:tc>
          <w:tcPr>
            <w:tcW w:w="5489" w:type="dxa"/>
            <w:tcBorders/>
            <w:shd w:fill="CFF0FC"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Difference in property and equipment basis </w:t>
            </w:r>
          </w:p>
        </w:tc>
        <w:tc>
          <w:tcPr>
            <w:tcW w:w="199" w:type="dxa"/>
            <w:tcBorders/>
            <w:shd w:fill="CFF0FC" w:val="clear"/>
            <w:vAlign w:val="center"/>
          </w:tcPr>
          <w:p>
            <w:pPr>
              <w:pStyle w:val="TableContents"/>
              <w:spacing w:before="0" w:after="0"/>
              <w:ind w:left="0" w:right="0" w:hanging="0"/>
              <w:rPr/>
            </w:pPr>
            <w:r>
              <w:rPr/>
              <w:t xml:space="preserve">  </w:t>
            </w:r>
          </w:p>
        </w:tc>
        <w:tc>
          <w:tcPr>
            <w:tcW w:w="264" w:type="dxa"/>
            <w:tcBorders/>
            <w:shd w:fill="CFF0FC" w:val="clear"/>
            <w:vAlign w:val="center"/>
          </w:tcPr>
          <w:p>
            <w:pPr>
              <w:pStyle w:val="TableContents"/>
              <w:spacing w:before="0" w:after="0"/>
              <w:ind w:left="0" w:right="0" w:hanging="0"/>
              <w:rPr/>
            </w:pPr>
            <w:r>
              <w:rPr/>
              <w:t xml:space="preserve">  </w:t>
            </w:r>
          </w:p>
        </w:tc>
        <w:tc>
          <w:tcPr>
            <w:tcW w:w="901"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(83</w:t>
            </w:r>
          </w:p>
        </w:tc>
        <w:tc>
          <w:tcPr>
            <w:tcW w:w="199" w:type="dxa"/>
            <w:tcBorders/>
            <w:shd w:fill="CFF0FC" w:val="clear"/>
            <w:vAlign w:val="center"/>
          </w:tcPr>
          <w:p>
            <w:pPr>
              <w:pStyle w:val="TableContents"/>
              <w:spacing w:before="0" w:after="283"/>
              <w:rPr/>
            </w:pPr>
            <w:r>
              <w:rPr/>
              <w:t>)</w:t>
            </w:r>
          </w:p>
        </w:tc>
        <w:tc>
          <w:tcPr>
            <w:tcW w:w="198" w:type="dxa"/>
            <w:tcBorders/>
            <w:shd w:fill="CFF0FC" w:val="clear"/>
            <w:vAlign w:val="center"/>
          </w:tcPr>
          <w:p>
            <w:pPr>
              <w:pStyle w:val="TableContents"/>
              <w:spacing w:before="0" w:after="0"/>
              <w:ind w:left="0" w:right="0" w:hanging="0"/>
              <w:rPr/>
            </w:pPr>
            <w:r>
              <w:rPr/>
              <w:t xml:space="preserve">  </w:t>
            </w:r>
          </w:p>
        </w:tc>
        <w:tc>
          <w:tcPr>
            <w:tcW w:w="265" w:type="dxa"/>
            <w:tcBorders/>
            <w:shd w:fill="CFF0FC" w:val="clear"/>
            <w:vAlign w:val="center"/>
          </w:tcPr>
          <w:p>
            <w:pPr>
              <w:pStyle w:val="TableContents"/>
              <w:spacing w:before="0" w:after="0"/>
              <w:ind w:left="0" w:right="0" w:hanging="0"/>
              <w:rPr/>
            </w:pPr>
            <w:r>
              <w:rPr/>
              <w:t xml:space="preserve">  </w:t>
            </w:r>
          </w:p>
        </w:tc>
        <w:tc>
          <w:tcPr>
            <w:tcW w:w="900"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(124</w:t>
            </w:r>
          </w:p>
        </w:tc>
        <w:tc>
          <w:tcPr>
            <w:tcW w:w="259" w:type="dxa"/>
            <w:tcBorders/>
            <w:shd w:fill="CFF0FC" w:val="clear"/>
            <w:vAlign w:val="center"/>
          </w:tcPr>
          <w:p>
            <w:pPr>
              <w:pStyle w:val="TableContents"/>
              <w:spacing w:before="0" w:after="283"/>
              <w:rPr/>
            </w:pPr>
            <w:r>
              <w:rPr/>
              <w:t>)</w:t>
            </w:r>
          </w:p>
        </w:tc>
      </w:tr>
      <w:tr>
        <w:trPr/>
        <w:tc>
          <w:tcPr>
            <w:tcW w:w="5489" w:type="dxa"/>
            <w:tcBorders/>
            <w:shd w:fill="auto" w:val="clear"/>
            <w:vAlign w:val="center"/>
          </w:tcPr>
          <w:p>
            <w:pPr>
              <w:pStyle w:val="TableContents"/>
              <w:spacing w:before="0" w:after="283"/>
              <w:rPr/>
            </w:pPr>
            <w:r>
              <w:rPr/>
              <w:t>Convertible debt</w:t>
            </w:r>
          </w:p>
        </w:tc>
        <w:tc>
          <w:tcPr>
            <w:tcW w:w="199" w:type="dxa"/>
            <w:tcBorders/>
            <w:shd w:fill="auto" w:val="clear"/>
            <w:vAlign w:val="center"/>
          </w:tcPr>
          <w:p>
            <w:pPr>
              <w:pStyle w:val="TableContents"/>
              <w:spacing w:before="0" w:after="283"/>
              <w:rPr/>
            </w:pPr>
            <w:r>
              <w:rPr/>
            </w:r>
          </w:p>
        </w:tc>
        <w:tc>
          <w:tcPr>
            <w:tcW w:w="264" w:type="dxa"/>
            <w:tcBorders/>
            <w:shd w:fill="auto" w:val="clear"/>
            <w:vAlign w:val="center"/>
          </w:tcPr>
          <w:p>
            <w:pPr>
              <w:pStyle w:val="TableContents"/>
              <w:spacing w:before="0" w:after="283"/>
              <w:rPr/>
            </w:pPr>
            <w:r>
              <w:rPr/>
            </w:r>
          </w:p>
        </w:tc>
        <w:tc>
          <w:tcPr>
            <w:tcW w:w="901" w:type="dxa"/>
            <w:tcBorders/>
            <w:shd w:fill="auto" w:val="clear"/>
            <w:vAlign w:val="center"/>
          </w:tcPr>
          <w:p>
            <w:pPr>
              <w:pStyle w:val="TableContents"/>
              <w:spacing w:before="0" w:after="283"/>
              <w:jc w:val="right"/>
              <w:rPr/>
            </w:pPr>
            <w:r>
              <w:rPr/>
              <w:t>(110</w:t>
            </w:r>
          </w:p>
        </w:tc>
        <w:tc>
          <w:tcPr>
            <w:tcW w:w="199" w:type="dxa"/>
            <w:tcBorders/>
            <w:shd w:fill="auto" w:val="clear"/>
            <w:vAlign w:val="center"/>
          </w:tcPr>
          <w:p>
            <w:pPr>
              <w:pStyle w:val="TableContents"/>
              <w:spacing w:before="0" w:after="283"/>
              <w:rPr/>
            </w:pPr>
            <w:r>
              <w:rPr/>
              <w:t>)</w:t>
            </w:r>
          </w:p>
        </w:tc>
        <w:tc>
          <w:tcPr>
            <w:tcW w:w="198" w:type="dxa"/>
            <w:tcBorders/>
            <w:shd w:fill="auto" w:val="clear"/>
            <w:vAlign w:val="center"/>
          </w:tcPr>
          <w:p>
            <w:pPr>
              <w:pStyle w:val="TableContents"/>
              <w:spacing w:before="0" w:after="283"/>
              <w:rPr/>
            </w:pPr>
            <w:r>
              <w:rPr/>
            </w:r>
          </w:p>
        </w:tc>
        <w:tc>
          <w:tcPr>
            <w:tcW w:w="265" w:type="dxa"/>
            <w:tcBorders/>
            <w:shd w:fill="auto" w:val="clear"/>
            <w:vAlign w:val="center"/>
          </w:tcPr>
          <w:p>
            <w:pPr>
              <w:pStyle w:val="TableContents"/>
              <w:spacing w:before="0" w:after="283"/>
              <w:rPr/>
            </w:pPr>
            <w:r>
              <w:rPr/>
            </w:r>
          </w:p>
        </w:tc>
        <w:tc>
          <w:tcPr>
            <w:tcW w:w="900" w:type="dxa"/>
            <w:tcBorders/>
            <w:shd w:fill="auto" w:val="clear"/>
            <w:vAlign w:val="center"/>
          </w:tcPr>
          <w:p>
            <w:pPr>
              <w:pStyle w:val="TableContents"/>
              <w:spacing w:before="0" w:after="283"/>
              <w:jc w:val="right"/>
              <w:rPr/>
            </w:pPr>
            <w:r>
              <w:rPr/>
              <w:t>(112</w:t>
            </w:r>
          </w:p>
        </w:tc>
        <w:tc>
          <w:tcPr>
            <w:tcW w:w="259" w:type="dxa"/>
            <w:tcBorders/>
            <w:shd w:fill="auto" w:val="clear"/>
            <w:vAlign w:val="center"/>
          </w:tcPr>
          <w:p>
            <w:pPr>
              <w:pStyle w:val="TableContents"/>
              <w:spacing w:before="0" w:after="283"/>
              <w:rPr/>
            </w:pPr>
            <w:r>
              <w:rPr/>
              <w:t>)</w:t>
            </w:r>
          </w:p>
        </w:tc>
      </w:tr>
      <w:tr>
        <w:trPr/>
        <w:tc>
          <w:tcPr>
            <w:tcW w:w="5489" w:type="dxa"/>
            <w:tcBorders/>
            <w:shd w:fill="CFF0FC" w:val="clear"/>
            <w:vAlign w:val="center"/>
          </w:tcPr>
          <w:p>
            <w:pPr>
              <w:pStyle w:val="TableContents"/>
              <w:spacing w:before="0" w:after="283"/>
              <w:rPr/>
            </w:pPr>
            <w:r>
              <w:rPr/>
              <w:t>Capitalized research expenditure</w:t>
            </w:r>
          </w:p>
        </w:tc>
        <w:tc>
          <w:tcPr>
            <w:tcW w:w="199" w:type="dxa"/>
            <w:tcBorders/>
            <w:shd w:fill="CFF0FC" w:val="clear"/>
            <w:vAlign w:val="center"/>
          </w:tcPr>
          <w:p>
            <w:pPr>
              <w:pStyle w:val="TableContents"/>
              <w:spacing w:before="0" w:after="283"/>
              <w:rPr/>
            </w:pPr>
            <w:r>
              <w:rPr/>
            </w:r>
          </w:p>
        </w:tc>
        <w:tc>
          <w:tcPr>
            <w:tcW w:w="264" w:type="dxa"/>
            <w:tcBorders/>
            <w:shd w:fill="CFF0FC" w:val="clear"/>
            <w:vAlign w:val="center"/>
          </w:tcPr>
          <w:p>
            <w:pPr>
              <w:pStyle w:val="TableContents"/>
              <w:spacing w:before="0" w:after="283"/>
              <w:rPr/>
            </w:pPr>
            <w:r>
              <w:rPr/>
            </w:r>
          </w:p>
        </w:tc>
        <w:tc>
          <w:tcPr>
            <w:tcW w:w="901" w:type="dxa"/>
            <w:tcBorders/>
            <w:shd w:fill="CFF0FC" w:val="clear"/>
            <w:vAlign w:val="center"/>
          </w:tcPr>
          <w:p>
            <w:pPr>
              <w:pStyle w:val="TableContents"/>
              <w:spacing w:before="0" w:after="283"/>
              <w:jc w:val="right"/>
              <w:rPr/>
            </w:pPr>
            <w:r>
              <w:rPr/>
              <w:t>922</w:t>
            </w:r>
          </w:p>
        </w:tc>
        <w:tc>
          <w:tcPr>
            <w:tcW w:w="199" w:type="dxa"/>
            <w:tcBorders/>
            <w:shd w:fill="CFF0FC" w:val="clear"/>
            <w:vAlign w:val="center"/>
          </w:tcPr>
          <w:p>
            <w:pPr>
              <w:pStyle w:val="TableContents"/>
              <w:spacing w:before="0" w:after="283"/>
              <w:rPr/>
            </w:pPr>
            <w:r>
              <w:rPr/>
            </w:r>
          </w:p>
        </w:tc>
        <w:tc>
          <w:tcPr>
            <w:tcW w:w="198" w:type="dxa"/>
            <w:tcBorders/>
            <w:shd w:fill="CFF0FC" w:val="clear"/>
            <w:vAlign w:val="center"/>
          </w:tcPr>
          <w:p>
            <w:pPr>
              <w:pStyle w:val="TableContents"/>
              <w:spacing w:before="0" w:after="283"/>
              <w:rPr/>
            </w:pPr>
            <w:r>
              <w:rPr/>
            </w:r>
          </w:p>
        </w:tc>
        <w:tc>
          <w:tcPr>
            <w:tcW w:w="265" w:type="dxa"/>
            <w:tcBorders/>
            <w:shd w:fill="CFF0FC" w:val="clear"/>
            <w:vAlign w:val="center"/>
          </w:tcPr>
          <w:p>
            <w:pPr>
              <w:pStyle w:val="TableContents"/>
              <w:spacing w:before="0" w:after="283"/>
              <w:rPr/>
            </w:pPr>
            <w:r>
              <w:rPr/>
            </w:r>
          </w:p>
        </w:tc>
        <w:tc>
          <w:tcPr>
            <w:tcW w:w="900" w:type="dxa"/>
            <w:tcBorders/>
            <w:shd w:fill="CFF0FC" w:val="clear"/>
            <w:vAlign w:val="center"/>
          </w:tcPr>
          <w:p>
            <w:pPr>
              <w:pStyle w:val="TableContents"/>
              <w:spacing w:before="0" w:after="283"/>
              <w:jc w:val="right"/>
              <w:rPr/>
            </w:pPr>
            <w:r>
              <w:rPr/>
              <w:t>—</w:t>
            </w:r>
          </w:p>
        </w:tc>
        <w:tc>
          <w:tcPr>
            <w:tcW w:w="259" w:type="dxa"/>
            <w:tcBorders/>
            <w:shd w:fill="CFF0FC" w:val="clear"/>
            <w:vAlign w:val="center"/>
          </w:tcPr>
          <w:p>
            <w:pPr>
              <w:pStyle w:val="TableContents"/>
              <w:spacing w:before="0" w:after="283"/>
              <w:rPr/>
            </w:pPr>
            <w:r>
              <w:rPr/>
            </w:r>
          </w:p>
        </w:tc>
      </w:tr>
      <w:tr>
        <w:trPr/>
        <w:tc>
          <w:tcPr>
            <w:tcW w:w="548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Other </w:t>
            </w:r>
          </w:p>
        </w:tc>
        <w:tc>
          <w:tcPr>
            <w:tcW w:w="199" w:type="dxa"/>
            <w:tcBorders/>
            <w:shd w:fill="auto" w:val="clear"/>
            <w:vAlign w:val="center"/>
          </w:tcPr>
          <w:p>
            <w:pPr>
              <w:pStyle w:val="TableContents"/>
              <w:spacing w:before="0" w:after="0"/>
              <w:ind w:left="0" w:right="0" w:hanging="0"/>
              <w:rPr/>
            </w:pPr>
            <w:r>
              <w:rPr/>
              <w:t xml:space="preserve">  </w:t>
            </w:r>
          </w:p>
        </w:tc>
        <w:tc>
          <w:tcPr>
            <w:tcW w:w="264"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01"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364</w:t>
            </w:r>
          </w:p>
        </w:tc>
        <w:tc>
          <w:tcPr>
            <w:tcW w:w="199" w:type="dxa"/>
            <w:tcBorders/>
            <w:shd w:fill="auto" w:val="clear"/>
            <w:vAlign w:val="center"/>
          </w:tcPr>
          <w:p>
            <w:pPr>
              <w:pStyle w:val="TableContents"/>
              <w:spacing w:before="0" w:after="0"/>
              <w:ind w:left="0" w:right="0" w:hanging="0"/>
              <w:rPr/>
            </w:pPr>
            <w:r>
              <w:rPr/>
              <w:t xml:space="preserve">  </w:t>
            </w:r>
          </w:p>
        </w:tc>
        <w:tc>
          <w:tcPr>
            <w:tcW w:w="198" w:type="dxa"/>
            <w:tcBorders/>
            <w:shd w:fill="auto" w:val="clear"/>
            <w:vAlign w:val="center"/>
          </w:tcPr>
          <w:p>
            <w:pPr>
              <w:pStyle w:val="TableContents"/>
              <w:spacing w:before="0" w:after="0"/>
              <w:ind w:left="0" w:right="0" w:hanging="0"/>
              <w:rPr/>
            </w:pPr>
            <w:r>
              <w:rPr/>
              <w:t xml:space="preserve">  </w:t>
            </w:r>
          </w:p>
        </w:tc>
        <w:tc>
          <w:tcPr>
            <w:tcW w:w="26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0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581</w:t>
            </w:r>
          </w:p>
        </w:tc>
        <w:tc>
          <w:tcPr>
            <w:tcW w:w="259" w:type="dxa"/>
            <w:tcBorders/>
            <w:shd w:fill="auto" w:val="clear"/>
            <w:vAlign w:val="center"/>
          </w:tcPr>
          <w:p>
            <w:pPr>
              <w:pStyle w:val="TableContents"/>
              <w:spacing w:before="0" w:after="0"/>
              <w:ind w:left="0" w:right="0" w:hanging="0"/>
              <w:rPr/>
            </w:pPr>
            <w:r>
              <w:rPr/>
              <w:t xml:space="preserve">  </w:t>
            </w:r>
          </w:p>
        </w:tc>
      </w:tr>
      <w:tr>
        <w:trPr/>
        <w:tc>
          <w:tcPr>
            <w:tcW w:w="5489" w:type="dxa"/>
            <w:tcBorders/>
            <w:shd w:fill="CFF0FC"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Total net deferred income tax asset </w:t>
            </w:r>
          </w:p>
        </w:tc>
        <w:tc>
          <w:tcPr>
            <w:tcW w:w="199" w:type="dxa"/>
            <w:tcBorders/>
            <w:shd w:fill="CFF0FC" w:val="clear"/>
            <w:vAlign w:val="center"/>
          </w:tcPr>
          <w:p>
            <w:pPr>
              <w:pStyle w:val="TableContents"/>
              <w:spacing w:before="0" w:after="0"/>
              <w:ind w:left="0" w:right="0" w:hanging="0"/>
              <w:rPr/>
            </w:pPr>
            <w:r>
              <w:rPr/>
              <w:t xml:space="preserve">  </w:t>
            </w:r>
          </w:p>
        </w:tc>
        <w:tc>
          <w:tcPr>
            <w:tcW w:w="264" w:type="dxa"/>
            <w:tcBorders/>
            <w:shd w:fill="CFF0FC" w:val="clear"/>
            <w:vAlign w:val="center"/>
          </w:tcPr>
          <w:p>
            <w:pPr>
              <w:pStyle w:val="TableContents"/>
              <w:spacing w:before="0" w:after="0"/>
              <w:ind w:left="0" w:right="0" w:hanging="0"/>
              <w:rPr/>
            </w:pPr>
            <w:r>
              <w:rPr/>
              <w:t xml:space="preserve">  </w:t>
            </w:r>
          </w:p>
        </w:tc>
        <w:tc>
          <w:tcPr>
            <w:tcW w:w="901"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13,505</w:t>
            </w:r>
          </w:p>
        </w:tc>
        <w:tc>
          <w:tcPr>
            <w:tcW w:w="199" w:type="dxa"/>
            <w:tcBorders/>
            <w:shd w:fill="CFF0FC" w:val="clear"/>
            <w:vAlign w:val="center"/>
          </w:tcPr>
          <w:p>
            <w:pPr>
              <w:pStyle w:val="TableContents"/>
              <w:spacing w:before="0" w:after="0"/>
              <w:ind w:left="0" w:right="0" w:hanging="0"/>
              <w:rPr/>
            </w:pPr>
            <w:r>
              <w:rPr/>
              <w:t xml:space="preserve">  </w:t>
            </w:r>
          </w:p>
        </w:tc>
        <w:tc>
          <w:tcPr>
            <w:tcW w:w="198" w:type="dxa"/>
            <w:tcBorders/>
            <w:shd w:fill="CFF0FC" w:val="clear"/>
            <w:vAlign w:val="center"/>
          </w:tcPr>
          <w:p>
            <w:pPr>
              <w:pStyle w:val="TableContents"/>
              <w:spacing w:before="0" w:after="0"/>
              <w:ind w:left="0" w:right="0" w:hanging="0"/>
              <w:rPr/>
            </w:pPr>
            <w:r>
              <w:rPr/>
              <w:t xml:space="preserve">  </w:t>
            </w:r>
          </w:p>
        </w:tc>
        <w:tc>
          <w:tcPr>
            <w:tcW w:w="265" w:type="dxa"/>
            <w:tcBorders/>
            <w:shd w:fill="CFF0FC" w:val="clear"/>
            <w:vAlign w:val="center"/>
          </w:tcPr>
          <w:p>
            <w:pPr>
              <w:pStyle w:val="TableContents"/>
              <w:spacing w:before="0" w:after="0"/>
              <w:ind w:left="0" w:right="0" w:hanging="0"/>
              <w:rPr/>
            </w:pPr>
            <w:r>
              <w:rPr/>
              <w:t xml:space="preserve">  </w:t>
            </w:r>
          </w:p>
        </w:tc>
        <w:tc>
          <w:tcPr>
            <w:tcW w:w="900" w:type="dxa"/>
            <w:tcBorders/>
            <w:shd w:fill="CFF0FC"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13,184</w:t>
            </w:r>
          </w:p>
        </w:tc>
        <w:tc>
          <w:tcPr>
            <w:tcW w:w="259" w:type="dxa"/>
            <w:tcBorders/>
            <w:shd w:fill="CFF0FC" w:val="clear"/>
            <w:vAlign w:val="center"/>
          </w:tcPr>
          <w:p>
            <w:pPr>
              <w:pStyle w:val="TableContents"/>
              <w:spacing w:before="0" w:after="0"/>
              <w:ind w:left="0" w:right="0" w:hanging="0"/>
              <w:rPr/>
            </w:pPr>
            <w:r>
              <w:rPr/>
              <w:t xml:space="preserve">  </w:t>
            </w:r>
          </w:p>
        </w:tc>
      </w:tr>
      <w:tr>
        <w:trPr/>
        <w:tc>
          <w:tcPr>
            <w:tcW w:w="5489"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Less: Valuation allowance </w:t>
            </w:r>
          </w:p>
        </w:tc>
        <w:tc>
          <w:tcPr>
            <w:tcW w:w="199" w:type="dxa"/>
            <w:tcBorders/>
            <w:shd w:fill="auto" w:val="clear"/>
            <w:vAlign w:val="center"/>
          </w:tcPr>
          <w:p>
            <w:pPr>
              <w:pStyle w:val="TableContents"/>
              <w:spacing w:before="0" w:after="0"/>
              <w:ind w:left="0" w:right="0" w:hanging="0"/>
              <w:rPr/>
            </w:pPr>
            <w:r>
              <w:rPr/>
              <w:t xml:space="preserve">  </w:t>
            </w:r>
          </w:p>
        </w:tc>
        <w:tc>
          <w:tcPr>
            <w:tcW w:w="264"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01"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(13,505</w:t>
            </w:r>
          </w:p>
        </w:tc>
        <w:tc>
          <w:tcPr>
            <w:tcW w:w="199" w:type="dxa"/>
            <w:tcBorders/>
            <w:shd w:fill="auto" w:val="clear"/>
            <w:vAlign w:val="center"/>
          </w:tcPr>
          <w:p>
            <w:pPr>
              <w:pStyle w:val="TableContents"/>
              <w:spacing w:before="0" w:after="283"/>
              <w:rPr/>
            </w:pPr>
            <w:r>
              <w:rPr/>
              <w:t>)</w:t>
            </w:r>
          </w:p>
        </w:tc>
        <w:tc>
          <w:tcPr>
            <w:tcW w:w="198" w:type="dxa"/>
            <w:tcBorders/>
            <w:shd w:fill="auto" w:val="clear"/>
            <w:vAlign w:val="center"/>
          </w:tcPr>
          <w:p>
            <w:pPr>
              <w:pStyle w:val="TableContents"/>
              <w:spacing w:before="0" w:after="0"/>
              <w:ind w:left="0" w:right="0" w:hanging="0"/>
              <w:rPr/>
            </w:pPr>
            <w:r>
              <w:rPr/>
              <w:t xml:space="preserve">  </w:t>
            </w:r>
          </w:p>
        </w:tc>
        <w:tc>
          <w:tcPr>
            <w:tcW w:w="265"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900"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(13,184</w:t>
            </w:r>
          </w:p>
        </w:tc>
        <w:tc>
          <w:tcPr>
            <w:tcW w:w="259" w:type="dxa"/>
            <w:tcBorders/>
            <w:shd w:fill="auto" w:val="clear"/>
            <w:vAlign w:val="center"/>
          </w:tcPr>
          <w:p>
            <w:pPr>
              <w:pStyle w:val="TableContents"/>
              <w:spacing w:before="0" w:after="283"/>
              <w:rPr/>
            </w:pPr>
            <w:r>
              <w:rPr/>
              <w:t>)</w:t>
            </w:r>
          </w:p>
        </w:tc>
      </w:tr>
      <w:tr>
        <w:trPr/>
        <w:tc>
          <w:tcPr>
            <w:tcW w:w="5489" w:type="dxa"/>
            <w:tcBorders/>
            <w:shd w:fill="CFF0FC"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Net deferred income tax asset (liability) </w:t>
            </w:r>
          </w:p>
        </w:tc>
        <w:tc>
          <w:tcPr>
            <w:tcW w:w="199" w:type="dxa"/>
            <w:tcBorders/>
            <w:shd w:fill="CFF0FC" w:val="clear"/>
            <w:vAlign w:val="center"/>
          </w:tcPr>
          <w:p>
            <w:pPr>
              <w:pStyle w:val="TableContents"/>
              <w:spacing w:before="0" w:after="0"/>
              <w:ind w:left="0" w:right="0" w:hanging="0"/>
              <w:rPr/>
            </w:pPr>
            <w:r>
              <w:rPr/>
              <w:t xml:space="preserve">  </w:t>
            </w:r>
          </w:p>
        </w:tc>
        <w:tc>
          <w:tcPr>
            <w:tcW w:w="264" w:type="dxa"/>
            <w:tcBorders>
              <w:bottom w:val="double" w:sz="6" w:space="0" w:color="000000"/>
            </w:tcBorders>
            <w:shd w:fill="CFF0FC"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1" w:type="dxa"/>
            <w:tcBorders>
              <w:bottom w:val="double" w:sz="6" w:space="0" w:color="000000"/>
            </w:tcBorders>
            <w:shd w:fill="CFF0FC" w:val="clear"/>
            <w:tcMar>
              <w:bottom w:w="28" w:type="dxa"/>
            </w:tcMar>
            <w:vAlign w:val="center"/>
          </w:tcPr>
          <w:p>
            <w:pPr>
              <w:pStyle w:val="TableContents"/>
              <w:spacing w:before="0" w:after="0"/>
              <w:ind w:left="0" w:right="0" w:hanging="0"/>
              <w:jc w:val="right"/>
              <w:rPr/>
            </w:pPr>
            <w:r>
              <w:rPr/>
              <w:t>—</w:t>
            </w:r>
          </w:p>
        </w:tc>
        <w:tc>
          <w:tcPr>
            <w:tcW w:w="199" w:type="dxa"/>
            <w:tcBorders/>
            <w:shd w:fill="CFF0FC" w:val="clear"/>
            <w:vAlign w:val="center"/>
          </w:tcPr>
          <w:p>
            <w:pPr>
              <w:pStyle w:val="TableContents"/>
              <w:spacing w:before="0" w:after="0"/>
              <w:ind w:left="0" w:right="0" w:hanging="0"/>
              <w:rPr/>
            </w:pPr>
            <w:r>
              <w:rPr/>
              <w:t xml:space="preserve">  </w:t>
            </w:r>
          </w:p>
        </w:tc>
        <w:tc>
          <w:tcPr>
            <w:tcW w:w="198" w:type="dxa"/>
            <w:tcBorders/>
            <w:shd w:fill="CFF0FC" w:val="clear"/>
            <w:vAlign w:val="center"/>
          </w:tcPr>
          <w:p>
            <w:pPr>
              <w:pStyle w:val="TableContents"/>
              <w:spacing w:before="0" w:after="0"/>
              <w:ind w:left="0" w:right="0" w:hanging="0"/>
              <w:rPr/>
            </w:pPr>
            <w:r>
              <w:rPr/>
              <w:t xml:space="preserve">  </w:t>
            </w:r>
          </w:p>
        </w:tc>
        <w:tc>
          <w:tcPr>
            <w:tcW w:w="265" w:type="dxa"/>
            <w:tcBorders>
              <w:bottom w:val="double" w:sz="6" w:space="0" w:color="000000"/>
            </w:tcBorders>
            <w:shd w:fill="CFF0FC"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900" w:type="dxa"/>
            <w:tcBorders>
              <w:bottom w:val="double" w:sz="6" w:space="0" w:color="000000"/>
            </w:tcBorders>
            <w:shd w:fill="CFF0FC" w:val="clear"/>
            <w:tcMar>
              <w:bottom w:w="28" w:type="dxa"/>
            </w:tcMar>
            <w:vAlign w:val="center"/>
          </w:tcPr>
          <w:p>
            <w:pPr>
              <w:pStyle w:val="TableContents"/>
              <w:spacing w:before="0" w:after="0"/>
              <w:ind w:left="0" w:right="0" w:hanging="0"/>
              <w:jc w:val="right"/>
              <w:rPr/>
            </w:pPr>
            <w:r>
              <w:rPr/>
              <w:t>—</w:t>
            </w:r>
          </w:p>
        </w:tc>
        <w:tc>
          <w:tcPr>
            <w:tcW w:w="259" w:type="dxa"/>
            <w:tcBorders/>
            <w:shd w:fill="CFF0FC" w:val="clear"/>
            <w:vAlign w:val="center"/>
          </w:tcPr>
          <w:p>
            <w:pPr>
              <w:pStyle w:val="TableContents"/>
              <w:spacing w:before="0" w:after="0"/>
              <w:ind w:left="0" w:right="0" w:hanging="0"/>
              <w:rPr/>
            </w:pPr>
            <w:r>
              <w:rPr/>
              <w:t xml:space="preserve">  </w:t>
            </w:r>
          </w:p>
        </w:tc>
      </w:tr>
    </w:tbl>
    <w:p>
      <w:pPr>
        <w:pStyle w:val="TextBody"/>
        <w:spacing w:lineRule="auto" w:line="240" w:before="0" w:after="0"/>
        <w:ind w:left="0" w:right="0" w:hanging="0"/>
        <w:jc w:val="both"/>
        <w:rPr/>
      </w:pPr>
      <w:r>
        <w:rPr/>
        <w:t> </w:t>
      </w:r>
    </w:p>
    <w:p>
      <w:pPr>
        <w:pStyle w:val="TextBody"/>
        <w:spacing w:lineRule="auto" w:line="240" w:before="0" w:after="0"/>
        <w:ind w:left="0" w:right="0" w:hanging="0"/>
        <w:jc w:val="both"/>
        <w:rPr>
          <w:rFonts w:ascii="Times New Roman;serif" w:hAnsi="Times New Roman;serif"/>
          <w:sz w:val="24"/>
        </w:rPr>
      </w:pPr>
      <w:r>
        <w:rPr>
          <w:rFonts w:ascii="times new roman;times" w:hAnsi="times new roman;times"/>
          <w:sz w:val="20"/>
        </w:rPr>
        <w:t xml:space="preserve">The Company has not provided for foreign withholding taxes on undistributed earnings of its non-U.S. subsidiaries since these earnings are intended to be reinvested indefinitely, in accordance with guidelines contained in ASC Topic 740, </w:t>
      </w:r>
      <w:r>
        <w:rPr>
          <w:rFonts w:ascii="times new roman;times" w:hAnsi="times new roman;times"/>
          <w:i/>
          <w:sz w:val="20"/>
        </w:rPr>
        <w:t>Accounting for Income Taxes</w:t>
      </w:r>
      <w:r>
        <w:rPr>
          <w:rFonts w:ascii="times new roman;times" w:hAnsi="times new roman;times"/>
          <w:sz w:val="20"/>
        </w:rPr>
        <w:t>. It is not practical to estimate the amount of additional taxes that might be payable on such undistributed earnings.</w:t>
      </w:r>
    </w:p>
    <w:p>
      <w:pPr>
        <w:pStyle w:val="TextBody"/>
        <w:spacing w:lineRule="auto" w:line="240" w:before="0" w:after="0"/>
        <w:ind w:left="0" w:right="0" w:hanging="0"/>
        <w:jc w:val="both"/>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December 31, 2022, the Company had an aggregate of approximately $13.5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  </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9865" w:type="dxa"/>
        <w:jc w:val="left"/>
        <w:tblInd w:w="0" w:type="dxa"/>
        <w:tblCellMar>
          <w:top w:w="0" w:type="dxa"/>
          <w:left w:w="0" w:type="dxa"/>
          <w:bottom w:w="0" w:type="dxa"/>
          <w:right w:w="0" w:type="dxa"/>
        </w:tblCellMar>
      </w:tblPr>
      <w:tblGrid>
        <w:gridCol w:w="215"/>
        <w:gridCol w:w="9650"/>
      </w:tblGrid>
      <w:tr>
        <w:trPr/>
        <w:tc>
          <w:tcPr>
            <w:tcW w:w="215" w:type="dxa"/>
            <w:tcBorders/>
            <w:shd w:fill="auto" w:val="clear"/>
            <w:vAlign w:val="center"/>
          </w:tcPr>
          <w:p>
            <w:pPr>
              <w:pStyle w:val="TableContents"/>
              <w:spacing w:before="0" w:after="0"/>
              <w:ind w:left="0" w:right="0" w:hanging="0"/>
              <w:jc w:val="both"/>
              <w:rPr/>
            </w:pPr>
            <w:r>
              <w:rPr/>
              <w:t>●</w:t>
            </w:r>
          </w:p>
        </w:tc>
        <w:tc>
          <w:tcPr>
            <w:tcW w:w="9650" w:type="dxa"/>
            <w:tcBorders/>
            <w:shd w:fill="auto" w:val="clear"/>
            <w:vAlign w:val="center"/>
          </w:tcPr>
          <w:p>
            <w:pPr>
              <w:pStyle w:val="TableContents"/>
              <w:spacing w:before="0" w:after="0"/>
              <w:ind w:left="0" w:right="0" w:hanging="0"/>
              <w:jc w:val="both"/>
              <w:rPr/>
            </w:pPr>
            <w:r>
              <w:rPr/>
              <w:t>sufficient taxable income within the allowed carryback or carryforward periods;</w:t>
            </w:r>
          </w:p>
        </w:tc>
      </w:tr>
      <w:tr>
        <w:trPr/>
        <w:tc>
          <w:tcPr>
            <w:tcW w:w="215" w:type="dxa"/>
            <w:tcBorders/>
            <w:shd w:fill="auto" w:val="clear"/>
            <w:vAlign w:val="center"/>
          </w:tcPr>
          <w:p>
            <w:pPr>
              <w:pStyle w:val="TableContents"/>
              <w:spacing w:before="0" w:after="0"/>
              <w:ind w:left="0" w:right="0" w:hanging="0"/>
              <w:jc w:val="both"/>
              <w:rPr/>
            </w:pPr>
            <w:r>
              <w:rPr/>
              <w:t>●</w:t>
            </w:r>
          </w:p>
        </w:tc>
        <w:tc>
          <w:tcPr>
            <w:tcW w:w="965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future reversals of existing taxable temporary differences, including any tax planning strategies that could be utilized;</w:t>
            </w:r>
          </w:p>
        </w:tc>
      </w:tr>
      <w:tr>
        <w:trPr/>
        <w:tc>
          <w:tcPr>
            <w:tcW w:w="215" w:type="dxa"/>
            <w:tcBorders/>
            <w:shd w:fill="auto" w:val="clear"/>
            <w:vAlign w:val="center"/>
          </w:tcPr>
          <w:p>
            <w:pPr>
              <w:pStyle w:val="TableContents"/>
              <w:spacing w:before="0" w:after="0"/>
              <w:ind w:left="0" w:right="0" w:hanging="0"/>
              <w:jc w:val="both"/>
              <w:rPr/>
            </w:pPr>
            <w:r>
              <w:rPr/>
              <w:t>●</w:t>
            </w:r>
          </w:p>
        </w:tc>
        <w:tc>
          <w:tcPr>
            <w:tcW w:w="965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nature or character (e.g., ordinary vs. capital) of the deferred tax assets and liabilities; and</w:t>
            </w:r>
          </w:p>
        </w:tc>
      </w:tr>
      <w:tr>
        <w:trPr/>
        <w:tc>
          <w:tcPr>
            <w:tcW w:w="215" w:type="dxa"/>
            <w:tcBorders/>
            <w:shd w:fill="auto" w:val="clear"/>
            <w:vAlign w:val="center"/>
          </w:tcPr>
          <w:p>
            <w:pPr>
              <w:pStyle w:val="TableContents"/>
              <w:spacing w:before="0" w:after="0"/>
              <w:ind w:left="0" w:right="0" w:hanging="0"/>
              <w:jc w:val="both"/>
              <w:rPr/>
            </w:pPr>
            <w:r>
              <w:rPr/>
              <w:t>●</w:t>
            </w:r>
          </w:p>
        </w:tc>
        <w:tc>
          <w:tcPr>
            <w:tcW w:w="965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future taxable income exclusive of reversing temporary differences and carryforwards.</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rPr/>
      </w:pPr>
      <w:r>
        <w:rPr/>
      </w:r>
    </w:p>
    <w:p>
      <w:pPr>
        <w:pStyle w:val="TextBody"/>
        <w:widowControl/>
        <w:spacing w:before="0" w:after="0"/>
        <w:ind w:left="0" w:right="0" w:hanging="0"/>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Based on the foregoing criteria, the Company determined that it does not meet the “more likely than not” threshold that net operating losses, tax credits and other deferred tax assets will be realized. Accordingly, the Company recorded a full valuation allowance at December 31, 2022.</w:t>
      </w:r>
    </w:p>
    <w:p>
      <w:pPr>
        <w:pStyle w:val="TextBody"/>
        <w:widowControl/>
        <w:spacing w:before="0" w:after="0"/>
        <w:ind w:left="0" w:right="0" w:hanging="0"/>
        <w:rPr>
          <w:caps w:val="false"/>
          <w:smallCaps w:val="false"/>
          <w:color w:val="000000"/>
          <w:spacing w:val="0"/>
        </w:rPr>
      </w:pPr>
      <w:r>
        <w:rPr>
          <w:caps w:val="false"/>
          <w:smallCaps w:val="false"/>
          <w:color w:val="000000"/>
          <w:spacing w:val="0"/>
        </w:rPr>
        <w:t> </w:t>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sz w:val="20"/>
              </w:rPr>
            </w:pPr>
            <w:r>
              <w:rPr>
                <w:rFonts w:ascii="Times New Roman" w:hAnsi="Times New Roman"/>
                <w:b w:val="false"/>
                <w:i w:val="false"/>
                <w:caps w:val="false"/>
                <w:smallCaps w:val="false"/>
                <w:color w:val="000000"/>
                <w:spacing w:val="0"/>
                <w:sz w:val="20"/>
              </w:rPr>
              <w:t>| F-27</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HorizontalLine"/>
        <w:rPr/>
      </w:pPr>
      <w:r>
        <w:rPr/>
      </w:r>
    </w:p>
    <w:p>
      <w:pPr>
        <w:pStyle w:val="TextBody"/>
        <w:jc w:val="left"/>
        <w:rPr/>
      </w:pPr>
      <w:hyperlink w:anchor="TOC">
        <w:r>
          <w:rPr>
            <w:rStyle w:val="InternetLink"/>
            <w:rFonts w:ascii="times new roman;times" w:hAnsi="times new roman;times"/>
            <w:sz w:val="20"/>
          </w:rPr>
          <w:t>Table of Contents</w:t>
        </w:r>
      </w:hyperlink>
    </w:p>
    <w:p>
      <w:pPr>
        <w:pStyle w:val="TextBody"/>
        <w:spacing w:before="0" w:after="0"/>
        <w:ind w:left="0" w:right="0" w:hanging="0"/>
        <w:jc w:val="center"/>
        <w:rPr>
          <w:rFonts w:ascii="Times New Roman" w:hAnsi="Times New Roman"/>
          <w:b/>
          <w:sz w:val="20"/>
        </w:rPr>
      </w:pPr>
      <w:r>
        <w:rPr>
          <w:rFonts w:ascii="Times New Roman" w:hAnsi="Times New Roman"/>
          <w:b/>
          <w:sz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before="0" w:after="0"/>
        <w:ind w:left="0" w:right="0" w:hanging="0"/>
        <w:jc w:val="center"/>
        <w:rPr/>
      </w:pPr>
      <w:r>
        <w:rPr/>
      </w:r>
    </w:p>
    <w:p>
      <w:pPr>
        <w:pStyle w:val="TextBody"/>
        <w:spacing w:lineRule="auto" w:line="240" w:before="0" w:after="0"/>
        <w:ind w:left="0" w:right="0" w:hanging="0"/>
        <w:jc w:val="both"/>
        <w:rPr>
          <w:rFonts w:ascii="Times New Roman;serif" w:hAnsi="Times New Roman;serif"/>
          <w:sz w:val="20"/>
        </w:rPr>
      </w:pPr>
      <w:r>
        <w:rPr>
          <w:rFonts w:ascii="Times New Roman" w:hAnsi="Times New Roman"/>
          <w:sz w:val="20"/>
        </w:rPr>
        <w:t>As of December 31, 2022 the Company has federal net operating loss (“NOL”) carryforwards of approximately $0.4</w:t>
      </w:r>
      <w:r>
        <w:rPr>
          <w:rFonts w:ascii="Times New Roman;serif" w:hAnsi="Times New Roman;serif"/>
          <w:sz w:val="20"/>
        </w:rPr>
        <w:t> </w:t>
      </w:r>
      <w:r>
        <w:rPr>
          <w:rFonts w:ascii="Times New Roman" w:hAnsi="Times New Roman"/>
          <w:sz w:val="20"/>
        </w:rPr>
        <w:t>million</w:t>
      </w:r>
      <w:r>
        <w:rPr>
          <w:rFonts w:ascii="Times New Roman;serif" w:hAnsi="Times New Roman;serif"/>
          <w:sz w:val="20"/>
        </w:rPr>
        <w:t> </w:t>
      </w:r>
      <w:r>
        <w:rPr>
          <w:rFonts w:ascii="Times New Roman" w:hAnsi="Times New Roman"/>
          <w:sz w:val="20"/>
        </w:rPr>
        <w:t>(pre-tax), state NOL carryforwards of approximately 0.8 million (pre-tax) and Spain NOL carryforwards of approximately $11.6</w:t>
      </w:r>
      <w:r>
        <w:rPr>
          <w:rFonts w:ascii="Times New Roman;serif" w:hAnsi="Times New Roman;serif"/>
          <w:sz w:val="20"/>
        </w:rPr>
        <w:t xml:space="preserve"> </w:t>
      </w:r>
      <w:r>
        <w:rPr>
          <w:rFonts w:ascii="Times New Roman" w:hAnsi="Times New Roman"/>
          <w:sz w:val="20"/>
        </w:rPr>
        <w:t>million (pre-tax). The federal NOL carryforward expires in 2029. The Spain NOL carryforward does not expire. The state NOL carryforwards expire over various periods.</w:t>
      </w:r>
      <w:r>
        <w:rPr>
          <w:rFonts w:ascii="Times New Roman;serif" w:hAnsi="Times New Roman;serif"/>
          <w:sz w:val="20"/>
        </w:rPr>
        <w:t> </w:t>
      </w:r>
    </w:p>
    <w:p>
      <w:pPr>
        <w:pStyle w:val="TextBody"/>
        <w:spacing w:lineRule="auto" w:line="240" w:before="0" w:after="0"/>
        <w:ind w:left="0" w:right="0" w:hanging="0"/>
        <w:jc w:val="both"/>
        <w:rPr>
          <w:highlight w:val="white"/>
        </w:rPr>
      </w:pPr>
      <w:r>
        <w:rPr>
          <w:highlight w:val="white"/>
        </w:rPr>
        <w:t> </w:t>
      </w:r>
    </w:p>
    <w:p>
      <w:pPr>
        <w:pStyle w:val="TextBody"/>
        <w:spacing w:lineRule="auto" w:line="240" w:before="0" w:after="0"/>
        <w:ind w:left="0" w:right="0" w:hanging="0"/>
        <w:jc w:val="both"/>
        <w:rPr>
          <w:rFonts w:ascii="times new roman;times" w:hAnsi="times new roman;times"/>
          <w:sz w:val="20"/>
        </w:rPr>
      </w:pPr>
      <w:r>
        <w:rPr>
          <w:rFonts w:ascii="times new roman;times" w:hAnsi="times new roman;times"/>
          <w:sz w:val="20"/>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pStyle w:val="TextBody"/>
        <w:spacing w:lineRule="auto" w:line="240" w:before="0" w:after="0"/>
        <w:ind w:left="0" w:right="0" w:hanging="0"/>
        <w:jc w:val="both"/>
        <w:rPr>
          <w:highlight w:val="white"/>
        </w:rPr>
      </w:pPr>
      <w:r>
        <w:rPr>
          <w:highlight w:val="white"/>
        </w:rPr>
        <w:t> </w:t>
      </w:r>
    </w:p>
    <w:p>
      <w:pPr>
        <w:pStyle w:val="TextBody"/>
        <w:spacing w:lineRule="auto" w:line="240" w:before="0" w:after="0"/>
        <w:ind w:left="0" w:right="0" w:hanging="0"/>
        <w:jc w:val="both"/>
        <w:rPr>
          <w:rFonts w:ascii="times new roman;times" w:hAnsi="times new roman;times"/>
          <w:sz w:val="20"/>
        </w:rPr>
      </w:pPr>
      <w:r>
        <w:rPr>
          <w:rFonts w:ascii="Times New Roman" w:hAnsi="Times New Roman"/>
          <w:sz w:val="20"/>
        </w:rPr>
        <w:t>The total amount of unrecognized tax benefits at December 31, 2022</w:t>
      </w:r>
      <w:r>
        <w:rPr>
          <w:rFonts w:ascii="times new roman;times" w:hAnsi="times new roman;times"/>
          <w:sz w:val="20"/>
        </w:rPr>
        <w:t> </w:t>
      </w:r>
      <w:r>
        <w:rPr>
          <w:rFonts w:ascii="Times New Roman" w:hAnsi="Times New Roman"/>
          <w:sz w:val="20"/>
        </w:rPr>
        <w:t xml:space="preserve">and </w:t>
      </w:r>
      <w:r>
        <w:rPr>
          <w:rFonts w:ascii="Times New Roman" w:hAnsi="Times New Roman"/>
          <w:sz w:val="20"/>
        </w:rPr>
        <w:t>2021</w:t>
      </w:r>
      <w:r>
        <w:rPr>
          <w:rFonts w:ascii="Times New Roman" w:hAnsi="Times New Roman"/>
          <w:sz w:val="20"/>
        </w:rPr>
        <w:t>, that would favorably impact our effective tax rate if recognized was $</w:t>
      </w:r>
      <w:r>
        <w:rPr>
          <w:rFonts w:ascii="times new roman;times" w:hAnsi="times new roman;times"/>
          <w:sz w:val="20"/>
        </w:rPr>
        <w:t>976 </w:t>
      </w:r>
      <w:r>
        <w:rPr>
          <w:rFonts w:ascii="Times New Roman" w:hAnsi="Times New Roman"/>
          <w:sz w:val="20"/>
        </w:rPr>
        <w:t>and $895, respectively. As of December 31, 2022</w:t>
      </w:r>
      <w:r>
        <w:rPr>
          <w:rFonts w:ascii="times new roman;times" w:hAnsi="times new roman;times"/>
          <w:sz w:val="20"/>
        </w:rPr>
        <w:t> </w:t>
      </w:r>
      <w:r>
        <w:rPr>
          <w:rFonts w:ascii="Times New Roman" w:hAnsi="Times New Roman"/>
          <w:sz w:val="20"/>
        </w:rPr>
        <w:t xml:space="preserve">and </w:t>
      </w:r>
      <w:r>
        <w:rPr>
          <w:rFonts w:ascii="Times New Roman" w:hAnsi="Times New Roman"/>
          <w:sz w:val="20"/>
        </w:rPr>
        <w:t>2021</w:t>
      </w:r>
      <w:r>
        <w:rPr>
          <w:rFonts w:ascii="Times New Roman" w:hAnsi="Times New Roman"/>
          <w:sz w:val="20"/>
        </w:rPr>
        <w:t>, we accrued $</w:t>
      </w:r>
      <w:r>
        <w:rPr>
          <w:rFonts w:ascii="Times New Roman" w:hAnsi="Times New Roman"/>
          <w:sz w:val="20"/>
          <w:highlight w:val="white"/>
        </w:rPr>
        <w:t>44</w:t>
      </w:r>
      <w:r>
        <w:rPr>
          <w:rFonts w:ascii="times new roman;times" w:hAnsi="times new roman;times"/>
          <w:sz w:val="20"/>
        </w:rPr>
        <w:t> </w:t>
      </w:r>
      <w:r>
        <w:rPr>
          <w:rFonts w:ascii="Times New Roman" w:hAnsi="Times New Roman"/>
          <w:sz w:val="20"/>
        </w:rPr>
        <w:t>and $16, respectively, in interest and penalties related to unrecognized tax benefits. We account for interest expense and penalties for unrecognized tax benefits as part of our income tax provision. </w:t>
      </w:r>
    </w:p>
    <w:p>
      <w:pPr>
        <w:pStyle w:val="TextBody"/>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widowControl/>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pStyle w:val="TextBody"/>
        <w:widowControl/>
        <w:spacing w:lineRule="auto"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reconciliation of the beginning and ending amount of liabilities associated with uncertain tax positions is as follows:</w:t>
      </w:r>
    </w:p>
    <w:p>
      <w:pPr>
        <w:pStyle w:val="TextBody"/>
        <w:widowControl/>
        <w:spacing w:lineRule="auto" w:line="240" w:before="0" w:after="0"/>
        <w:ind w:left="0" w:right="0" w:hanging="0"/>
        <w:rPr>
          <w:caps w:val="false"/>
          <w:smallCaps w:val="false"/>
          <w:color w:val="000000"/>
          <w:spacing w:val="0"/>
        </w:rPr>
      </w:pPr>
      <w:r>
        <w:rPr>
          <w:caps w:val="false"/>
          <w:smallCaps w:val="false"/>
          <w:color w:val="000000"/>
          <w:spacing w:val="0"/>
        </w:rPr>
        <w:t> </w:t>
      </w:r>
    </w:p>
    <w:tbl>
      <w:tblPr>
        <w:tblW w:w="4250" w:type="pct"/>
        <w:jc w:val="left"/>
        <w:tblInd w:w="0" w:type="dxa"/>
        <w:tblCellMar>
          <w:top w:w="0" w:type="dxa"/>
          <w:left w:w="0" w:type="dxa"/>
          <w:bottom w:w="0" w:type="dxa"/>
          <w:right w:w="0" w:type="dxa"/>
        </w:tblCellMar>
      </w:tblPr>
      <w:tblGrid>
        <w:gridCol w:w="5907"/>
        <w:gridCol w:w="109"/>
        <w:gridCol w:w="311"/>
        <w:gridCol w:w="733"/>
        <w:gridCol w:w="179"/>
        <w:gridCol w:w="179"/>
        <w:gridCol w:w="311"/>
        <w:gridCol w:w="738"/>
        <w:gridCol w:w="207"/>
      </w:tblGrid>
      <w:tr>
        <w:trPr/>
        <w:tc>
          <w:tcPr>
            <w:tcW w:w="5907"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 </w:t>
            </w:r>
          </w:p>
        </w:tc>
        <w:tc>
          <w:tcPr>
            <w:tcW w:w="2451"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207" w:type="dxa"/>
            <w:tcBorders/>
            <w:shd w:fill="auto" w:val="clear"/>
            <w:vAlign w:val="center"/>
          </w:tcPr>
          <w:p>
            <w:pPr>
              <w:pStyle w:val="TableContents"/>
              <w:spacing w:before="0" w:after="0"/>
              <w:ind w:left="0" w:right="0" w:hanging="0"/>
              <w:rPr/>
            </w:pPr>
            <w:r>
              <w:rPr/>
              <w:t> </w:t>
            </w:r>
          </w:p>
        </w:tc>
      </w:tr>
      <w:tr>
        <w:trPr/>
        <w:tc>
          <w:tcPr>
            <w:tcW w:w="5907"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 </w:t>
            </w:r>
          </w:p>
        </w:tc>
        <w:tc>
          <w:tcPr>
            <w:tcW w:w="104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2022</w:t>
            </w:r>
          </w:p>
        </w:tc>
        <w:tc>
          <w:tcPr>
            <w:tcW w:w="179" w:type="dxa"/>
            <w:tcBorders/>
            <w:shd w:fill="auto" w:val="clear"/>
            <w:vAlign w:val="center"/>
          </w:tcPr>
          <w:p>
            <w:pPr>
              <w:pStyle w:val="TableContents"/>
              <w:spacing w:before="0" w:after="0"/>
              <w:ind w:left="0" w:right="0" w:hanging="0"/>
              <w:rPr/>
            </w:pPr>
            <w:r>
              <w:rPr/>
              <w:t> </w:t>
            </w:r>
          </w:p>
        </w:tc>
        <w:tc>
          <w:tcPr>
            <w:tcW w:w="179" w:type="dxa"/>
            <w:tcBorders/>
            <w:shd w:fill="auto" w:val="clear"/>
            <w:vAlign w:val="center"/>
          </w:tcPr>
          <w:p>
            <w:pPr>
              <w:pStyle w:val="TableContents"/>
              <w:spacing w:before="0" w:after="0"/>
              <w:ind w:left="0" w:right="0" w:hanging="0"/>
              <w:rPr/>
            </w:pPr>
            <w:r>
              <w:rPr/>
              <w:t> </w:t>
            </w:r>
          </w:p>
        </w:tc>
        <w:tc>
          <w:tcPr>
            <w:tcW w:w="1049"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18"/>
              </w:rPr>
            </w:pPr>
            <w:r>
              <w:rPr>
                <w:rFonts w:ascii="Times New Roman" w:hAnsi="Times New Roman"/>
                <w:b/>
                <w:sz w:val="18"/>
              </w:rPr>
              <w:t>2021</w:t>
            </w:r>
          </w:p>
        </w:tc>
        <w:tc>
          <w:tcPr>
            <w:tcW w:w="207" w:type="dxa"/>
            <w:tcBorders/>
            <w:shd w:fill="auto" w:val="clear"/>
            <w:vAlign w:val="center"/>
          </w:tcPr>
          <w:p>
            <w:pPr>
              <w:pStyle w:val="TableContents"/>
              <w:spacing w:before="0" w:after="0"/>
              <w:ind w:left="0" w:right="0" w:hanging="0"/>
              <w:rPr/>
            </w:pPr>
            <w:r>
              <w:rPr/>
              <w:t> </w:t>
            </w:r>
          </w:p>
        </w:tc>
      </w:tr>
      <w:tr>
        <w:trPr/>
        <w:tc>
          <w:tcPr>
            <w:tcW w:w="590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 beginning of year</w:t>
            </w:r>
          </w:p>
        </w:tc>
        <w:tc>
          <w:tcPr>
            <w:tcW w:w="109"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895</w:t>
            </w:r>
          </w:p>
        </w:tc>
        <w:tc>
          <w:tcPr>
            <w:tcW w:w="179"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3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861</w:t>
            </w:r>
          </w:p>
        </w:tc>
        <w:tc>
          <w:tcPr>
            <w:tcW w:w="207" w:type="dxa"/>
            <w:tcBorders/>
            <w:shd w:fill="CCEEFF" w:val="clear"/>
            <w:vAlign w:val="center"/>
          </w:tcPr>
          <w:p>
            <w:pPr>
              <w:pStyle w:val="TableContents"/>
              <w:spacing w:before="0" w:after="0"/>
              <w:ind w:left="0" w:right="0" w:hanging="0"/>
              <w:rPr/>
            </w:pPr>
            <w:r>
              <w:rPr/>
              <w:t> </w:t>
            </w:r>
          </w:p>
        </w:tc>
      </w:tr>
      <w:tr>
        <w:trPr/>
        <w:tc>
          <w:tcPr>
            <w:tcW w:w="5907"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Additions based on tax positions related to the current year</w:t>
            </w:r>
          </w:p>
        </w:tc>
        <w:tc>
          <w:tcPr>
            <w:tcW w:w="109" w:type="dxa"/>
            <w:tcBorders/>
            <w:shd w:fill="auto" w:val="clear"/>
            <w:vAlign w:val="center"/>
          </w:tcPr>
          <w:p>
            <w:pPr>
              <w:pStyle w:val="TableContents"/>
              <w:spacing w:before="0" w:after="0"/>
              <w:ind w:left="0" w:right="0" w:hanging="0"/>
              <w:rPr/>
            </w:pPr>
            <w:r>
              <w:rPr/>
              <w:t> </w:t>
            </w:r>
          </w:p>
        </w:tc>
        <w:tc>
          <w:tcPr>
            <w:tcW w:w="311" w:type="dxa"/>
            <w:tcBorders/>
            <w:shd w:fill="auto" w:val="clear"/>
            <w:vAlign w:val="center"/>
          </w:tcPr>
          <w:p>
            <w:pPr>
              <w:pStyle w:val="TableContents"/>
              <w:spacing w:before="0" w:after="0"/>
              <w:ind w:left="0" w:right="0" w:hanging="0"/>
              <w:rPr/>
            </w:pPr>
            <w:r>
              <w:rPr/>
              <w:t> </w:t>
            </w:r>
          </w:p>
        </w:tc>
        <w:tc>
          <w:tcPr>
            <w:tcW w:w="73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75</w:t>
            </w:r>
          </w:p>
        </w:tc>
        <w:tc>
          <w:tcPr>
            <w:tcW w:w="179" w:type="dxa"/>
            <w:tcBorders/>
            <w:shd w:fill="auto" w:val="clear"/>
            <w:vAlign w:val="center"/>
          </w:tcPr>
          <w:p>
            <w:pPr>
              <w:pStyle w:val="TableContents"/>
              <w:spacing w:before="0" w:after="0"/>
              <w:ind w:left="0" w:right="0" w:hanging="0"/>
              <w:rPr/>
            </w:pPr>
            <w:r>
              <w:rPr/>
              <w:t> </w:t>
            </w:r>
          </w:p>
        </w:tc>
        <w:tc>
          <w:tcPr>
            <w:tcW w:w="179" w:type="dxa"/>
            <w:tcBorders/>
            <w:shd w:fill="auto" w:val="clear"/>
            <w:vAlign w:val="center"/>
          </w:tcPr>
          <w:p>
            <w:pPr>
              <w:pStyle w:val="TableContents"/>
              <w:spacing w:before="0" w:after="0"/>
              <w:ind w:left="0" w:right="0" w:hanging="0"/>
              <w:rPr/>
            </w:pPr>
            <w:r>
              <w:rPr/>
              <w:t> </w:t>
            </w:r>
          </w:p>
        </w:tc>
        <w:tc>
          <w:tcPr>
            <w:tcW w:w="311" w:type="dxa"/>
            <w:tcBorders/>
            <w:shd w:fill="auto" w:val="clear"/>
            <w:vAlign w:val="center"/>
          </w:tcPr>
          <w:p>
            <w:pPr>
              <w:pStyle w:val="TableContents"/>
              <w:spacing w:before="0" w:after="0"/>
              <w:ind w:left="0" w:right="0" w:hanging="0"/>
              <w:rPr/>
            </w:pPr>
            <w:r>
              <w:rPr/>
              <w:t> </w:t>
            </w:r>
          </w:p>
        </w:tc>
        <w:tc>
          <w:tcPr>
            <w:tcW w:w="73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61</w:t>
            </w:r>
          </w:p>
        </w:tc>
        <w:tc>
          <w:tcPr>
            <w:tcW w:w="207" w:type="dxa"/>
            <w:tcBorders/>
            <w:shd w:fill="auto" w:val="clear"/>
            <w:vAlign w:val="center"/>
          </w:tcPr>
          <w:p>
            <w:pPr>
              <w:pStyle w:val="TableContents"/>
              <w:spacing w:before="0" w:after="0"/>
              <w:ind w:left="0" w:right="0" w:hanging="0"/>
              <w:rPr/>
            </w:pPr>
            <w:r>
              <w:rPr/>
              <w:t> </w:t>
            </w:r>
          </w:p>
        </w:tc>
      </w:tr>
      <w:tr>
        <w:trPr/>
        <w:tc>
          <w:tcPr>
            <w:tcW w:w="5907"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Additions for tax positions of prior years</w:t>
            </w:r>
          </w:p>
        </w:tc>
        <w:tc>
          <w:tcPr>
            <w:tcW w:w="109"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pPr>
            <w:r>
              <w:rPr/>
              <w:t> </w:t>
            </w:r>
          </w:p>
        </w:tc>
        <w:tc>
          <w:tcPr>
            <w:tcW w:w="733" w:type="dxa"/>
            <w:tcBorders/>
            <w:shd w:fill="CCEEFF" w:val="clear"/>
            <w:vAlign w:val="center"/>
          </w:tcPr>
          <w:p>
            <w:pPr>
              <w:pStyle w:val="TableContents"/>
              <w:spacing w:before="0" w:after="0"/>
              <w:ind w:left="0" w:right="0" w:hanging="0"/>
              <w:jc w:val="right"/>
              <w:rPr/>
            </w:pPr>
            <w:r>
              <w:rPr/>
              <w:t>—</w:t>
            </w:r>
          </w:p>
        </w:tc>
        <w:tc>
          <w:tcPr>
            <w:tcW w:w="179"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pPr>
            <w:r>
              <w:rPr/>
              <w:t> </w:t>
            </w:r>
          </w:p>
        </w:tc>
        <w:tc>
          <w:tcPr>
            <w:tcW w:w="738" w:type="dxa"/>
            <w:tcBorders/>
            <w:shd w:fill="CCEEFF" w:val="clear"/>
            <w:vAlign w:val="center"/>
          </w:tcPr>
          <w:p>
            <w:pPr>
              <w:pStyle w:val="TableContents"/>
              <w:spacing w:before="0" w:after="0"/>
              <w:ind w:left="0" w:right="0" w:hanging="0"/>
              <w:jc w:val="right"/>
              <w:rPr/>
            </w:pPr>
            <w:r>
              <w:rPr/>
              <w:t>—</w:t>
            </w:r>
          </w:p>
        </w:tc>
        <w:tc>
          <w:tcPr>
            <w:tcW w:w="207" w:type="dxa"/>
            <w:tcBorders/>
            <w:shd w:fill="CCEEFF" w:val="clear"/>
            <w:vAlign w:val="center"/>
          </w:tcPr>
          <w:p>
            <w:pPr>
              <w:pStyle w:val="TableContents"/>
              <w:spacing w:before="0" w:after="0"/>
              <w:ind w:left="0" w:right="0" w:hanging="0"/>
              <w:rPr/>
            </w:pPr>
            <w:r>
              <w:rPr/>
              <w:t> </w:t>
            </w:r>
          </w:p>
        </w:tc>
      </w:tr>
      <w:tr>
        <w:trPr/>
        <w:tc>
          <w:tcPr>
            <w:tcW w:w="5907"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Reductions for tax positions of prior years</w:t>
            </w:r>
          </w:p>
        </w:tc>
        <w:tc>
          <w:tcPr>
            <w:tcW w:w="109" w:type="dxa"/>
            <w:tcBorders/>
            <w:shd w:fill="auto" w:val="clear"/>
            <w:vAlign w:val="center"/>
          </w:tcPr>
          <w:p>
            <w:pPr>
              <w:pStyle w:val="TableContents"/>
              <w:spacing w:before="0" w:after="0"/>
              <w:ind w:left="0" w:right="0" w:hanging="0"/>
              <w:rPr/>
            </w:pPr>
            <w:r>
              <w:rPr/>
              <w:t> </w:t>
            </w:r>
          </w:p>
        </w:tc>
        <w:tc>
          <w:tcPr>
            <w:tcW w:w="311" w:type="dxa"/>
            <w:tcBorders/>
            <w:shd w:fill="auto" w:val="clear"/>
            <w:vAlign w:val="center"/>
          </w:tcPr>
          <w:p>
            <w:pPr>
              <w:pStyle w:val="TableContents"/>
              <w:spacing w:before="0" w:after="0"/>
              <w:ind w:left="0" w:right="0" w:hanging="0"/>
              <w:rPr/>
            </w:pPr>
            <w:r>
              <w:rPr/>
              <w:t> </w:t>
            </w:r>
          </w:p>
        </w:tc>
        <w:tc>
          <w:tcPr>
            <w:tcW w:w="733" w:type="dxa"/>
            <w:tcBorders/>
            <w:shd w:fill="auto" w:val="clear"/>
            <w:vAlign w:val="center"/>
          </w:tcPr>
          <w:p>
            <w:pPr>
              <w:pStyle w:val="TableContents"/>
              <w:spacing w:before="0" w:after="0"/>
              <w:ind w:left="0" w:right="0" w:hanging="0"/>
              <w:jc w:val="right"/>
              <w:rPr/>
            </w:pPr>
            <w:r>
              <w:rPr/>
              <w:t>—</w:t>
            </w:r>
          </w:p>
        </w:tc>
        <w:tc>
          <w:tcPr>
            <w:tcW w:w="179" w:type="dxa"/>
            <w:tcBorders/>
            <w:shd w:fill="auto" w:val="clear"/>
            <w:vAlign w:val="center"/>
          </w:tcPr>
          <w:p>
            <w:pPr>
              <w:pStyle w:val="TableContents"/>
              <w:spacing w:before="0" w:after="0"/>
              <w:ind w:left="0" w:right="0" w:hanging="0"/>
              <w:rPr/>
            </w:pPr>
            <w:r>
              <w:rPr/>
            </w:r>
          </w:p>
        </w:tc>
        <w:tc>
          <w:tcPr>
            <w:tcW w:w="179" w:type="dxa"/>
            <w:tcBorders/>
            <w:shd w:fill="auto" w:val="clear"/>
            <w:vAlign w:val="center"/>
          </w:tcPr>
          <w:p>
            <w:pPr>
              <w:pStyle w:val="TableContents"/>
              <w:spacing w:before="0" w:after="0"/>
              <w:ind w:left="0" w:right="0" w:hanging="0"/>
              <w:rPr/>
            </w:pPr>
            <w:r>
              <w:rPr/>
              <w:t> </w:t>
            </w:r>
          </w:p>
        </w:tc>
        <w:tc>
          <w:tcPr>
            <w:tcW w:w="311" w:type="dxa"/>
            <w:tcBorders/>
            <w:shd w:fill="auto" w:val="clear"/>
            <w:vAlign w:val="center"/>
          </w:tcPr>
          <w:p>
            <w:pPr>
              <w:pStyle w:val="TableContents"/>
              <w:spacing w:before="0" w:after="0"/>
              <w:ind w:left="0" w:right="0" w:hanging="0"/>
              <w:rPr/>
            </w:pPr>
            <w:r>
              <w:rPr/>
              <w:t> </w:t>
            </w:r>
          </w:p>
        </w:tc>
        <w:tc>
          <w:tcPr>
            <w:tcW w:w="738" w:type="dxa"/>
            <w:tcBorders/>
            <w:shd w:fill="auto" w:val="clear"/>
            <w:vAlign w:val="center"/>
          </w:tcPr>
          <w:p>
            <w:pPr>
              <w:pStyle w:val="TableContents"/>
              <w:spacing w:before="0" w:after="0"/>
              <w:ind w:left="0" w:right="0" w:hanging="0"/>
              <w:jc w:val="right"/>
              <w:rPr/>
            </w:pPr>
            <w:r>
              <w:rPr/>
              <w:t>—</w:t>
            </w:r>
          </w:p>
        </w:tc>
        <w:tc>
          <w:tcPr>
            <w:tcW w:w="207" w:type="dxa"/>
            <w:tcBorders/>
            <w:shd w:fill="auto" w:val="clear"/>
            <w:vAlign w:val="center"/>
          </w:tcPr>
          <w:p>
            <w:pPr>
              <w:pStyle w:val="TableContents"/>
              <w:spacing w:before="0" w:after="283"/>
              <w:rPr>
                <w:sz w:val="4"/>
                <w:szCs w:val="4"/>
              </w:rPr>
            </w:pPr>
            <w:r>
              <w:rPr>
                <w:sz w:val="4"/>
                <w:szCs w:val="4"/>
              </w:rPr>
            </w:r>
          </w:p>
        </w:tc>
      </w:tr>
      <w:tr>
        <w:trPr/>
        <w:tc>
          <w:tcPr>
            <w:tcW w:w="5907" w:type="dxa"/>
            <w:tcBorders/>
            <w:shd w:fill="CCEEFF"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Settlements</w:t>
            </w:r>
          </w:p>
        </w:tc>
        <w:tc>
          <w:tcPr>
            <w:tcW w:w="109"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pPr>
            <w:r>
              <w:rPr/>
              <w:t> </w:t>
            </w:r>
          </w:p>
        </w:tc>
        <w:tc>
          <w:tcPr>
            <w:tcW w:w="733" w:type="dxa"/>
            <w:tcBorders/>
            <w:shd w:fill="CCEEFF" w:val="clear"/>
            <w:vAlign w:val="center"/>
          </w:tcPr>
          <w:p>
            <w:pPr>
              <w:pStyle w:val="TableContents"/>
              <w:spacing w:before="0" w:after="0"/>
              <w:ind w:left="0" w:right="0" w:hanging="0"/>
              <w:jc w:val="right"/>
              <w:rPr/>
            </w:pPr>
            <w:r>
              <w:rPr/>
              <w:t>—</w:t>
            </w:r>
          </w:p>
        </w:tc>
        <w:tc>
          <w:tcPr>
            <w:tcW w:w="179" w:type="dxa"/>
            <w:tcBorders/>
            <w:shd w:fill="CCEEFF" w:val="clear"/>
            <w:vAlign w:val="center"/>
          </w:tcPr>
          <w:p>
            <w:pPr>
              <w:pStyle w:val="TableContents"/>
              <w:spacing w:before="0" w:after="283"/>
              <w:rPr>
                <w:sz w:val="4"/>
                <w:szCs w:val="4"/>
              </w:rPr>
            </w:pPr>
            <w:r>
              <w:rPr>
                <w:sz w:val="4"/>
                <w:szCs w:val="4"/>
              </w:rPr>
            </w:r>
          </w:p>
        </w:tc>
        <w:tc>
          <w:tcPr>
            <w:tcW w:w="179"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pPr>
            <w:r>
              <w:rPr/>
              <w:t> </w:t>
            </w:r>
          </w:p>
        </w:tc>
        <w:tc>
          <w:tcPr>
            <w:tcW w:w="738"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w:t>
            </w:r>
          </w:p>
        </w:tc>
        <w:tc>
          <w:tcPr>
            <w:tcW w:w="207" w:type="dxa"/>
            <w:tcBorders/>
            <w:shd w:fill="CCEEFF" w:val="clear"/>
            <w:vAlign w:val="center"/>
          </w:tcPr>
          <w:p>
            <w:pPr>
              <w:pStyle w:val="TableContents"/>
              <w:spacing w:before="0" w:after="283"/>
              <w:rPr/>
            </w:pPr>
            <w:r>
              <w:rPr/>
              <w:t>)</w:t>
            </w:r>
          </w:p>
        </w:tc>
      </w:tr>
      <w:tr>
        <w:trPr/>
        <w:tc>
          <w:tcPr>
            <w:tcW w:w="5907" w:type="dxa"/>
            <w:tcBorders/>
            <w:shd w:fill="auto" w:val="clear"/>
            <w:vAlign w:val="center"/>
          </w:tcPr>
          <w:p>
            <w:pPr>
              <w:pStyle w:val="TableContents"/>
              <w:spacing w:before="0" w:after="0"/>
              <w:ind w:left="180" w:right="0" w:hanging="0"/>
              <w:jc w:val="both"/>
              <w:rPr>
                <w:rFonts w:ascii="Times New Roman" w:hAnsi="Times New Roman"/>
                <w:sz w:val="20"/>
              </w:rPr>
            </w:pPr>
            <w:r>
              <w:rPr>
                <w:rFonts w:ascii="Times New Roman" w:hAnsi="Times New Roman"/>
                <w:sz w:val="20"/>
              </w:rPr>
              <w:t>Lapse in statutes of limitations </w:t>
            </w:r>
          </w:p>
        </w:tc>
        <w:tc>
          <w:tcPr>
            <w:tcW w:w="109" w:type="dxa"/>
            <w:tcBorders/>
            <w:shd w:fill="auto" w:val="clear"/>
            <w:vAlign w:val="center"/>
          </w:tcPr>
          <w:p>
            <w:pPr>
              <w:pStyle w:val="TableContents"/>
              <w:spacing w:before="0" w:after="0"/>
              <w:ind w:left="0" w:right="0" w:hanging="0"/>
              <w:rPr/>
            </w:pPr>
            <w:r>
              <w:rPr/>
              <w:t> </w:t>
            </w:r>
          </w:p>
        </w:tc>
        <w:tc>
          <w:tcPr>
            <w:tcW w:w="311" w:type="dxa"/>
            <w:tcBorders/>
            <w:shd w:fill="auto" w:val="clear"/>
            <w:vAlign w:val="center"/>
          </w:tcPr>
          <w:p>
            <w:pPr>
              <w:pStyle w:val="TableContents"/>
              <w:spacing w:before="0" w:after="0"/>
              <w:ind w:left="0" w:right="0" w:hanging="0"/>
              <w:rPr/>
            </w:pPr>
            <w:r>
              <w:rPr/>
              <w:t> </w:t>
            </w:r>
          </w:p>
        </w:tc>
        <w:tc>
          <w:tcPr>
            <w:tcW w:w="733"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0"/>
              <w:ind w:left="0" w:right="0" w:hanging="0"/>
              <w:rPr/>
            </w:pPr>
            <w:r>
              <w:rPr/>
              <w:t> </w:t>
            </w:r>
          </w:p>
        </w:tc>
        <w:tc>
          <w:tcPr>
            <w:tcW w:w="311" w:type="dxa"/>
            <w:tcBorders/>
            <w:shd w:fill="auto" w:val="clear"/>
            <w:vAlign w:val="center"/>
          </w:tcPr>
          <w:p>
            <w:pPr>
              <w:pStyle w:val="TableContents"/>
              <w:spacing w:before="0" w:after="0"/>
              <w:ind w:left="0" w:right="0" w:hanging="0"/>
              <w:rPr/>
            </w:pPr>
            <w:r>
              <w:rPr/>
              <w:t> </w:t>
            </w:r>
          </w:p>
        </w:tc>
        <w:tc>
          <w:tcPr>
            <w:tcW w:w="73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w:t>
            </w:r>
          </w:p>
        </w:tc>
        <w:tc>
          <w:tcPr>
            <w:tcW w:w="207" w:type="dxa"/>
            <w:tcBorders/>
            <w:shd w:fill="auto" w:val="clear"/>
            <w:vAlign w:val="center"/>
          </w:tcPr>
          <w:p>
            <w:pPr>
              <w:pStyle w:val="TableContents"/>
              <w:spacing w:before="0" w:after="283"/>
              <w:rPr/>
            </w:pPr>
            <w:r>
              <w:rPr/>
              <w:t>)</w:t>
            </w:r>
          </w:p>
        </w:tc>
      </w:tr>
      <w:tr>
        <w:trPr/>
        <w:tc>
          <w:tcPr>
            <w:tcW w:w="5907"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Uncertain tax positions, ending balance</w:t>
            </w:r>
          </w:p>
        </w:tc>
        <w:tc>
          <w:tcPr>
            <w:tcW w:w="109" w:type="dxa"/>
            <w:tcBorders/>
            <w:shd w:fill="CCEEFF" w:val="clear"/>
            <w:vAlign w:val="center"/>
          </w:tcPr>
          <w:p>
            <w:pPr>
              <w:pStyle w:val="TableContents"/>
              <w:spacing w:before="0" w:after="0"/>
              <w:ind w:left="0" w:right="0" w:hanging="0"/>
              <w:rPr/>
            </w:pPr>
            <w:r>
              <w:rPr/>
              <w:t> </w:t>
            </w:r>
          </w:p>
        </w:tc>
        <w:tc>
          <w:tcPr>
            <w:tcW w:w="311" w:type="dxa"/>
            <w:tcBorders>
              <w:top w:val="single" w:sz="8" w:space="0" w:color="000000"/>
              <w:bottom w:val="double" w:sz="7" w:space="0" w:color="000000"/>
            </w:tcBorders>
            <w:shd w:fill="CCEEFF" w:val="clear"/>
            <w:tcMar>
              <w:top w:w="28" w:type="dxa"/>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33" w:type="dxa"/>
            <w:tcBorders>
              <w:top w:val="single" w:sz="8" w:space="0" w:color="000000"/>
              <w:bottom w:val="double" w:sz="7"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962</w:t>
            </w:r>
          </w:p>
        </w:tc>
        <w:tc>
          <w:tcPr>
            <w:tcW w:w="179" w:type="dxa"/>
            <w:tcBorders/>
            <w:shd w:fill="CCEEFF" w:val="clear"/>
            <w:vAlign w:val="center"/>
          </w:tcPr>
          <w:p>
            <w:pPr>
              <w:pStyle w:val="TableContents"/>
              <w:spacing w:before="0" w:after="0"/>
              <w:ind w:left="0" w:right="0" w:hanging="0"/>
              <w:rPr/>
            </w:pPr>
            <w:r>
              <w:rPr/>
              <w:t> </w:t>
            </w:r>
          </w:p>
        </w:tc>
        <w:tc>
          <w:tcPr>
            <w:tcW w:w="179" w:type="dxa"/>
            <w:tcBorders/>
            <w:shd w:fill="CCEEFF" w:val="clear"/>
            <w:vAlign w:val="center"/>
          </w:tcPr>
          <w:p>
            <w:pPr>
              <w:pStyle w:val="TableContents"/>
              <w:spacing w:before="0" w:after="0"/>
              <w:ind w:left="0" w:right="0" w:hanging="0"/>
              <w:rPr/>
            </w:pPr>
            <w:r>
              <w:rPr/>
              <w:t> </w:t>
            </w:r>
          </w:p>
        </w:tc>
        <w:tc>
          <w:tcPr>
            <w:tcW w:w="311" w:type="dxa"/>
            <w:tcBorders>
              <w:top w:val="single" w:sz="8" w:space="0" w:color="000000"/>
              <w:bottom w:val="double" w:sz="7" w:space="0" w:color="000000"/>
            </w:tcBorders>
            <w:shd w:fill="CCEEFF" w:val="clear"/>
            <w:tcMar>
              <w:top w:w="28" w:type="dxa"/>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38" w:type="dxa"/>
            <w:tcBorders>
              <w:top w:val="single" w:sz="8" w:space="0" w:color="000000"/>
              <w:bottom w:val="double" w:sz="7" w:space="0" w:color="000000"/>
            </w:tcBorders>
            <w:shd w:fill="CCEEFF" w:val="clear"/>
            <w:tcMar>
              <w:top w:w="28" w:type="dxa"/>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895</w:t>
            </w:r>
          </w:p>
        </w:tc>
        <w:tc>
          <w:tcPr>
            <w:tcW w:w="207" w:type="dxa"/>
            <w:tcBorders/>
            <w:shd w:fill="CCEEFF" w:val="clear"/>
            <w:vAlign w:val="center"/>
          </w:tcPr>
          <w:p>
            <w:pPr>
              <w:pStyle w:val="TableContents"/>
              <w:spacing w:before="0" w:after="0"/>
              <w:ind w:left="0" w:right="0" w:hanging="0"/>
              <w:rPr/>
            </w:pPr>
            <w:r>
              <w:rPr/>
              <w:t> </w:t>
            </w:r>
          </w:p>
        </w:tc>
      </w:tr>
    </w:tbl>
    <w:p>
      <w:pPr>
        <w:pStyle w:val="TextBody"/>
        <w:widowControl/>
        <w:spacing w:lineRule="auto"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Company’s U.S. federal income tax returns for 2018</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through 2022</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are subject to examination. The Company's U.S. 2018 federal income tax return is currently under examination. The Company also files in various state and foreign jurisdictions. With few exceptions, the Company is no longer subject to federal, state, or non-U.S. income tax examinations by tax authorities for years prior to 2017.</w:t>
      </w:r>
      <w:r>
        <w:rPr>
          <w:rFonts w:ascii="times new roman;times" w:hAnsi="times new roman;times"/>
          <w:b w:val="false"/>
          <w:i w:val="false"/>
          <w:caps w:val="false"/>
          <w:smallCaps w:val="false"/>
          <w:color w:val="000000"/>
          <w:spacing w:val="0"/>
          <w:sz w:val="20"/>
        </w:rPr>
        <w:t>  </w:t>
      </w:r>
    </w:p>
    <w:p>
      <w:pPr>
        <w:pStyle w:val="TextBody"/>
        <w:spacing w:lineRule="auto" w:line="240" w:before="0" w:after="0"/>
        <w:ind w:left="0" w:right="0" w:hanging="0"/>
        <w:jc w:val="both"/>
        <w:rPr/>
      </w:pPr>
      <w:r>
        <w:rPr/>
      </w:r>
    </w:p>
    <w:tbl>
      <w:tblPr>
        <w:tblW w:w="721" w:type="dxa"/>
        <w:jc w:val="left"/>
        <w:tblInd w:w="0" w:type="dxa"/>
        <w:tblCellMar>
          <w:top w:w="0" w:type="dxa"/>
          <w:left w:w="0" w:type="dxa"/>
          <w:bottom w:w="0" w:type="dxa"/>
          <w:right w:w="0" w:type="dxa"/>
        </w:tblCellMar>
      </w:tblPr>
      <w:tblGrid>
        <w:gridCol w:w="721"/>
      </w:tblGrid>
      <w:tr>
        <w:trPr/>
        <w:tc>
          <w:tcPr>
            <w:tcW w:w="721"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F-28 |</w:t>
            </w:r>
          </w:p>
        </w:tc>
      </w:tr>
    </w:tbl>
    <w:p>
      <w:pPr>
        <w:pStyle w:val="HorizontalLine"/>
        <w:spacing w:lineRule="auto" w:line="240"/>
        <w:rPr/>
      </w:pPr>
      <w:r>
        <w:rPr/>
      </w:r>
    </w:p>
    <w:p>
      <w:pPr>
        <w:pStyle w:val="TextBody"/>
        <w:spacing w:lineRule="auto" w:line="240"/>
        <w:jc w:val="left"/>
        <w:rPr/>
      </w:pPr>
      <w:hyperlink w:anchor="TOC">
        <w:r>
          <w:rPr>
            <w:rStyle w:val="InternetLink"/>
            <w:rFonts w:ascii="times new roman;times" w:hAnsi="times new roman;times"/>
            <w:sz w:val="20"/>
          </w:rPr>
          <w:t>Table of Contents</w:t>
        </w:r>
      </w:hyperlink>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spacing w:lineRule="auto" w:line="240" w:before="0" w:after="0"/>
        <w:ind w:left="0" w:right="0" w:hanging="0"/>
        <w:jc w:val="both"/>
        <w:rPr>
          <w:rFonts w:ascii="Times New Roman" w:hAnsi="Times New Roman"/>
          <w:b/>
          <w:sz w:val="20"/>
        </w:rPr>
      </w:pPr>
      <w:r>
        <w:rPr>
          <w:rFonts w:ascii="Times New Roman" w:hAnsi="Times New Roman"/>
          <w:b/>
          <w:sz w:val="20"/>
        </w:rPr>
        <w:t>14</w:t>
      </w:r>
      <w:r>
        <w:rPr>
          <w:rFonts w:ascii="Times New Roman" w:hAnsi="Times New Roman"/>
          <w:b/>
          <w:sz w:val="20"/>
        </w:rPr>
        <w:t>. Geographic Sales Information</w:t>
      </w:r>
    </w:p>
    <w:p>
      <w:pPr>
        <w:pStyle w:val="TextBody"/>
        <w:spacing w:lineRule="auto" w:line="240" w:before="0" w:after="0"/>
        <w:ind w:left="0" w:right="0" w:hanging="0"/>
        <w:jc w:val="both"/>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The United States was the only country to contribute more than 10 percent of total revenues in each fiscal year. The Company’s revenues are substantially denominated in U.S. dollars and are summarized geographically as follows:</w:t>
      </w:r>
    </w:p>
    <w:p>
      <w:pPr>
        <w:pStyle w:val="TextBody"/>
        <w:spacing w:lineRule="auto" w:line="240" w:before="0" w:after="0"/>
        <w:ind w:left="144" w:right="144" w:hanging="0"/>
        <w:rPr/>
      </w:pPr>
      <w:r>
        <w:rPr/>
      </w:r>
    </w:p>
    <w:tbl>
      <w:tblPr>
        <w:tblW w:w="4250" w:type="pct"/>
        <w:jc w:val="left"/>
        <w:tblInd w:w="0" w:type="dxa"/>
        <w:tblCellMar>
          <w:top w:w="0" w:type="dxa"/>
          <w:left w:w="0" w:type="dxa"/>
          <w:bottom w:w="0" w:type="dxa"/>
          <w:right w:w="0" w:type="dxa"/>
        </w:tblCellMar>
      </w:tblPr>
      <w:tblGrid>
        <w:gridCol w:w="3375"/>
        <w:gridCol w:w="311"/>
        <w:gridCol w:w="472"/>
        <w:gridCol w:w="1466"/>
        <w:gridCol w:w="353"/>
        <w:gridCol w:w="354"/>
        <w:gridCol w:w="471"/>
        <w:gridCol w:w="1466"/>
        <w:gridCol w:w="406"/>
      </w:tblGrid>
      <w:tr>
        <w:trPr/>
        <w:tc>
          <w:tcPr>
            <w:tcW w:w="3375" w:type="dxa"/>
            <w:tcBorders/>
            <w:shd w:fill="auto" w:val="clear"/>
            <w:vAlign w:val="center"/>
          </w:tcPr>
          <w:p>
            <w:pPr>
              <w:pStyle w:val="TableContents"/>
              <w:spacing w:before="0" w:after="0"/>
              <w:ind w:left="0" w:right="0" w:hanging="0"/>
              <w:rPr/>
            </w:pPr>
            <w:r>
              <w:rPr/>
              <w:t xml:space="preserve">  </w:t>
            </w:r>
          </w:p>
        </w:tc>
        <w:tc>
          <w:tcPr>
            <w:tcW w:w="311" w:type="dxa"/>
            <w:tcBorders/>
            <w:shd w:fill="auto" w:val="clear"/>
            <w:vAlign w:val="center"/>
          </w:tcPr>
          <w:p>
            <w:pPr>
              <w:pStyle w:val="TableContents"/>
              <w:spacing w:before="0" w:after="0"/>
              <w:ind w:left="0" w:right="0" w:hanging="0"/>
              <w:rPr/>
            </w:pPr>
            <w:r>
              <w:rPr/>
              <w:t xml:space="preserve">  </w:t>
            </w:r>
          </w:p>
        </w:tc>
        <w:tc>
          <w:tcPr>
            <w:tcW w:w="4582"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406" w:type="dxa"/>
            <w:tcBorders/>
            <w:shd w:fill="auto" w:val="clear"/>
            <w:vAlign w:val="center"/>
          </w:tcPr>
          <w:p>
            <w:pPr>
              <w:pStyle w:val="TableContents"/>
              <w:spacing w:before="0" w:after="0"/>
              <w:ind w:left="0" w:right="0" w:hanging="0"/>
              <w:rPr/>
            </w:pPr>
            <w:r>
              <w:rPr/>
              <w:t xml:space="preserve">  </w:t>
            </w:r>
          </w:p>
        </w:tc>
      </w:tr>
      <w:tr>
        <w:trPr/>
        <w:tc>
          <w:tcPr>
            <w:tcW w:w="3375" w:type="dxa"/>
            <w:tcBorders/>
            <w:shd w:fill="auto" w:val="clear"/>
            <w:vAlign w:val="center"/>
          </w:tcPr>
          <w:p>
            <w:pPr>
              <w:pStyle w:val="TableContents"/>
              <w:spacing w:before="0" w:after="0"/>
              <w:ind w:left="0" w:right="0" w:hanging="0"/>
              <w:rPr/>
            </w:pPr>
            <w:r>
              <w:rPr/>
              <w:t xml:space="preserve">  </w:t>
            </w:r>
          </w:p>
        </w:tc>
        <w:tc>
          <w:tcPr>
            <w:tcW w:w="311" w:type="dxa"/>
            <w:tcBorders/>
            <w:shd w:fill="auto" w:val="clear"/>
            <w:vAlign w:val="center"/>
          </w:tcPr>
          <w:p>
            <w:pPr>
              <w:pStyle w:val="TableContents"/>
              <w:spacing w:before="0" w:after="0"/>
              <w:ind w:left="0" w:right="0" w:hanging="0"/>
              <w:rPr/>
            </w:pPr>
            <w:r>
              <w:rPr/>
              <w:t xml:space="preserve">  </w:t>
            </w:r>
          </w:p>
        </w:tc>
        <w:tc>
          <w:tcPr>
            <w:tcW w:w="1938"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2022</w:t>
            </w:r>
          </w:p>
        </w:tc>
        <w:tc>
          <w:tcPr>
            <w:tcW w:w="353" w:type="dxa"/>
            <w:tcBorders/>
            <w:shd w:fill="auto" w:val="clear"/>
            <w:vAlign w:val="center"/>
          </w:tcPr>
          <w:p>
            <w:pPr>
              <w:pStyle w:val="TableContents"/>
              <w:spacing w:before="0" w:after="0"/>
              <w:ind w:left="0" w:right="0" w:hanging="0"/>
              <w:rPr/>
            </w:pPr>
            <w:r>
              <w:rPr/>
              <w:t xml:space="preserve">  </w:t>
            </w:r>
          </w:p>
        </w:tc>
        <w:tc>
          <w:tcPr>
            <w:tcW w:w="354" w:type="dxa"/>
            <w:tcBorders/>
            <w:shd w:fill="auto" w:val="clear"/>
            <w:vAlign w:val="center"/>
          </w:tcPr>
          <w:p>
            <w:pPr>
              <w:pStyle w:val="TableContents"/>
              <w:spacing w:before="0" w:after="0"/>
              <w:ind w:left="0" w:right="0" w:hanging="0"/>
              <w:rPr/>
            </w:pPr>
            <w:r>
              <w:rPr/>
              <w:t xml:space="preserve">  </w:t>
            </w:r>
          </w:p>
        </w:tc>
        <w:tc>
          <w:tcPr>
            <w:tcW w:w="1937" w:type="dxa"/>
            <w:gridSpan w:val="2"/>
            <w:tcBorders>
              <w:bottom w:val="single" w:sz="6"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2021</w:t>
            </w:r>
          </w:p>
        </w:tc>
        <w:tc>
          <w:tcPr>
            <w:tcW w:w="406" w:type="dxa"/>
            <w:tcBorders/>
            <w:shd w:fill="auto" w:val="clear"/>
            <w:vAlign w:val="center"/>
          </w:tcPr>
          <w:p>
            <w:pPr>
              <w:pStyle w:val="TableContents"/>
              <w:spacing w:before="0" w:after="0"/>
              <w:ind w:left="0" w:right="0" w:hanging="0"/>
              <w:rPr/>
            </w:pPr>
            <w:r>
              <w:rPr/>
              <w:t xml:space="preserve">  </w:t>
            </w:r>
          </w:p>
        </w:tc>
      </w:tr>
      <w:tr>
        <w:trPr/>
        <w:tc>
          <w:tcPr>
            <w:tcW w:w="33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United States </w:t>
            </w:r>
          </w:p>
        </w:tc>
        <w:tc>
          <w:tcPr>
            <w:tcW w:w="311" w:type="dxa"/>
            <w:tcBorders/>
            <w:shd w:fill="CCEEFF" w:val="clear"/>
            <w:vAlign w:val="center"/>
          </w:tcPr>
          <w:p>
            <w:pPr>
              <w:pStyle w:val="TableContents"/>
              <w:spacing w:before="0" w:after="0"/>
              <w:ind w:left="0" w:right="0" w:hanging="0"/>
              <w:rPr/>
            </w:pPr>
            <w:r>
              <w:rPr/>
              <w:t xml:space="preserve">  </w:t>
            </w:r>
          </w:p>
        </w:tc>
        <w:tc>
          <w:tcPr>
            <w:tcW w:w="47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6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12,096</w:t>
            </w:r>
          </w:p>
        </w:tc>
        <w:tc>
          <w:tcPr>
            <w:tcW w:w="353" w:type="dxa"/>
            <w:tcBorders/>
            <w:shd w:fill="CCEEFF" w:val="clear"/>
            <w:vAlign w:val="center"/>
          </w:tcPr>
          <w:p>
            <w:pPr>
              <w:pStyle w:val="TableContents"/>
              <w:spacing w:before="0" w:after="0"/>
              <w:ind w:left="0" w:right="0" w:hanging="0"/>
              <w:rPr/>
            </w:pPr>
            <w:r>
              <w:rPr/>
              <w:t xml:space="preserve">  </w:t>
            </w:r>
          </w:p>
        </w:tc>
        <w:tc>
          <w:tcPr>
            <w:tcW w:w="354" w:type="dxa"/>
            <w:tcBorders/>
            <w:shd w:fill="CCEEFF" w:val="clear"/>
            <w:vAlign w:val="center"/>
          </w:tcPr>
          <w:p>
            <w:pPr>
              <w:pStyle w:val="TableContents"/>
              <w:spacing w:before="0" w:after="0"/>
              <w:ind w:left="0" w:right="0" w:hanging="0"/>
              <w:rPr/>
            </w:pPr>
            <w:r>
              <w:rPr/>
              <w:t xml:space="preserve">  </w:t>
            </w:r>
          </w:p>
        </w:tc>
        <w:tc>
          <w:tcPr>
            <w:tcW w:w="471"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66"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14,042</w:t>
            </w:r>
          </w:p>
        </w:tc>
        <w:tc>
          <w:tcPr>
            <w:tcW w:w="406" w:type="dxa"/>
            <w:tcBorders/>
            <w:shd w:fill="CCEEFF" w:val="clear"/>
            <w:vAlign w:val="center"/>
          </w:tcPr>
          <w:p>
            <w:pPr>
              <w:pStyle w:val="TableContents"/>
              <w:spacing w:before="0" w:after="0"/>
              <w:ind w:left="0" w:right="0" w:hanging="0"/>
              <w:rPr/>
            </w:pPr>
            <w:r>
              <w:rPr/>
              <w:t xml:space="preserve">  </w:t>
            </w:r>
          </w:p>
        </w:tc>
      </w:tr>
      <w:tr>
        <w:trPr/>
        <w:tc>
          <w:tcPr>
            <w:tcW w:w="33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All other countries </w:t>
            </w:r>
          </w:p>
        </w:tc>
        <w:tc>
          <w:tcPr>
            <w:tcW w:w="311" w:type="dxa"/>
            <w:tcBorders/>
            <w:shd w:fill="auto" w:val="clear"/>
            <w:vAlign w:val="center"/>
          </w:tcPr>
          <w:p>
            <w:pPr>
              <w:pStyle w:val="TableContents"/>
              <w:spacing w:before="0" w:after="0"/>
              <w:ind w:left="0" w:right="0" w:hanging="0"/>
              <w:rPr/>
            </w:pPr>
            <w:r>
              <w:rPr/>
              <w:t xml:space="preserve">  </w:t>
            </w:r>
          </w:p>
        </w:tc>
        <w:tc>
          <w:tcPr>
            <w:tcW w:w="472"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466"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13,109</w:t>
            </w:r>
          </w:p>
        </w:tc>
        <w:tc>
          <w:tcPr>
            <w:tcW w:w="353" w:type="dxa"/>
            <w:tcBorders/>
            <w:shd w:fill="auto" w:val="clear"/>
            <w:vAlign w:val="center"/>
          </w:tcPr>
          <w:p>
            <w:pPr>
              <w:pStyle w:val="TableContents"/>
              <w:spacing w:before="0" w:after="0"/>
              <w:ind w:left="0" w:right="0" w:hanging="0"/>
              <w:rPr/>
            </w:pPr>
            <w:r>
              <w:rPr/>
              <w:t xml:space="preserve">  </w:t>
            </w:r>
          </w:p>
        </w:tc>
        <w:tc>
          <w:tcPr>
            <w:tcW w:w="354" w:type="dxa"/>
            <w:tcBorders/>
            <w:shd w:fill="auto" w:val="clear"/>
            <w:vAlign w:val="center"/>
          </w:tcPr>
          <w:p>
            <w:pPr>
              <w:pStyle w:val="TableContents"/>
              <w:spacing w:before="0" w:after="0"/>
              <w:ind w:left="0" w:right="0" w:hanging="0"/>
              <w:rPr/>
            </w:pPr>
            <w:r>
              <w:rPr/>
              <w:t xml:space="preserve">  </w:t>
            </w:r>
          </w:p>
        </w:tc>
        <w:tc>
          <w:tcPr>
            <w:tcW w:w="471" w:type="dxa"/>
            <w:tcBorders>
              <w:bottom w:val="single" w:sz="6" w:space="0" w:color="000000"/>
            </w:tcBorders>
            <w:shd w:fill="auto" w:val="clear"/>
            <w:tcMar>
              <w:bottom w:w="28" w:type="dxa"/>
            </w:tcMar>
            <w:vAlign w:val="center"/>
          </w:tcPr>
          <w:p>
            <w:pPr>
              <w:pStyle w:val="TableContents"/>
              <w:spacing w:before="0" w:after="0"/>
              <w:ind w:left="0" w:right="0" w:hanging="0"/>
              <w:rPr/>
            </w:pPr>
            <w:r>
              <w:rPr/>
              <w:t xml:space="preserve">  </w:t>
            </w:r>
          </w:p>
        </w:tc>
        <w:tc>
          <w:tcPr>
            <w:tcW w:w="1466" w:type="dxa"/>
            <w:tcBorders>
              <w:bottom w:val="single" w:sz="6" w:space="0" w:color="000000"/>
            </w:tcBorders>
            <w:shd w:fill="auto"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14,925</w:t>
            </w:r>
          </w:p>
        </w:tc>
        <w:tc>
          <w:tcPr>
            <w:tcW w:w="406" w:type="dxa"/>
            <w:tcBorders/>
            <w:shd w:fill="auto" w:val="clear"/>
            <w:vAlign w:val="center"/>
          </w:tcPr>
          <w:p>
            <w:pPr>
              <w:pStyle w:val="TableContents"/>
              <w:spacing w:before="0" w:after="0"/>
              <w:ind w:left="0" w:right="0" w:hanging="0"/>
              <w:rPr/>
            </w:pPr>
            <w:r>
              <w:rPr/>
              <w:t xml:space="preserve">  </w:t>
            </w:r>
          </w:p>
        </w:tc>
      </w:tr>
      <w:tr>
        <w:trPr/>
        <w:tc>
          <w:tcPr>
            <w:tcW w:w="33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Total </w:t>
            </w:r>
          </w:p>
        </w:tc>
        <w:tc>
          <w:tcPr>
            <w:tcW w:w="311" w:type="dxa"/>
            <w:tcBorders/>
            <w:shd w:fill="CCEEFF" w:val="clear"/>
            <w:vAlign w:val="center"/>
          </w:tcPr>
          <w:p>
            <w:pPr>
              <w:pStyle w:val="TableContents"/>
              <w:spacing w:before="0" w:after="0"/>
              <w:ind w:left="0" w:right="0" w:hanging="0"/>
              <w:rPr/>
            </w:pPr>
            <w:r>
              <w:rPr/>
              <w:t xml:space="preserve">  </w:t>
            </w:r>
          </w:p>
        </w:tc>
        <w:tc>
          <w:tcPr>
            <w:tcW w:w="47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25,205</w:t>
            </w:r>
          </w:p>
        </w:tc>
        <w:tc>
          <w:tcPr>
            <w:tcW w:w="353" w:type="dxa"/>
            <w:tcBorders/>
            <w:shd w:fill="CCEEFF" w:val="clear"/>
            <w:vAlign w:val="center"/>
          </w:tcPr>
          <w:p>
            <w:pPr>
              <w:pStyle w:val="TableContents"/>
              <w:spacing w:before="0" w:after="0"/>
              <w:ind w:left="0" w:right="0" w:hanging="0"/>
              <w:rPr/>
            </w:pPr>
            <w:r>
              <w:rPr/>
              <w:t xml:space="preserve">  </w:t>
            </w:r>
          </w:p>
        </w:tc>
        <w:tc>
          <w:tcPr>
            <w:tcW w:w="354" w:type="dxa"/>
            <w:tcBorders/>
            <w:shd w:fill="CCEEFF" w:val="clear"/>
            <w:vAlign w:val="center"/>
          </w:tcPr>
          <w:p>
            <w:pPr>
              <w:pStyle w:val="TableContents"/>
              <w:spacing w:before="0" w:after="0"/>
              <w:ind w:left="0" w:right="0" w:hanging="0"/>
              <w:rPr/>
            </w:pPr>
            <w:r>
              <w:rPr/>
              <w:t xml:space="preserve">  </w:t>
            </w:r>
          </w:p>
        </w:tc>
        <w:tc>
          <w:tcPr>
            <w:tcW w:w="47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 </w:t>
            </w:r>
          </w:p>
        </w:tc>
        <w:tc>
          <w:tcPr>
            <w:tcW w:w="14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28,967</w:t>
            </w:r>
          </w:p>
        </w:tc>
        <w:tc>
          <w:tcPr>
            <w:tcW w:w="406" w:type="dxa"/>
            <w:tcBorders/>
            <w:shd w:fill="CCEEFF" w:val="cle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widowControl/>
        <w:spacing w:lineRule="auto" w:line="240"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15. Subsequent events</w:t>
      </w:r>
    </w:p>
    <w:p>
      <w:pPr>
        <w:pStyle w:val="TextBody"/>
        <w:spacing w:lineRule="auto" w:line="240" w:before="0" w:after="0"/>
        <w:jc w:val="both"/>
        <w:rPr/>
      </w:pPr>
      <w:r>
        <w:rPr/>
      </w:r>
    </w:p>
    <w:p>
      <w:pPr>
        <w:pStyle w:val="TextBody"/>
        <w:spacing w:lineRule="auto" w:line="240" w:before="0" w:after="0"/>
        <w:jc w:val="both"/>
        <w:rPr>
          <w:rFonts w:ascii="times new roman;times" w:hAnsi="times new roman;times"/>
          <w:sz w:val="20"/>
        </w:rPr>
      </w:pPr>
      <w:r>
        <w:rPr>
          <w:rFonts w:ascii="times new roman;times" w:hAnsi="times new roman;times"/>
          <w:sz w:val="20"/>
        </w:rPr>
        <w:t>In January 2023, the 2022 Bridge loan of $2,000 along with applicable interest was repaid. </w:t>
      </w:r>
    </w:p>
    <w:p>
      <w:pPr>
        <w:pStyle w:val="TextBody"/>
        <w:spacing w:lineRule="auto" w:line="240"/>
        <w:jc w:val="both"/>
        <w:rPr/>
      </w:pPr>
      <w:r>
        <w:rPr/>
      </w:r>
    </w:p>
    <w:p>
      <w:pPr>
        <w:pStyle w:val="TextBody"/>
        <w:widowControl/>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received $1,350 and recorded the settlement gain in March 2023 upon entering into an agreement with a service provider to settle a contract dispute arising on provision of software services to the Company.</w:t>
      </w:r>
    </w:p>
    <w:p>
      <w:pPr>
        <w:pStyle w:val="TextBody"/>
        <w:spacing w:lineRule="auto" w:line="24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tbl>
      <w:tblPr>
        <w:tblW w:w="676" w:type="dxa"/>
        <w:jc w:val="left"/>
        <w:tblInd w:w="0" w:type="dxa"/>
        <w:tblCellMar>
          <w:top w:w="0" w:type="dxa"/>
          <w:left w:w="0" w:type="dxa"/>
          <w:bottom w:w="0" w:type="dxa"/>
          <w:right w:w="0" w:type="dxa"/>
        </w:tblCellMar>
      </w:tblPr>
      <w:tblGrid>
        <w:gridCol w:w="676"/>
      </w:tblGrid>
      <w:tr>
        <w:trPr/>
        <w:tc>
          <w:tcPr>
            <w:tcW w:w="676" w:type="dxa"/>
            <w:tcBorders/>
            <w:shd w:fill="auto" w:val="clear"/>
            <w:vAlign w:val="center"/>
          </w:tcPr>
          <w:p>
            <w:pPr>
              <w:pStyle w:val="TableContents"/>
              <w:widowControl/>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F-29|</w:t>
            </w:r>
          </w:p>
        </w:tc>
      </w:tr>
    </w:tbl>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w:br w:type="page"/>
      </w:r>
    </w:p>
    <w:p>
      <w:pPr>
        <w:pStyle w:val="TextBody"/>
        <w:spacing w:lineRule="auto" w:line="240" w:before="0" w:after="0"/>
        <w:ind w:left="0" w:right="0" w:hanging="0"/>
        <w:jc w:val="right"/>
        <w:rPr>
          <w:rFonts w:ascii="Times New Roman" w:hAnsi="Times New Roman"/>
          <w:b/>
          <w:sz w:val="20"/>
        </w:rPr>
      </w:pPr>
      <w:bookmarkStart w:id="110" w:name="ex211_1.htm"/>
      <w:bookmarkStart w:id="111" w:name="ksex211_1"/>
      <w:bookmarkEnd w:id="110"/>
      <w:bookmarkEnd w:id="111"/>
      <w:r>
        <w:rPr>
          <w:rFonts w:ascii="Times New Roman" w:hAnsi="Times New Roman"/>
          <w:b/>
          <w:sz w:val="20"/>
        </w:rPr>
        <w:t>EXHIBIT 21.1</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SUBSIDIARIES OF THE REGISTRANT</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NetStreams, Inc. (DE)</w:t>
      </w:r>
    </w:p>
    <w:p>
      <w:pPr>
        <w:pStyle w:val="TextBody"/>
        <w:spacing w:lineRule="auto" w:line="240" w:before="0" w:after="0"/>
        <w:ind w:left="0" w:right="0" w:hanging="0"/>
        <w:rPr>
          <w:rFonts w:ascii="Times New Roman" w:hAnsi="Times New Roman"/>
          <w:sz w:val="20"/>
        </w:rPr>
      </w:pPr>
      <w:r>
        <w:rPr>
          <w:rFonts w:ascii="Times New Roman" w:hAnsi="Times New Roman"/>
          <w:sz w:val="20"/>
        </w:rPr>
        <w:t>NetStreams, LLC. (TX)</w:t>
      </w:r>
    </w:p>
    <w:p>
      <w:pPr>
        <w:pStyle w:val="TextBody"/>
        <w:spacing w:lineRule="auto" w:line="240" w:before="0" w:after="0"/>
        <w:ind w:left="0" w:right="0" w:hanging="0"/>
        <w:rPr>
          <w:rFonts w:ascii="Times New Roman" w:hAnsi="Times New Roman"/>
          <w:sz w:val="20"/>
        </w:rPr>
      </w:pPr>
      <w:r>
        <w:rPr>
          <w:rFonts w:ascii="Times New Roman" w:hAnsi="Times New Roman"/>
          <w:sz w:val="20"/>
        </w:rPr>
        <w:t>ClearOne Web Solutions, Inc. (DE)</w:t>
      </w:r>
    </w:p>
    <w:p>
      <w:pPr>
        <w:pStyle w:val="TextBody"/>
        <w:spacing w:lineRule="auto" w:line="240" w:before="0" w:after="0"/>
        <w:ind w:left="0" w:right="0" w:hanging="0"/>
        <w:rPr>
          <w:rFonts w:ascii="Times New Roman" w:hAnsi="Times New Roman"/>
          <w:sz w:val="20"/>
        </w:rPr>
      </w:pPr>
      <w:r>
        <w:rPr>
          <w:rFonts w:ascii="Times New Roman" w:hAnsi="Times New Roman"/>
          <w:sz w:val="20"/>
        </w:rPr>
        <w:t>ClearOne Communications Hong Kong Limited (Hong Kong)</w:t>
      </w:r>
    </w:p>
    <w:p>
      <w:pPr>
        <w:pStyle w:val="TextBody"/>
        <w:spacing w:lineRule="auto" w:line="240" w:before="0" w:after="0"/>
        <w:ind w:left="0" w:right="0" w:hanging="0"/>
        <w:rPr>
          <w:rFonts w:ascii="Times New Roman" w:hAnsi="Times New Roman"/>
          <w:sz w:val="20"/>
        </w:rPr>
      </w:pPr>
      <w:r>
        <w:rPr>
          <w:rFonts w:ascii="Times New Roman" w:hAnsi="Times New Roman"/>
          <w:sz w:val="20"/>
        </w:rPr>
        <w:t>ClearOne Ltd. (Israel)</w:t>
      </w:r>
    </w:p>
    <w:p>
      <w:pPr>
        <w:pStyle w:val="TextBody"/>
        <w:spacing w:lineRule="auto" w:line="240" w:before="0" w:after="0"/>
        <w:ind w:left="0" w:right="0" w:hanging="0"/>
        <w:rPr>
          <w:rFonts w:ascii="Times New Roman" w:hAnsi="Times New Roman"/>
          <w:sz w:val="20"/>
        </w:rPr>
      </w:pPr>
      <w:r>
        <w:rPr>
          <w:rFonts w:ascii="Times New Roman" w:hAnsi="Times New Roman"/>
          <w:sz w:val="20"/>
        </w:rPr>
        <w:t>ClearOne DMCC Branch (Dubai)</w:t>
      </w:r>
    </w:p>
    <w:p>
      <w:pPr>
        <w:pStyle w:val="TextBody"/>
        <w:spacing w:lineRule="auto" w:line="240" w:before="0" w:after="0"/>
        <w:ind w:left="0" w:right="0" w:hanging="0"/>
        <w:rPr>
          <w:rFonts w:ascii="Times New Roman" w:hAnsi="Times New Roman"/>
          <w:sz w:val="20"/>
        </w:rPr>
      </w:pPr>
      <w:r>
        <w:rPr>
          <w:rFonts w:ascii="Times New Roman" w:hAnsi="Times New Roman"/>
          <w:sz w:val="20"/>
        </w:rPr>
        <w:t>ClearOne Innovation India Private Ltd. (India)</w:t>
      </w:r>
    </w:p>
    <w:p>
      <w:pPr>
        <w:pStyle w:val="TextBody"/>
        <w:spacing w:lineRule="auto" w:line="240" w:before="0" w:after="0"/>
        <w:ind w:left="0" w:right="0" w:hanging="0"/>
        <w:rPr>
          <w:rFonts w:ascii="Times New Roman" w:hAnsi="Times New Roman"/>
          <w:sz w:val="20"/>
        </w:rPr>
      </w:pPr>
      <w:r>
        <w:rPr>
          <w:rFonts w:ascii="Times New Roman" w:hAnsi="Times New Roman"/>
          <w:sz w:val="20"/>
        </w:rPr>
        <w:t>ClearOne Spain SL (Spain)</w:t>
      </w:r>
    </w:p>
    <w:p>
      <w:pPr>
        <w:pStyle w:val="TextBody"/>
        <w:spacing w:lineRule="auto" w:line="240" w:before="0" w:after="0"/>
        <w:ind w:left="0" w:right="0" w:hanging="0"/>
        <w:rPr/>
      </w:pPr>
      <w:r>
        <w:rPr/>
        <w:t> </w:t>
      </w:r>
    </w:p>
    <w:p>
      <w:pPr>
        <w:pStyle w:val="TextBody"/>
        <w:spacing w:lineRule="auto" w:line="240" w:before="0" w:after="0"/>
        <w:ind w:left="0" w:right="0" w:hanging="0"/>
        <w:rPr/>
      </w:pPr>
      <w:r>
        <w:rPr/>
      </w:r>
    </w:p>
    <w:p>
      <w:pPr>
        <w:pStyle w:val="TextBody"/>
        <w:spacing w:lineRule="auto" w:line="240" w:before="0" w:after="0"/>
        <w:ind w:left="144" w:right="294" w:hanging="0"/>
        <w:jc w:val="right"/>
        <w:rPr/>
      </w:pPr>
      <w:r>
        <w:rPr/>
      </w:r>
    </w:p>
    <w:p>
      <w:pPr>
        <w:pStyle w:val="TextBody"/>
        <w:rPr/>
      </w:pPr>
      <w:r>
        <w:rPr/>
      </w:r>
      <w:r>
        <w:br w:type="page"/>
      </w:r>
    </w:p>
    <w:p>
      <w:pPr>
        <w:pStyle w:val="TextBody"/>
        <w:spacing w:lineRule="auto" w:line="240" w:before="0" w:after="0"/>
        <w:ind w:left="0" w:right="0" w:hanging="0"/>
        <w:jc w:val="right"/>
        <w:rPr>
          <w:rFonts w:ascii="times new roman;times" w:hAnsi="times new roman;times"/>
          <w:b/>
          <w:sz w:val="20"/>
        </w:rPr>
      </w:pPr>
      <w:bookmarkStart w:id="112" w:name="ex231_2.htm"/>
      <w:bookmarkStart w:id="113" w:name="ksex231_2"/>
      <w:bookmarkEnd w:id="112"/>
      <w:bookmarkEnd w:id="113"/>
      <w:r>
        <w:rPr>
          <w:rFonts w:ascii="times new roman;times" w:hAnsi="times new roman;times"/>
          <w:b/>
          <w:sz w:val="20"/>
        </w:rPr>
        <w:t>EXHIBIT 23.1</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lineRule="auto" w:line="240" w:before="0" w:after="0"/>
        <w:ind w:left="0" w:right="0" w:hanging="0"/>
        <w:rPr/>
      </w:pPr>
      <w:r>
        <w:rPr/>
        <w:t> </w:t>
      </w:r>
    </w:p>
    <w:p>
      <w:pPr>
        <w:pStyle w:val="TextBody"/>
        <w:widowControl/>
        <w:spacing w:lineRule="auto" w:line="240" w:before="0" w:after="0"/>
        <w:ind w:left="0" w:right="0" w:hanging="0"/>
        <w:rPr>
          <w:rFonts w:ascii="times new roman;times" w:hAnsi="times new roman;times"/>
          <w:sz w:val="20"/>
        </w:rPr>
      </w:pPr>
      <w:r>
        <w:rPr>
          <w:rFonts w:ascii="Times New Roman" w:hAnsi="Times New Roman"/>
          <w:sz w:val="20"/>
        </w:rPr>
        <w:t>We consent to the incorporation by reference in Registration Statements (Nos. 333-205356, 333-209130, 333-148789 and 333-137859) on Form S-8</w:t>
      </w:r>
      <w:r>
        <w:rPr>
          <w:rFonts w:ascii="times new roman;times" w:hAnsi="times new roman;times"/>
          <w:sz w:val="20"/>
        </w:rPr>
        <w:t xml:space="preserve">  </w:t>
      </w:r>
      <w:r>
        <w:rPr>
          <w:rFonts w:ascii="Times New Roman" w:hAnsi="Times New Roman"/>
          <w:sz w:val="20"/>
        </w:rPr>
        <w:t xml:space="preserve">on Form S-1 </w:t>
      </w:r>
      <w:r>
        <w:rPr>
          <w:rFonts w:ascii="Times New Roman" w:hAnsi="Times New Roman"/>
          <w:b w:val="false"/>
          <w:i w:val="false"/>
          <w:caps w:val="false"/>
          <w:smallCaps w:val="false"/>
          <w:color w:val="000000"/>
          <w:spacing w:val="0"/>
          <w:sz w:val="20"/>
        </w:rPr>
        <w:t>(No. 333-249506) </w:t>
      </w:r>
      <w:r>
        <w:rPr>
          <w:rFonts w:ascii="Times New Roman" w:hAnsi="Times New Roman"/>
          <w:sz w:val="20"/>
        </w:rPr>
        <w:t xml:space="preserve">and on Form S-3 </w:t>
      </w:r>
      <w:r>
        <w:rPr>
          <w:rFonts w:ascii="Times New Roman" w:hAnsi="Times New Roman"/>
          <w:b w:val="false"/>
          <w:i w:val="false"/>
          <w:caps w:val="false"/>
          <w:smallCaps w:val="false"/>
          <w:color w:val="000000"/>
          <w:spacing w:val="0"/>
          <w:sz w:val="20"/>
        </w:rPr>
        <w:t>(Nos. 333-259799, 333-248412 and 333-238085) </w:t>
      </w:r>
      <w:r>
        <w:rPr>
          <w:rFonts w:ascii="Times New Roman" w:hAnsi="Times New Roman"/>
          <w:sz w:val="20"/>
        </w:rPr>
        <w:t>of ClearOne, Inc. of our report dated March 31, 2023, relating to our audit of the consolidated financial statements, which appears in this Annual Report on Form 10-K of ClearOne, Inc. for the year ended December 31, 2022.</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i/>
          <w:sz w:val="20"/>
        </w:rPr>
      </w:pPr>
      <w:r>
        <w:rPr>
          <w:rFonts w:ascii="Times New Roman" w:hAnsi="Times New Roman"/>
          <w:i/>
          <w:sz w:val="20"/>
        </w:rPr>
        <w:t>/s/ Tanner LLC</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Salt Lake City, UT</w:t>
      </w:r>
    </w:p>
    <w:p>
      <w:pPr>
        <w:pStyle w:val="TextBody"/>
        <w:spacing w:lineRule="auto" w:line="240" w:before="0" w:after="0"/>
        <w:ind w:left="0" w:right="0" w:hanging="0"/>
        <w:rPr>
          <w:rFonts w:ascii="times new roman;times" w:hAnsi="times new roman;times"/>
          <w:sz w:val="20"/>
        </w:rPr>
      </w:pPr>
      <w:r>
        <w:rPr>
          <w:rFonts w:ascii="times new roman;times" w:hAnsi="times new roman;times"/>
          <w:sz w:val="20"/>
        </w:rPr>
        <w:t>March 31, 2023</w:t>
      </w:r>
    </w:p>
    <w:p>
      <w:pPr>
        <w:pStyle w:val="TextBody"/>
        <w:spacing w:lineRule="auto" w:line="240" w:before="0" w:after="0"/>
        <w:ind w:left="0" w:right="0" w:hanging="0"/>
        <w:rPr/>
      </w:pPr>
      <w:r>
        <w:rPr/>
        <w:t> </w:t>
      </w:r>
    </w:p>
    <w:p>
      <w:pPr>
        <w:pStyle w:val="TextBody"/>
        <w:spacing w:before="0" w:after="0"/>
        <w:ind w:left="0" w:right="0" w:hanging="0"/>
        <w:rPr/>
      </w:pPr>
      <w:r>
        <w:rPr/>
      </w:r>
    </w:p>
    <w:p>
      <w:pPr>
        <w:pStyle w:val="TextBody"/>
        <w:spacing w:before="0" w:after="0"/>
        <w:ind w:left="0" w:right="0" w:hanging="0"/>
        <w:jc w:val="right"/>
        <w:rPr/>
      </w:pPr>
      <w:r>
        <w:rPr/>
      </w:r>
    </w:p>
    <w:p>
      <w:pPr>
        <w:pStyle w:val="TextBody"/>
        <w:rPr/>
      </w:pPr>
      <w:r>
        <w:rPr/>
      </w:r>
      <w:r>
        <w:br w:type="page"/>
      </w:r>
    </w:p>
    <w:p>
      <w:pPr>
        <w:pStyle w:val="TextBody"/>
        <w:widowControl/>
        <w:spacing w:lineRule="auto" w:line="240" w:before="0" w:after="0"/>
        <w:ind w:left="144" w:right="144" w:hanging="0"/>
        <w:jc w:val="right"/>
        <w:rPr>
          <w:rFonts w:ascii="Times New Roman" w:hAnsi="Times New Roman"/>
          <w:b/>
          <w:i w:val="false"/>
          <w:caps w:val="false"/>
          <w:smallCaps w:val="false"/>
          <w:color w:val="000000"/>
          <w:spacing w:val="0"/>
          <w:sz w:val="20"/>
        </w:rPr>
      </w:pPr>
      <w:bookmarkStart w:id="114" w:name="ex311_3.htm"/>
      <w:bookmarkStart w:id="115" w:name="ksex311_3"/>
      <w:bookmarkEnd w:id="114"/>
      <w:bookmarkEnd w:id="115"/>
      <w:r>
        <w:rPr>
          <w:rFonts w:ascii="Times New Roman" w:hAnsi="Times New Roman"/>
          <w:b/>
          <w:i w:val="false"/>
          <w:caps w:val="false"/>
          <w:smallCaps w:val="false"/>
          <w:color w:val="000000"/>
          <w:spacing w:val="0"/>
          <w:sz w:val="20"/>
        </w:rPr>
        <w:t>EXHIBIT 31.1</w:t>
      </w:r>
    </w:p>
    <w:p>
      <w:pPr>
        <w:pStyle w:val="TextBody"/>
        <w:widowControl/>
        <w:spacing w:lineRule="auto" w:line="240" w:before="0" w:after="0"/>
        <w:ind w:left="144" w:right="144"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spacing w:lineRule="auto" w:line="240" w:before="0" w:after="0"/>
        <w:ind w:left="144" w:right="144" w:hanging="0"/>
        <w:jc w:val="center"/>
        <w:rPr>
          <w:rFonts w:ascii="Times New Roman" w:hAnsi="Times New Roman"/>
          <w:b/>
          <w:sz w:val="20"/>
        </w:rPr>
      </w:pPr>
      <w:r>
        <w:rPr>
          <w:rFonts w:ascii="Times New Roman" w:hAnsi="Times New Roman"/>
          <w:b/>
          <w:sz w:val="20"/>
        </w:rPr>
        <w:t>CERTIFICATION</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I, Derek L. Graham, certify that:</w:t>
      </w:r>
    </w:p>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 have reviewed this annual report of ClearOne, Inc. on Form 10-K;</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49"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47" w:type="dxa"/>
            <w:tcBorders/>
            <w:shd w:fill="auto" w:val="clear"/>
            <w:vAlign w:val="center"/>
          </w:tcPr>
          <w:p>
            <w:pPr>
              <w:pStyle w:val="TableContents"/>
              <w:spacing w:lineRule="auto" w:line="240" w:before="0" w:after="0"/>
              <w:ind w:left="0" w:right="0" w:hanging="0"/>
              <w:rPr/>
            </w:pPr>
            <w:r>
              <w:rPr>
                <w:rFonts w:ascii="Times New Roman" w:hAnsi="Times New Roman"/>
                <w:sz w:val="20"/>
              </w:rPr>
              <w:t>Based on my knowledge, the financial statements, and other financial information included in this report, fairly present</w:t>
            </w:r>
            <w:r>
              <w:rPr/>
              <w:t xml:space="preserve"> </w:t>
            </w:r>
            <w:r>
              <w:rPr>
                <w:rFonts w:ascii="Times New Roman" w:hAnsi="Times New Roman"/>
                <w:sz w:val="20"/>
              </w:rPr>
              <w:t>in all material respects the financial condition, results of operations and cash flows of the registrant as of, and for, the periods presented in this report;</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50"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29"/>
        <w:gridCol w:w="10002"/>
      </w:tblGrid>
      <w:tr>
        <w:trPr/>
        <w:tc>
          <w:tcPr>
            <w:tcW w:w="74" w:type="dxa"/>
            <w:tcBorders/>
            <w:shd w:fill="auto" w:val="clear"/>
            <w:vAlign w:val="center"/>
          </w:tcPr>
          <w:p>
            <w:pPr>
              <w:pStyle w:val="TableContents"/>
              <w:spacing w:before="0" w:after="0"/>
              <w:ind w:left="0" w:right="0" w:hanging="0"/>
              <w:rPr/>
            </w:pPr>
            <w:r>
              <w:rPr/>
              <w:t> </w:t>
            </w:r>
          </w:p>
        </w:tc>
        <w:tc>
          <w:tcPr>
            <w:tcW w:w="12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10002"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44"/>
        <w:gridCol w:w="9987"/>
      </w:tblGrid>
      <w:tr>
        <w:trPr/>
        <w:tc>
          <w:tcPr>
            <w:tcW w:w="74" w:type="dxa"/>
            <w:tcBorders/>
            <w:shd w:fill="auto" w:val="clear"/>
            <w:vAlign w:val="center"/>
          </w:tcPr>
          <w:p>
            <w:pPr>
              <w:pStyle w:val="TableContents"/>
              <w:spacing w:before="0" w:after="0"/>
              <w:ind w:left="0" w:right="0" w:hanging="0"/>
              <w:rPr/>
            </w:pPr>
            <w:r>
              <w:rPr/>
              <w:t> </w:t>
            </w:r>
          </w:p>
        </w:tc>
        <w:tc>
          <w:tcPr>
            <w:tcW w:w="144"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b)</w:t>
            </w:r>
          </w:p>
        </w:tc>
        <w:tc>
          <w:tcPr>
            <w:tcW w:w="9987"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35"/>
        <w:gridCol w:w="9996"/>
      </w:tblGrid>
      <w:tr>
        <w:trPr/>
        <w:tc>
          <w:tcPr>
            <w:tcW w:w="74"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96"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44"/>
        <w:gridCol w:w="9987"/>
      </w:tblGrid>
      <w:tr>
        <w:trPr/>
        <w:tc>
          <w:tcPr>
            <w:tcW w:w="74" w:type="dxa"/>
            <w:tcBorders/>
            <w:shd w:fill="auto" w:val="clear"/>
            <w:vAlign w:val="center"/>
          </w:tcPr>
          <w:p>
            <w:pPr>
              <w:pStyle w:val="TableContents"/>
              <w:spacing w:before="0" w:after="0"/>
              <w:ind w:left="0" w:right="0" w:hanging="0"/>
              <w:rPr/>
            </w:pPr>
            <w:r>
              <w:rPr/>
              <w:t> </w:t>
            </w:r>
          </w:p>
        </w:tc>
        <w:tc>
          <w:tcPr>
            <w:tcW w:w="14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87"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5.</w:t>
            </w:r>
          </w:p>
        </w:tc>
        <w:tc>
          <w:tcPr>
            <w:tcW w:w="10048"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36"/>
        <w:gridCol w:w="9995"/>
      </w:tblGrid>
      <w:tr>
        <w:trPr/>
        <w:tc>
          <w:tcPr>
            <w:tcW w:w="74" w:type="dxa"/>
            <w:tcBorders/>
            <w:shd w:fill="auto" w:val="clear"/>
            <w:vAlign w:val="center"/>
          </w:tcPr>
          <w:p>
            <w:pPr>
              <w:pStyle w:val="TableContents"/>
              <w:spacing w:before="0" w:after="0"/>
              <w:ind w:left="0" w:right="0" w:hanging="0"/>
              <w:rPr/>
            </w:pPr>
            <w:r>
              <w:rPr/>
              <w:t> </w:t>
            </w:r>
          </w:p>
        </w:tc>
        <w:tc>
          <w:tcPr>
            <w:tcW w:w="1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5"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67"/>
        <w:gridCol w:w="9964"/>
      </w:tblGrid>
      <w:tr>
        <w:trPr/>
        <w:tc>
          <w:tcPr>
            <w:tcW w:w="74" w:type="dxa"/>
            <w:tcBorders/>
            <w:shd w:fill="auto" w:val="clear"/>
            <w:vAlign w:val="center"/>
          </w:tcPr>
          <w:p>
            <w:pPr>
              <w:pStyle w:val="TableContents"/>
              <w:spacing w:before="0" w:after="0"/>
              <w:ind w:left="0" w:right="0" w:hanging="0"/>
              <w:rPr/>
            </w:pPr>
            <w:r>
              <w:rPr/>
              <w:t> </w:t>
            </w:r>
          </w:p>
        </w:tc>
        <w:tc>
          <w:tcPr>
            <w:tcW w:w="16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64" w:type="dxa"/>
            <w:tcBorders/>
            <w:shd w:fill="auto" w:val="clear"/>
            <w:vAlign w:val="center"/>
          </w:tcPr>
          <w:p>
            <w:pPr>
              <w:pStyle w:val="TableContents"/>
              <w:spacing w:before="0" w:after="0"/>
              <w:ind w:left="0" w:right="0" w:hanging="0"/>
              <w:rPr/>
            </w:pPr>
            <w:r>
              <w:rPr>
                <w:rFonts w:ascii="Times New Roman" w:hAnsi="Times New Roman"/>
                <w:sz w:val="20"/>
              </w:rPr>
              <w:t>Any fraud, whether or not</w:t>
            </w:r>
            <w:r>
              <w:rPr/>
              <w:t xml:space="preserve"> </w:t>
            </w:r>
            <w:r>
              <w:rPr>
                <w:rFonts w:ascii="Times New Roman" w:hAnsi="Times New Roman"/>
                <w:sz w:val="20"/>
              </w:rPr>
              <w:t>material, that involves management or other employees who have a significant role in the registrant’s internal control over financial reporting.</w:t>
            </w:r>
          </w:p>
        </w:tc>
      </w:tr>
    </w:tbl>
    <w:p>
      <w:pPr>
        <w:pStyle w:val="TextBody"/>
        <w:spacing w:lineRule="auto" w:line="240" w:before="0" w:after="0"/>
        <w:ind w:left="0" w:right="0" w:hanging="0"/>
        <w:rPr/>
      </w:pPr>
      <w:r>
        <w:rPr/>
        <w:t> </w:t>
      </w:r>
    </w:p>
    <w:tbl>
      <w:tblPr>
        <w:tblW w:w="4500" w:type="pct"/>
        <w:jc w:val="left"/>
        <w:tblInd w:w="0" w:type="dxa"/>
        <w:tblCellMar>
          <w:top w:w="0" w:type="dxa"/>
          <w:left w:w="0" w:type="dxa"/>
          <w:bottom w:w="0" w:type="dxa"/>
          <w:right w:w="0" w:type="dxa"/>
        </w:tblCellMar>
      </w:tblPr>
      <w:tblGrid>
        <w:gridCol w:w="3509"/>
        <w:gridCol w:w="760"/>
        <w:gridCol w:w="4915"/>
      </w:tblGrid>
      <w:tr>
        <w:trPr/>
        <w:tc>
          <w:tcPr>
            <w:tcW w:w="3509" w:type="dxa"/>
            <w:tcBorders/>
            <w:shd w:fill="auto" w:val="clear"/>
            <w:vAlign w:val="center"/>
          </w:tcPr>
          <w:p>
            <w:pPr>
              <w:pStyle w:val="TableContents"/>
              <w:spacing w:before="0" w:after="0"/>
              <w:ind w:left="0" w:right="0" w:hanging="0"/>
              <w:rPr/>
            </w:pPr>
            <w:r>
              <w:rPr>
                <w:rFonts w:ascii="Times New Roman" w:hAnsi="Times New Roman"/>
                <w:sz w:val="20"/>
              </w:rPr>
              <w:t>March 31, 2023</w:t>
            </w:r>
            <w:r>
              <w:rPr/>
              <w:t>      </w:t>
            </w:r>
          </w:p>
        </w:tc>
        <w:tc>
          <w:tcPr>
            <w:tcW w:w="76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By: </w:t>
            </w:r>
          </w:p>
        </w:tc>
        <w:tc>
          <w:tcPr>
            <w:tcW w:w="4915"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i/>
                <w:sz w:val="20"/>
              </w:rPr>
            </w:pPr>
            <w:r>
              <w:rPr>
                <w:rFonts w:ascii="Times New Roman" w:hAnsi="Times New Roman"/>
                <w:i/>
                <w:sz w:val="20"/>
              </w:rPr>
              <w:t>/s/ Derek L. Graham</w:t>
            </w:r>
          </w:p>
        </w:tc>
      </w:tr>
      <w:tr>
        <w:trPr/>
        <w:tc>
          <w:tcPr>
            <w:tcW w:w="3509" w:type="dxa"/>
            <w:tcBorders/>
            <w:shd w:fill="auto" w:val="clear"/>
            <w:vAlign w:val="center"/>
          </w:tcPr>
          <w:p>
            <w:pPr>
              <w:pStyle w:val="TableContents"/>
              <w:spacing w:before="0" w:after="0"/>
              <w:ind w:left="0" w:right="0" w:hanging="0"/>
              <w:rPr/>
            </w:pPr>
            <w:r>
              <w:rPr/>
              <w:t> </w:t>
            </w:r>
          </w:p>
        </w:tc>
        <w:tc>
          <w:tcPr>
            <w:tcW w:w="760" w:type="dxa"/>
            <w:tcBorders/>
            <w:shd w:fill="auto" w:val="clear"/>
            <w:vAlign w:val="center"/>
          </w:tcPr>
          <w:p>
            <w:pPr>
              <w:pStyle w:val="TableContents"/>
              <w:spacing w:before="0" w:after="0"/>
              <w:ind w:left="0" w:right="0" w:hanging="0"/>
              <w:rPr/>
            </w:pPr>
            <w:r>
              <w:rPr/>
              <w:t> </w:t>
            </w:r>
          </w:p>
        </w:tc>
        <w:tc>
          <w:tcPr>
            <w:tcW w:w="4915" w:type="dxa"/>
            <w:tcBorders/>
            <w:shd w:fill="auto" w:val="clear"/>
            <w:vAlign w:val="center"/>
          </w:tcPr>
          <w:p>
            <w:pPr>
              <w:pStyle w:val="TableContents"/>
              <w:spacing w:before="0" w:after="0"/>
              <w:ind w:left="0" w:right="0" w:hanging="0"/>
              <w:rPr/>
            </w:pPr>
            <w:r>
              <w:rPr/>
              <w:t>Derek L. Graham</w:t>
            </w:r>
          </w:p>
        </w:tc>
      </w:tr>
      <w:tr>
        <w:trPr/>
        <w:tc>
          <w:tcPr>
            <w:tcW w:w="3509" w:type="dxa"/>
            <w:tcBorders/>
            <w:shd w:fill="auto" w:val="clear"/>
            <w:vAlign w:val="center"/>
          </w:tcPr>
          <w:p>
            <w:pPr>
              <w:pStyle w:val="TableContents"/>
              <w:spacing w:before="0" w:after="0"/>
              <w:ind w:left="0" w:right="0" w:hanging="0"/>
              <w:rPr/>
            </w:pPr>
            <w:r>
              <w:rPr/>
              <w:t> </w:t>
            </w:r>
          </w:p>
        </w:tc>
        <w:tc>
          <w:tcPr>
            <w:tcW w:w="760" w:type="dxa"/>
            <w:tcBorders/>
            <w:shd w:fill="auto" w:val="clear"/>
            <w:vAlign w:val="center"/>
          </w:tcPr>
          <w:p>
            <w:pPr>
              <w:pStyle w:val="TableContents"/>
              <w:spacing w:before="0" w:after="0"/>
              <w:ind w:left="0" w:right="0" w:hanging="0"/>
              <w:rPr/>
            </w:pPr>
            <w:r>
              <w:rPr/>
              <w:t> </w:t>
            </w:r>
          </w:p>
        </w:tc>
        <w:tc>
          <w:tcPr>
            <w:tcW w:w="49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Chief Executive Officer</w:t>
            </w:r>
          </w:p>
        </w:tc>
      </w:tr>
      <w:tr>
        <w:trPr/>
        <w:tc>
          <w:tcPr>
            <w:tcW w:w="3509" w:type="dxa"/>
            <w:tcBorders/>
            <w:shd w:fill="auto" w:val="clear"/>
            <w:vAlign w:val="center"/>
          </w:tcPr>
          <w:p>
            <w:pPr>
              <w:pStyle w:val="TableContents"/>
              <w:spacing w:before="0" w:after="0"/>
              <w:ind w:left="0" w:right="0" w:hanging="0"/>
              <w:rPr/>
            </w:pPr>
            <w:r>
              <w:rPr/>
              <w:t> </w:t>
            </w:r>
          </w:p>
        </w:tc>
        <w:tc>
          <w:tcPr>
            <w:tcW w:w="760" w:type="dxa"/>
            <w:tcBorders/>
            <w:shd w:fill="auto" w:val="clear"/>
            <w:vAlign w:val="center"/>
          </w:tcPr>
          <w:p>
            <w:pPr>
              <w:pStyle w:val="TableContents"/>
              <w:spacing w:before="0" w:after="0"/>
              <w:ind w:left="0" w:right="0" w:hanging="0"/>
              <w:rPr/>
            </w:pPr>
            <w:r>
              <w:rPr/>
              <w:t> </w:t>
            </w:r>
          </w:p>
        </w:tc>
        <w:tc>
          <w:tcPr>
            <w:tcW w:w="49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Executive Officer)</w:t>
            </w:r>
          </w:p>
        </w:tc>
      </w:tr>
    </w:tbl>
    <w:p>
      <w:pPr>
        <w:pStyle w:val="TextBody"/>
        <w:spacing w:lineRule="auto" w:line="240" w:before="0" w:after="0"/>
        <w:ind w:left="0" w:right="0" w:hanging="0"/>
        <w:rPr/>
      </w:pPr>
      <w:r>
        <w:rPr/>
      </w:r>
      <w:r>
        <w:br w:type="page"/>
      </w:r>
    </w:p>
    <w:p>
      <w:pPr>
        <w:pStyle w:val="TextBody"/>
        <w:spacing w:lineRule="auto" w:line="240" w:before="0" w:after="0"/>
        <w:ind w:left="0" w:right="0" w:hanging="0"/>
        <w:jc w:val="right"/>
        <w:rPr>
          <w:rFonts w:ascii="Times New Roman" w:hAnsi="Times New Roman"/>
          <w:b/>
          <w:sz w:val="20"/>
        </w:rPr>
      </w:pPr>
      <w:bookmarkStart w:id="116" w:name="ex312_4.htm"/>
      <w:bookmarkStart w:id="117" w:name="ksex312_4"/>
      <w:bookmarkEnd w:id="116"/>
      <w:bookmarkEnd w:id="117"/>
      <w:r>
        <w:rPr>
          <w:rFonts w:ascii="Times New Roman" w:hAnsi="Times New Roman"/>
          <w:b/>
          <w:sz w:val="20"/>
        </w:rPr>
        <w:t xml:space="preserve">EXHIBIT 31.2 </w:t>
      </w:r>
    </w:p>
    <w:p>
      <w:pPr>
        <w:pStyle w:val="TextBody"/>
        <w:spacing w:lineRule="auto" w:line="240" w:before="0" w:after="0"/>
        <w:ind w:left="0" w:right="0" w:hanging="0"/>
        <w:jc w:val="right"/>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lineRule="auto" w:line="240" w:before="0" w:after="0"/>
        <w:ind w:left="0" w:right="0" w:hanging="0"/>
        <w:jc w:val="center"/>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I, Narsi Narayanan, certify that:</w:t>
      </w:r>
    </w:p>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 have reviewed this annual report of ClearOne, Inc. on Form 10-K;</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49"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10047" w:type="dxa"/>
            <w:tcBorders/>
            <w:shd w:fill="auto" w:val="clear"/>
            <w:vAlign w:val="center"/>
          </w:tcPr>
          <w:p>
            <w:pPr>
              <w:pStyle w:val="TableContents"/>
              <w:spacing w:lineRule="auto" w:line="240" w:before="0" w:after="0"/>
              <w:ind w:left="0" w:right="0" w:hanging="0"/>
              <w:rPr/>
            </w:pPr>
            <w:r>
              <w:rPr>
                <w:rFonts w:ascii="Times New Roman" w:hAnsi="Times New Roman"/>
                <w:sz w:val="20"/>
              </w:rPr>
              <w:t>Based on my knowledge, the financial statements, and other financial information included in this report, fairly present</w:t>
            </w:r>
            <w:r>
              <w:rPr/>
              <w:t xml:space="preserve"> </w:t>
            </w:r>
            <w:r>
              <w:rPr>
                <w:rFonts w:ascii="Times New Roman" w:hAnsi="Times New Roman"/>
                <w:sz w:val="20"/>
              </w:rPr>
              <w:t>in all material respects the financial condition, results of operations and cash flows of the registrant as of, and for, the periods presented in this report; </w:t>
            </w:r>
          </w:p>
        </w:tc>
      </w:tr>
    </w:tbl>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50"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240" w:before="0" w:after="0"/>
        <w:ind w:left="0" w:right="0" w:hanging="0"/>
        <w:rPr/>
      </w:pPr>
      <w:r>
        <w:rPr/>
        <w:t> </w:t>
      </w:r>
    </w:p>
    <w:p>
      <w:pPr>
        <w:pStyle w:val="TextBody"/>
        <w:spacing w:lineRule="auto" w:line="240" w:before="0" w:after="0"/>
        <w:ind w:left="0" w:right="0" w:hanging="0"/>
        <w:rPr/>
      </w:pPr>
      <w:r>
        <w:rPr/>
        <w:t> </w:t>
      </w:r>
    </w:p>
    <w:tbl>
      <w:tblPr>
        <w:tblW w:w="5000" w:type="pct"/>
        <w:jc w:val="left"/>
        <w:tblInd w:w="0" w:type="dxa"/>
        <w:tblCellMar>
          <w:top w:w="0" w:type="dxa"/>
          <w:left w:w="0" w:type="dxa"/>
          <w:bottom w:w="0" w:type="dxa"/>
          <w:right w:w="0" w:type="dxa"/>
        </w:tblCellMar>
      </w:tblPr>
      <w:tblGrid>
        <w:gridCol w:w="74"/>
        <w:gridCol w:w="128"/>
        <w:gridCol w:w="10003"/>
      </w:tblGrid>
      <w:tr>
        <w:trPr/>
        <w:tc>
          <w:tcPr>
            <w:tcW w:w="74" w:type="dxa"/>
            <w:tcBorders/>
            <w:shd w:fill="auto" w:val="clear"/>
            <w:vAlign w:val="center"/>
          </w:tcPr>
          <w:p>
            <w:pPr>
              <w:pStyle w:val="TableContents"/>
              <w:spacing w:before="0" w:after="0"/>
              <w:ind w:left="0" w:right="0" w:hanging="0"/>
              <w:rPr/>
            </w:pPr>
            <w:r>
              <w:rPr/>
              <w:t> </w:t>
            </w:r>
          </w:p>
        </w:tc>
        <w:tc>
          <w:tcPr>
            <w:tcW w:w="128"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10003" w:type="dxa"/>
            <w:tcBorders/>
            <w:shd w:fill="auto" w:val="clear"/>
            <w:vAlign w:val="center"/>
          </w:tcPr>
          <w:p>
            <w:pPr>
              <w:pStyle w:val="TableContents"/>
              <w:widowControl/>
              <w:spacing w:lineRule="auto" w:line="240"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40" w:before="0" w:after="0"/>
        <w:ind w:left="0" w:right="0" w:hanging="0"/>
        <w:rPr/>
      </w:pPr>
      <w:r>
        <w:rPr/>
      </w:r>
    </w:p>
    <w:tbl>
      <w:tblPr>
        <w:tblW w:w="5000" w:type="pct"/>
        <w:jc w:val="left"/>
        <w:tblInd w:w="0" w:type="dxa"/>
        <w:tblCellMar>
          <w:top w:w="0" w:type="dxa"/>
          <w:left w:w="0" w:type="dxa"/>
          <w:bottom w:w="0" w:type="dxa"/>
          <w:right w:w="0" w:type="dxa"/>
        </w:tblCellMar>
      </w:tblPr>
      <w:tblGrid>
        <w:gridCol w:w="74"/>
        <w:gridCol w:w="143"/>
        <w:gridCol w:w="9988"/>
      </w:tblGrid>
      <w:tr>
        <w:trPr/>
        <w:tc>
          <w:tcPr>
            <w:tcW w:w="74" w:type="dxa"/>
            <w:tcBorders/>
            <w:shd w:fill="auto" w:val="clear"/>
            <w:vAlign w:val="center"/>
          </w:tcPr>
          <w:p>
            <w:pPr>
              <w:pStyle w:val="TableContents"/>
              <w:spacing w:before="0" w:after="0"/>
              <w:ind w:left="0" w:right="0" w:hanging="0"/>
              <w:rPr/>
            </w:pPr>
            <w:r>
              <w:rPr/>
              <w:t> </w:t>
            </w:r>
          </w:p>
        </w:tc>
        <w:tc>
          <w:tcPr>
            <w:tcW w:w="14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88" w:type="dxa"/>
            <w:tcBorders/>
            <w:shd w:fill="auto" w:val="clear"/>
            <w:vAlign w:val="center"/>
          </w:tcPr>
          <w:p>
            <w:pPr>
              <w:pStyle w:val="TableContents"/>
              <w:widowControl/>
              <w:spacing w:lineRule="auto" w:line="240"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40"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74"/>
        <w:gridCol w:w="134"/>
        <w:gridCol w:w="9997"/>
      </w:tblGrid>
      <w:tr>
        <w:trPr/>
        <w:tc>
          <w:tcPr>
            <w:tcW w:w="74" w:type="dxa"/>
            <w:tcBorders/>
            <w:shd w:fill="auto" w:val="clear"/>
            <w:vAlign w:val="center"/>
          </w:tcPr>
          <w:p>
            <w:pPr>
              <w:pStyle w:val="TableContents"/>
              <w:spacing w:before="0" w:after="0"/>
              <w:ind w:left="0" w:right="0" w:hanging="0"/>
              <w:rPr/>
            </w:pPr>
            <w:r>
              <w:rPr/>
              <w:t> </w:t>
            </w:r>
          </w:p>
        </w:tc>
        <w:tc>
          <w:tcPr>
            <w:tcW w:w="13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97" w:type="dxa"/>
            <w:tcBorders/>
            <w:shd w:fill="auto" w:val="clear"/>
            <w:vAlign w:val="center"/>
          </w:tcPr>
          <w:p>
            <w:pPr>
              <w:pStyle w:val="TableContents"/>
              <w:widowControl/>
              <w:spacing w:lineRule="auto" w:line="240" w:before="0" w:after="0"/>
              <w:ind w:left="0" w:right="0" w:hanging="0"/>
              <w:rPr/>
            </w:pPr>
            <w:r>
              <w:rPr>
                <w:rFonts w:ascii="Times New Roman" w:hAnsi="Times New Roman"/>
                <w:b w:val="false"/>
                <w:i w:val="false"/>
                <w:caps w:val="false"/>
                <w:smallCaps w:val="false"/>
                <w:color w:val="000000"/>
                <w:spacing w:val="0"/>
                <w:sz w:val="20"/>
              </w:rPr>
              <w:t>Evaluated the effectiveness of the registrant’s disclosure controls and procedures and presented in this report our conclusions about the effectiveness of the disclosure controls and procedures, as of the end of the period covered by this report based on such </w:t>
            </w:r>
            <w:r>
              <w:rPr/>
              <w:t>evaluation;</w:t>
            </w:r>
            <w:r>
              <w:rPr>
                <w:caps w:val="false"/>
                <w:smallCaps w:val="false"/>
                <w:color w:val="000000"/>
                <w:spacing w:val="0"/>
              </w:rPr>
              <w:t> </w:t>
            </w:r>
            <w:r>
              <w:rPr>
                <w:rFonts w:ascii="Times New Roman" w:hAnsi="Times New Roman"/>
                <w:b w:val="false"/>
                <w:i w:val="false"/>
                <w:caps w:val="false"/>
                <w:smallCaps w:val="false"/>
                <w:color w:val="000000"/>
                <w:spacing w:val="0"/>
                <w:sz w:val="20"/>
              </w:rPr>
              <w:t>and</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74"/>
        <w:gridCol w:w="144"/>
        <w:gridCol w:w="9987"/>
      </w:tblGrid>
      <w:tr>
        <w:trPr/>
        <w:tc>
          <w:tcPr>
            <w:tcW w:w="74" w:type="dxa"/>
            <w:tcBorders/>
            <w:shd w:fill="auto" w:val="clear"/>
            <w:vAlign w:val="center"/>
          </w:tcPr>
          <w:p>
            <w:pPr>
              <w:pStyle w:val="TableContents"/>
              <w:spacing w:before="0" w:after="0"/>
              <w:ind w:left="0" w:right="0" w:hanging="0"/>
              <w:rPr/>
            </w:pPr>
            <w:r>
              <w:rPr/>
              <w:t> </w:t>
            </w:r>
          </w:p>
        </w:tc>
        <w:tc>
          <w:tcPr>
            <w:tcW w:w="14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87" w:type="dxa"/>
            <w:tcBorders/>
            <w:shd w:fill="auto" w:val="clear"/>
            <w:vAlign w:val="center"/>
          </w:tcPr>
          <w:p>
            <w:pPr>
              <w:pStyle w:val="TableContents"/>
              <w:widowControl/>
              <w:spacing w:lineRule="auto" w:line="240" w:before="0" w:after="0"/>
              <w:ind w:left="0" w:right="0" w:hanging="0"/>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10048"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40"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74"/>
        <w:gridCol w:w="136"/>
        <w:gridCol w:w="9995"/>
      </w:tblGrid>
      <w:tr>
        <w:trPr/>
        <w:tc>
          <w:tcPr>
            <w:tcW w:w="74" w:type="dxa"/>
            <w:tcBorders/>
            <w:shd w:fill="auto" w:val="clear"/>
            <w:vAlign w:val="center"/>
          </w:tcPr>
          <w:p>
            <w:pPr>
              <w:pStyle w:val="TableContents"/>
              <w:spacing w:before="0" w:after="0"/>
              <w:ind w:left="0" w:right="0" w:hanging="0"/>
              <w:rPr/>
            </w:pPr>
            <w:r>
              <w:rPr/>
              <w:t> </w:t>
            </w:r>
          </w:p>
        </w:tc>
        <w:tc>
          <w:tcPr>
            <w:tcW w:w="1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5" w:type="dxa"/>
            <w:tcBorders/>
            <w:shd w:fill="auto" w:val="clear"/>
            <w:vAlign w:val="center"/>
          </w:tcPr>
          <w:p>
            <w:pPr>
              <w:pStyle w:val="TableContents"/>
              <w:spacing w:lineRule="auto" w:line="240" w:before="0" w:after="0"/>
              <w:ind w:left="0" w:right="0" w:hanging="0"/>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40" w:before="0" w:after="0"/>
        <w:ind w:left="0" w:right="0" w:hanging="0"/>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74"/>
        <w:gridCol w:w="167"/>
        <w:gridCol w:w="9964"/>
      </w:tblGrid>
      <w:tr>
        <w:trPr/>
        <w:tc>
          <w:tcPr>
            <w:tcW w:w="74" w:type="dxa"/>
            <w:tcBorders/>
            <w:shd w:fill="auto" w:val="clear"/>
            <w:vAlign w:val="center"/>
          </w:tcPr>
          <w:p>
            <w:pPr>
              <w:pStyle w:val="TableContents"/>
              <w:spacing w:before="0" w:after="0"/>
              <w:ind w:left="0" w:right="0" w:hanging="0"/>
              <w:rPr/>
            </w:pPr>
            <w:r>
              <w:rPr/>
              <w:t> </w:t>
            </w:r>
          </w:p>
        </w:tc>
        <w:tc>
          <w:tcPr>
            <w:tcW w:w="16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64" w:type="dxa"/>
            <w:tcBorders/>
            <w:shd w:fill="auto" w:val="clear"/>
            <w:vAlign w:val="center"/>
          </w:tcPr>
          <w:p>
            <w:pPr>
              <w:pStyle w:val="TableContents"/>
              <w:spacing w:before="0" w:after="0"/>
              <w:ind w:left="0" w:right="0" w:hanging="0"/>
              <w:rPr/>
            </w:pPr>
            <w:r>
              <w:rPr>
                <w:rFonts w:ascii="Times New Roman" w:hAnsi="Times New Roman"/>
                <w:sz w:val="20"/>
              </w:rPr>
              <w:t>Any fraud, whether or not</w:t>
            </w:r>
            <w:r>
              <w:rPr/>
              <w:t xml:space="preserve"> </w:t>
            </w:r>
            <w:r>
              <w:rPr>
                <w:rFonts w:ascii="Times New Roman" w:hAnsi="Times New Roman"/>
                <w:sz w:val="20"/>
              </w:rPr>
              <w:t>material, that involves management or other employees who have a significant role in the registrant’s internal control over financial reporting.</w:t>
            </w:r>
          </w:p>
        </w:tc>
      </w:tr>
    </w:tbl>
    <w:p>
      <w:pPr>
        <w:pStyle w:val="TextBody"/>
        <w:spacing w:lineRule="auto" w:line="240" w:before="0" w:after="0"/>
        <w:ind w:left="0" w:right="0" w:hanging="0"/>
        <w:rPr/>
      </w:pPr>
      <w:r>
        <w:rPr/>
        <w:t> </w:t>
      </w:r>
    </w:p>
    <w:p>
      <w:pPr>
        <w:pStyle w:val="TextBody"/>
        <w:spacing w:lineRule="auto" w:line="240" w:before="0" w:after="0"/>
        <w:ind w:left="0" w:right="0" w:hanging="0"/>
        <w:rPr/>
      </w:pPr>
      <w:r>
        <w:rPr/>
        <w:t> </w:t>
      </w:r>
    </w:p>
    <w:tbl>
      <w:tblPr>
        <w:tblW w:w="4500" w:type="pct"/>
        <w:jc w:val="left"/>
        <w:tblInd w:w="0" w:type="dxa"/>
        <w:tblCellMar>
          <w:top w:w="0" w:type="dxa"/>
          <w:left w:w="0" w:type="dxa"/>
          <w:bottom w:w="0" w:type="dxa"/>
          <w:right w:w="0" w:type="dxa"/>
        </w:tblCellMar>
      </w:tblPr>
      <w:tblGrid>
        <w:gridCol w:w="2058"/>
        <w:gridCol w:w="542"/>
        <w:gridCol w:w="6584"/>
      </w:tblGrid>
      <w:tr>
        <w:trPr/>
        <w:tc>
          <w:tcPr>
            <w:tcW w:w="2058" w:type="dxa"/>
            <w:tcBorders/>
            <w:shd w:fill="auto" w:val="clear"/>
            <w:vAlign w:val="center"/>
          </w:tcPr>
          <w:p>
            <w:pPr>
              <w:pStyle w:val="TableContents"/>
              <w:spacing w:before="0" w:after="0"/>
              <w:ind w:left="0" w:right="0" w:hanging="0"/>
              <w:rPr/>
            </w:pPr>
            <w:r>
              <w:rPr>
                <w:rFonts w:ascii="Times New Roman" w:hAnsi="Times New Roman"/>
                <w:sz w:val="20"/>
              </w:rPr>
              <w:t>March 31, 2023</w:t>
            </w:r>
            <w:r>
              <w:rPr/>
              <w:t> </w:t>
            </w:r>
          </w:p>
        </w:tc>
        <w:tc>
          <w:tcPr>
            <w:tcW w:w="54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By: </w:t>
            </w:r>
          </w:p>
        </w:tc>
        <w:tc>
          <w:tcPr>
            <w:tcW w:w="6584" w:type="dxa"/>
            <w:tcBorders>
              <w:bottom w:val="single" w:sz="6" w:space="0" w:color="000000"/>
            </w:tcBorders>
            <w:shd w:fill="auto" w:val="clear"/>
            <w:tcMar>
              <w:bottom w:w="28" w:type="dxa"/>
            </w:tcMar>
            <w:vAlign w:val="center"/>
          </w:tcPr>
          <w:p>
            <w:pPr>
              <w:pStyle w:val="TableContents"/>
              <w:spacing w:before="0" w:after="0"/>
              <w:ind w:left="0" w:right="0" w:hanging="0"/>
              <w:rPr/>
            </w:pPr>
            <w:r>
              <w:rPr/>
              <w:t> </w:t>
            </w:r>
            <w:r>
              <w:rPr>
                <w:rFonts w:ascii="Times New Roman" w:hAnsi="Times New Roman"/>
                <w:i/>
                <w:sz w:val="20"/>
              </w:rPr>
              <w:t>/s/ Narsi Narayanan</w:t>
            </w:r>
          </w:p>
        </w:tc>
      </w:tr>
      <w:tr>
        <w:trPr/>
        <w:tc>
          <w:tcPr>
            <w:tcW w:w="2058" w:type="dxa"/>
            <w:tcBorders/>
            <w:shd w:fill="auto" w:val="clear"/>
            <w:vAlign w:val="center"/>
          </w:tcPr>
          <w:p>
            <w:pPr>
              <w:pStyle w:val="TableContents"/>
              <w:spacing w:before="0" w:after="0"/>
              <w:ind w:left="0" w:right="0" w:hanging="0"/>
              <w:rPr/>
            </w:pPr>
            <w:r>
              <w:rPr/>
              <w:t> </w:t>
            </w:r>
          </w:p>
        </w:tc>
        <w:tc>
          <w:tcPr>
            <w:tcW w:w="542" w:type="dxa"/>
            <w:tcBorders/>
            <w:shd w:fill="auto" w:val="clear"/>
            <w:vAlign w:val="center"/>
          </w:tcPr>
          <w:p>
            <w:pPr>
              <w:pStyle w:val="TableContents"/>
              <w:spacing w:before="0" w:after="0"/>
              <w:ind w:left="0" w:right="0" w:hanging="0"/>
              <w:rPr/>
            </w:pPr>
            <w:r>
              <w:rPr/>
              <w:t> </w:t>
            </w:r>
          </w:p>
        </w:tc>
        <w:tc>
          <w:tcPr>
            <w:tcW w:w="6584" w:type="dxa"/>
            <w:tcBorders/>
            <w:shd w:fill="auto" w:val="clear"/>
            <w:vAlign w:val="center"/>
          </w:tcPr>
          <w:p>
            <w:pPr>
              <w:pStyle w:val="TableContents"/>
              <w:spacing w:before="0" w:after="0"/>
              <w:ind w:left="0" w:right="0" w:hanging="0"/>
              <w:rPr/>
            </w:pPr>
            <w:r>
              <w:rPr>
                <w:rFonts w:ascii="Times New Roman" w:hAnsi="Times New Roman"/>
                <w:sz w:val="20"/>
              </w:rPr>
              <w:t>Narsi Narayanan</w:t>
            </w:r>
            <w:r>
              <w:rPr/>
              <w:t> </w:t>
            </w:r>
          </w:p>
        </w:tc>
      </w:tr>
      <w:tr>
        <w:trPr/>
        <w:tc>
          <w:tcPr>
            <w:tcW w:w="2058" w:type="dxa"/>
            <w:tcBorders/>
            <w:shd w:fill="auto" w:val="clear"/>
            <w:vAlign w:val="center"/>
          </w:tcPr>
          <w:p>
            <w:pPr>
              <w:pStyle w:val="TableContents"/>
              <w:spacing w:before="0" w:after="0"/>
              <w:ind w:left="0" w:right="0" w:hanging="0"/>
              <w:rPr/>
            </w:pPr>
            <w:r>
              <w:rPr/>
              <w:t> </w:t>
            </w:r>
          </w:p>
        </w:tc>
        <w:tc>
          <w:tcPr>
            <w:tcW w:w="542" w:type="dxa"/>
            <w:tcBorders/>
            <w:shd w:fill="auto" w:val="clear"/>
            <w:vAlign w:val="center"/>
          </w:tcPr>
          <w:p>
            <w:pPr>
              <w:pStyle w:val="TableContents"/>
              <w:spacing w:before="0" w:after="0"/>
              <w:ind w:left="0" w:right="0" w:hanging="0"/>
              <w:rPr/>
            </w:pPr>
            <w:r>
              <w:rPr/>
              <w:t> </w:t>
            </w:r>
          </w:p>
        </w:tc>
        <w:tc>
          <w:tcPr>
            <w:tcW w:w="6584" w:type="dxa"/>
            <w:tcBorders/>
            <w:shd w:fill="auto" w:val="clear"/>
            <w:vAlign w:val="center"/>
          </w:tcPr>
          <w:p>
            <w:pPr>
              <w:pStyle w:val="TableContents"/>
              <w:spacing w:before="0" w:after="0"/>
              <w:ind w:left="0" w:right="0" w:hanging="0"/>
              <w:rPr/>
            </w:pPr>
            <w:r>
              <w:rPr>
                <w:rFonts w:ascii="Times New Roman" w:hAnsi="Times New Roman"/>
                <w:sz w:val="20"/>
              </w:rPr>
              <w:t>Chief Financial Officer</w:t>
            </w:r>
            <w:r>
              <w:rPr/>
              <w:t> </w:t>
            </w:r>
          </w:p>
        </w:tc>
      </w:tr>
      <w:tr>
        <w:trPr/>
        <w:tc>
          <w:tcPr>
            <w:tcW w:w="2058" w:type="dxa"/>
            <w:tcBorders/>
            <w:shd w:fill="auto" w:val="clear"/>
            <w:vAlign w:val="center"/>
          </w:tcPr>
          <w:p>
            <w:pPr>
              <w:pStyle w:val="TableContents"/>
              <w:spacing w:before="0" w:after="0"/>
              <w:ind w:left="0" w:right="0" w:hanging="0"/>
              <w:rPr/>
            </w:pPr>
            <w:r>
              <w:rPr/>
              <w:t> </w:t>
            </w:r>
          </w:p>
        </w:tc>
        <w:tc>
          <w:tcPr>
            <w:tcW w:w="542" w:type="dxa"/>
            <w:tcBorders/>
            <w:shd w:fill="auto" w:val="clear"/>
            <w:vAlign w:val="center"/>
          </w:tcPr>
          <w:p>
            <w:pPr>
              <w:pStyle w:val="TableContents"/>
              <w:spacing w:before="0" w:after="0"/>
              <w:ind w:left="0" w:right="0" w:hanging="0"/>
              <w:rPr/>
            </w:pPr>
            <w:r>
              <w:rPr/>
              <w:t> </w:t>
            </w:r>
          </w:p>
        </w:tc>
        <w:tc>
          <w:tcPr>
            <w:tcW w:w="658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Accounting and Principal Financial Officer)</w:t>
            </w:r>
          </w:p>
        </w:tc>
      </w:tr>
    </w:tbl>
    <w:p>
      <w:pPr>
        <w:pStyle w:val="TextBody"/>
        <w:spacing w:lineRule="auto" w:line="240" w:before="0" w:after="0"/>
        <w:ind w:left="0" w:right="0" w:hanging="0"/>
        <w:rPr/>
      </w:pPr>
      <w:r>
        <w:rPr/>
        <w:t> </w:t>
      </w:r>
      <w:r>
        <w:br w:type="page"/>
      </w:r>
    </w:p>
    <w:p>
      <w:pPr>
        <w:pStyle w:val="TextBody"/>
        <w:spacing w:lineRule="auto" w:line="240" w:before="0" w:after="0"/>
        <w:ind w:left="0" w:right="0" w:hanging="0"/>
        <w:jc w:val="right"/>
        <w:rPr>
          <w:rFonts w:ascii="Times New Roman" w:hAnsi="Times New Roman"/>
          <w:b/>
          <w:sz w:val="20"/>
        </w:rPr>
      </w:pPr>
      <w:bookmarkStart w:id="118" w:name="ex321_5.htm"/>
      <w:bookmarkStart w:id="119" w:name="ksex321_5"/>
      <w:bookmarkEnd w:id="118"/>
      <w:bookmarkEnd w:id="119"/>
      <w:r>
        <w:rPr>
          <w:rFonts w:ascii="Times New Roman" w:hAnsi="Times New Roman"/>
          <w:b/>
          <w:sz w:val="20"/>
        </w:rPr>
        <w:t>EXHIBIT 32.1</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CERTIFICATION OF CHIEF EXECUTIVE OFFICER</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times" w:hAnsi="times new roman;times"/>
          <w:sz w:val="20"/>
        </w:rPr>
      </w:pPr>
      <w:r>
        <w:rPr>
          <w:rFonts w:ascii="Times New Roman" w:hAnsi="Times New Roman"/>
          <w:sz w:val="20"/>
        </w:rPr>
        <w:t xml:space="preserve">I, Derek L. Graham, certify, to my best knowledge and belief, pursuant to 18 U.S.C. Section 1350, as adopted pursuant to Section 906 of the Sarbanes-Oxley Act of 2002, that the annual report of ClearOne, Inc. (the “Company”) on Form 10-K for the year ended </w:t>
      </w:r>
      <w:r>
        <w:rPr>
          <w:rFonts w:ascii="times new roman;times" w:hAnsi="times new roman;times"/>
          <w:sz w:val="20"/>
        </w:rPr>
        <w:t>December 31, 2022 </w:t>
      </w:r>
      <w:r>
        <w:rPr>
          <w:rFonts w:ascii="Times New Roman" w:hAnsi="Times New Roman"/>
          <w:sz w:val="20"/>
        </w:rPr>
        <w:t>,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pStyle w:val="TextBody"/>
        <w:spacing w:lineRule="auto" w:line="240" w:before="0" w:after="0"/>
        <w:ind w:left="0" w:right="0" w:hanging="0"/>
        <w:rPr/>
      </w:pPr>
      <w:r>
        <w:rPr/>
        <w:t> </w:t>
      </w:r>
    </w:p>
    <w:tbl>
      <w:tblPr>
        <w:tblW w:w="4250" w:type="pct"/>
        <w:jc w:val="left"/>
        <w:tblInd w:w="0" w:type="dxa"/>
        <w:tblCellMar>
          <w:top w:w="0" w:type="dxa"/>
          <w:left w:w="0" w:type="dxa"/>
          <w:bottom w:w="0" w:type="dxa"/>
          <w:right w:w="0" w:type="dxa"/>
        </w:tblCellMar>
      </w:tblPr>
      <w:tblGrid>
        <w:gridCol w:w="2922"/>
        <w:gridCol w:w="771"/>
        <w:gridCol w:w="4981"/>
      </w:tblGrid>
      <w:tr>
        <w:trPr/>
        <w:tc>
          <w:tcPr>
            <w:tcW w:w="2922" w:type="dxa"/>
            <w:tcBorders/>
            <w:shd w:fill="auto" w:val="clear"/>
            <w:vAlign w:val="center"/>
          </w:tcPr>
          <w:p>
            <w:pPr>
              <w:pStyle w:val="TableContents"/>
              <w:spacing w:before="0" w:after="0"/>
              <w:ind w:left="0" w:right="0" w:hanging="0"/>
              <w:rPr/>
            </w:pPr>
            <w:r>
              <w:rPr>
                <w:rFonts w:ascii="Times New Roman" w:hAnsi="Times New Roman"/>
                <w:sz w:val="20"/>
              </w:rPr>
              <w:t>March 31, 2023</w:t>
            </w:r>
            <w:r>
              <w:rPr/>
              <w:t> </w:t>
            </w:r>
          </w:p>
        </w:tc>
        <w:tc>
          <w:tcPr>
            <w:tcW w:w="77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By: </w:t>
            </w:r>
          </w:p>
        </w:tc>
        <w:tc>
          <w:tcPr>
            <w:tcW w:w="4981"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i/>
                <w:sz w:val="20"/>
              </w:rPr>
            </w:pPr>
            <w:r>
              <w:rPr>
                <w:rFonts w:ascii="Times New Roman" w:hAnsi="Times New Roman"/>
                <w:i/>
                <w:sz w:val="20"/>
              </w:rPr>
              <w:t>/s/ Derek L. Graham</w:t>
            </w:r>
          </w:p>
        </w:tc>
      </w:tr>
      <w:tr>
        <w:trPr/>
        <w:tc>
          <w:tcPr>
            <w:tcW w:w="2922" w:type="dxa"/>
            <w:tcBorders/>
            <w:shd w:fill="auto" w:val="clear"/>
            <w:vAlign w:val="center"/>
          </w:tcPr>
          <w:p>
            <w:pPr>
              <w:pStyle w:val="TableContents"/>
              <w:spacing w:before="0" w:after="0"/>
              <w:ind w:left="0" w:right="0" w:hanging="0"/>
              <w:rPr/>
            </w:pPr>
            <w:r>
              <w:rPr/>
              <w:t> </w:t>
            </w:r>
          </w:p>
        </w:tc>
        <w:tc>
          <w:tcPr>
            <w:tcW w:w="771" w:type="dxa"/>
            <w:tcBorders/>
            <w:shd w:fill="auto" w:val="clear"/>
            <w:vAlign w:val="center"/>
          </w:tcPr>
          <w:p>
            <w:pPr>
              <w:pStyle w:val="TableContents"/>
              <w:spacing w:before="0" w:after="0"/>
              <w:ind w:left="0" w:right="0" w:hanging="0"/>
              <w:rPr/>
            </w:pPr>
            <w:r>
              <w:rPr/>
              <w:t> </w:t>
            </w:r>
          </w:p>
        </w:tc>
        <w:tc>
          <w:tcPr>
            <w:tcW w:w="498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Derek Graham </w:t>
            </w:r>
          </w:p>
        </w:tc>
      </w:tr>
      <w:tr>
        <w:trPr/>
        <w:tc>
          <w:tcPr>
            <w:tcW w:w="2922" w:type="dxa"/>
            <w:tcBorders/>
            <w:shd w:fill="auto" w:val="clear"/>
            <w:vAlign w:val="center"/>
          </w:tcPr>
          <w:p>
            <w:pPr>
              <w:pStyle w:val="TableContents"/>
              <w:spacing w:before="0" w:after="0"/>
              <w:ind w:left="0" w:right="0" w:hanging="0"/>
              <w:rPr/>
            </w:pPr>
            <w:r>
              <w:rPr/>
              <w:t> </w:t>
            </w:r>
          </w:p>
        </w:tc>
        <w:tc>
          <w:tcPr>
            <w:tcW w:w="771" w:type="dxa"/>
            <w:tcBorders/>
            <w:shd w:fill="auto" w:val="clear"/>
            <w:vAlign w:val="center"/>
          </w:tcPr>
          <w:p>
            <w:pPr>
              <w:pStyle w:val="TableContents"/>
              <w:spacing w:before="0" w:after="0"/>
              <w:ind w:left="0" w:right="0" w:hanging="0"/>
              <w:rPr/>
            </w:pPr>
            <w:r>
              <w:rPr/>
              <w:t> </w:t>
            </w:r>
          </w:p>
        </w:tc>
        <w:tc>
          <w:tcPr>
            <w:tcW w:w="4981" w:type="dxa"/>
            <w:tcBorders/>
            <w:shd w:fill="auto" w:val="clear"/>
            <w:vAlign w:val="center"/>
          </w:tcPr>
          <w:p>
            <w:pPr>
              <w:pStyle w:val="TableContents"/>
              <w:spacing w:before="0" w:after="0"/>
              <w:ind w:left="0" w:right="0" w:hanging="0"/>
              <w:rPr/>
            </w:pPr>
            <w:r>
              <w:rPr>
                <w:rFonts w:ascii="Times New Roman" w:hAnsi="Times New Roman"/>
                <w:sz w:val="20"/>
              </w:rPr>
              <w:t>Chief Executive Officer</w:t>
            </w:r>
            <w:r>
              <w:rPr/>
              <w:t> </w:t>
            </w:r>
          </w:p>
        </w:tc>
      </w:tr>
      <w:tr>
        <w:trPr/>
        <w:tc>
          <w:tcPr>
            <w:tcW w:w="2922" w:type="dxa"/>
            <w:tcBorders/>
            <w:shd w:fill="auto" w:val="clear"/>
            <w:vAlign w:val="center"/>
          </w:tcPr>
          <w:p>
            <w:pPr>
              <w:pStyle w:val="TableContents"/>
              <w:spacing w:before="0" w:after="0"/>
              <w:ind w:left="0" w:right="0" w:hanging="0"/>
              <w:rPr/>
            </w:pPr>
            <w:r>
              <w:rPr/>
              <w:t> </w:t>
            </w:r>
          </w:p>
        </w:tc>
        <w:tc>
          <w:tcPr>
            <w:tcW w:w="771" w:type="dxa"/>
            <w:tcBorders/>
            <w:shd w:fill="auto" w:val="clear"/>
            <w:vAlign w:val="center"/>
          </w:tcPr>
          <w:p>
            <w:pPr>
              <w:pStyle w:val="TableContents"/>
              <w:spacing w:before="0" w:after="0"/>
              <w:ind w:left="0" w:right="0" w:hanging="0"/>
              <w:rPr/>
            </w:pPr>
            <w:r>
              <w:rPr/>
              <w:t> </w:t>
            </w:r>
          </w:p>
        </w:tc>
        <w:tc>
          <w:tcPr>
            <w:tcW w:w="498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Executive Officer)</w:t>
            </w:r>
          </w:p>
        </w:tc>
      </w:tr>
    </w:tbl>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A signed original of this written statement required by §906 has been provided to the Company and will be retained by the Company and furnished to the Securities and Exchange Commission or its staff upon request.</w:t>
      </w:r>
      <w:r>
        <w:br w:type="page"/>
      </w:r>
    </w:p>
    <w:p>
      <w:pPr>
        <w:pStyle w:val="TextBody"/>
        <w:spacing w:lineRule="auto" w:line="240" w:before="0" w:after="0"/>
        <w:ind w:left="0" w:right="0" w:hanging="0"/>
        <w:jc w:val="right"/>
        <w:rPr>
          <w:rFonts w:ascii="Times New Roman" w:hAnsi="Times New Roman"/>
          <w:b/>
          <w:sz w:val="20"/>
        </w:rPr>
      </w:pPr>
      <w:bookmarkStart w:id="120" w:name="ex322_6.htm"/>
      <w:bookmarkStart w:id="121" w:name="ksex322_6"/>
      <w:bookmarkEnd w:id="120"/>
      <w:bookmarkEnd w:id="121"/>
      <w:r>
        <w:rPr>
          <w:rFonts w:ascii="Times New Roman" w:hAnsi="Times New Roman"/>
          <w:b/>
          <w:sz w:val="20"/>
        </w:rPr>
        <w:t>EXHIBIT 32.2</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CERTIFICATION OF CHIEF FINANCIAL OFFICER</w:t>
      </w:r>
    </w:p>
    <w:p>
      <w:pPr>
        <w:pStyle w:val="TextBody"/>
        <w:spacing w:lineRule="auto" w:line="240" w:before="0" w:after="0"/>
        <w:ind w:left="0" w:right="0" w:hanging="0"/>
        <w:rPr/>
      </w:pPr>
      <w:r>
        <w:rPr/>
        <w:t> </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spacing w:lineRule="auto" w:line="240"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times" w:hAnsi="times new roman;times"/>
          <w:sz w:val="20"/>
        </w:rPr>
      </w:pPr>
      <w:r>
        <w:rPr>
          <w:rFonts w:ascii="Times New Roman" w:hAnsi="Times New Roman"/>
          <w:sz w:val="20"/>
        </w:rPr>
        <w:t xml:space="preserve">I, Narsi Narayanan, certify, to my best knowledge and belief, pursuant to 18 U.S.C. Section 1350, as adopted pursuant to Section 906 of the Sarbanes-Oxley Act of 2002, that the annual report of ClearOne, Inc. (the “Company”) on Form 10-K for the year ended </w:t>
      </w:r>
      <w:r>
        <w:rPr>
          <w:rFonts w:ascii="times new roman;times" w:hAnsi="times new roman;times"/>
          <w:sz w:val="20"/>
        </w:rPr>
        <w:t>December 31, 2022 </w:t>
      </w:r>
      <w:r>
        <w:rPr>
          <w:rFonts w:ascii="Times New Roman" w:hAnsi="Times New Roman"/>
          <w:sz w:val="20"/>
        </w:rPr>
        <w:t>,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pStyle w:val="TextBody"/>
        <w:spacing w:lineRule="auto" w:line="240" w:before="0" w:after="0"/>
        <w:ind w:left="0" w:right="0" w:hanging="0"/>
        <w:rPr/>
      </w:pPr>
      <w:r>
        <w:rPr/>
        <w:t> </w:t>
      </w:r>
    </w:p>
    <w:tbl>
      <w:tblPr>
        <w:tblW w:w="4250" w:type="pct"/>
        <w:jc w:val="left"/>
        <w:tblInd w:w="0" w:type="dxa"/>
        <w:tblCellMar>
          <w:top w:w="0" w:type="dxa"/>
          <w:left w:w="0" w:type="dxa"/>
          <w:bottom w:w="0" w:type="dxa"/>
          <w:right w:w="0" w:type="dxa"/>
        </w:tblCellMar>
      </w:tblPr>
      <w:tblGrid>
        <w:gridCol w:w="2008"/>
        <w:gridCol w:w="507"/>
        <w:gridCol w:w="6159"/>
      </w:tblGrid>
      <w:tr>
        <w:trPr/>
        <w:tc>
          <w:tcPr>
            <w:tcW w:w="2008" w:type="dxa"/>
            <w:tcBorders/>
            <w:shd w:fill="auto" w:val="clear"/>
            <w:vAlign w:val="center"/>
          </w:tcPr>
          <w:p>
            <w:pPr>
              <w:pStyle w:val="TableContents"/>
              <w:spacing w:before="0" w:after="0"/>
              <w:ind w:left="0" w:right="0" w:hanging="0"/>
              <w:rPr/>
            </w:pPr>
            <w:r>
              <w:rPr>
                <w:rFonts w:ascii="Times New Roman" w:hAnsi="Times New Roman"/>
                <w:sz w:val="20"/>
              </w:rPr>
              <w:t>March 31, 2023</w:t>
            </w:r>
            <w:r>
              <w:rPr/>
              <w:t>  </w:t>
            </w:r>
          </w:p>
        </w:tc>
        <w:tc>
          <w:tcPr>
            <w:tcW w:w="50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By: </w:t>
            </w:r>
          </w:p>
        </w:tc>
        <w:tc>
          <w:tcPr>
            <w:tcW w:w="6159" w:type="dxa"/>
            <w:tcBorders>
              <w:bottom w:val="single" w:sz="6" w:space="0" w:color="000000"/>
            </w:tcBorders>
            <w:shd w:fill="auto" w:val="clear"/>
            <w:tcMar>
              <w:bottom w:w="28" w:type="dxa"/>
            </w:tcMar>
            <w:vAlign w:val="center"/>
          </w:tcPr>
          <w:p>
            <w:pPr>
              <w:pStyle w:val="TableContents"/>
              <w:spacing w:before="0" w:after="0"/>
              <w:ind w:left="0" w:right="0" w:hanging="0"/>
              <w:rPr>
                <w:rFonts w:ascii="Times New Roman" w:hAnsi="Times New Roman"/>
                <w:i/>
                <w:sz w:val="20"/>
              </w:rPr>
            </w:pPr>
            <w:r>
              <w:rPr>
                <w:rFonts w:ascii="Times New Roman" w:hAnsi="Times New Roman"/>
                <w:i/>
                <w:sz w:val="20"/>
              </w:rPr>
              <w:t>/s/ Narsi Narayanan</w:t>
            </w:r>
          </w:p>
        </w:tc>
      </w:tr>
      <w:tr>
        <w:trPr/>
        <w:tc>
          <w:tcPr>
            <w:tcW w:w="2008" w:type="dxa"/>
            <w:tcBorders/>
            <w:shd w:fill="auto" w:val="clear"/>
            <w:vAlign w:val="center"/>
          </w:tcPr>
          <w:p>
            <w:pPr>
              <w:pStyle w:val="TableContents"/>
              <w:spacing w:before="0" w:after="0"/>
              <w:ind w:left="0" w:right="0" w:hanging="0"/>
              <w:rPr/>
            </w:pPr>
            <w:r>
              <w:rPr/>
              <w:t> </w:t>
            </w:r>
          </w:p>
        </w:tc>
        <w:tc>
          <w:tcPr>
            <w:tcW w:w="507" w:type="dxa"/>
            <w:tcBorders/>
            <w:shd w:fill="auto" w:val="clear"/>
            <w:vAlign w:val="center"/>
          </w:tcPr>
          <w:p>
            <w:pPr>
              <w:pStyle w:val="TableContents"/>
              <w:spacing w:before="0" w:after="0"/>
              <w:ind w:left="0" w:right="0" w:hanging="0"/>
              <w:rPr/>
            </w:pPr>
            <w:r>
              <w:rPr/>
              <w:t> </w:t>
            </w:r>
          </w:p>
        </w:tc>
        <w:tc>
          <w:tcPr>
            <w:tcW w:w="6159" w:type="dxa"/>
            <w:tcBorders/>
            <w:shd w:fill="auto" w:val="clear"/>
            <w:vAlign w:val="center"/>
          </w:tcPr>
          <w:p>
            <w:pPr>
              <w:pStyle w:val="TableContents"/>
              <w:spacing w:before="0" w:after="0"/>
              <w:ind w:left="0" w:right="0" w:hanging="0"/>
              <w:rPr/>
            </w:pPr>
            <w:r>
              <w:rPr>
                <w:rFonts w:ascii="Times New Roman" w:hAnsi="Times New Roman"/>
                <w:sz w:val="20"/>
              </w:rPr>
              <w:t>Narsi Narayanan</w:t>
            </w:r>
            <w:r>
              <w:rPr/>
              <w:t> </w:t>
            </w:r>
          </w:p>
        </w:tc>
      </w:tr>
      <w:tr>
        <w:trPr/>
        <w:tc>
          <w:tcPr>
            <w:tcW w:w="2008" w:type="dxa"/>
            <w:tcBorders/>
            <w:shd w:fill="auto" w:val="clear"/>
            <w:vAlign w:val="center"/>
          </w:tcPr>
          <w:p>
            <w:pPr>
              <w:pStyle w:val="TableContents"/>
              <w:spacing w:before="0" w:after="0"/>
              <w:ind w:left="0" w:right="0" w:hanging="0"/>
              <w:rPr/>
            </w:pPr>
            <w:r>
              <w:rPr/>
              <w:t> </w:t>
            </w:r>
          </w:p>
        </w:tc>
        <w:tc>
          <w:tcPr>
            <w:tcW w:w="507" w:type="dxa"/>
            <w:tcBorders/>
            <w:shd w:fill="auto" w:val="clear"/>
            <w:vAlign w:val="center"/>
          </w:tcPr>
          <w:p>
            <w:pPr>
              <w:pStyle w:val="TableContents"/>
              <w:spacing w:before="0" w:after="0"/>
              <w:ind w:left="0" w:right="0" w:hanging="0"/>
              <w:rPr/>
            </w:pPr>
            <w:r>
              <w:rPr/>
              <w:t> </w:t>
            </w:r>
          </w:p>
        </w:tc>
        <w:tc>
          <w:tcPr>
            <w:tcW w:w="6159" w:type="dxa"/>
            <w:tcBorders/>
            <w:shd w:fill="auto" w:val="clear"/>
            <w:vAlign w:val="center"/>
          </w:tcPr>
          <w:p>
            <w:pPr>
              <w:pStyle w:val="TableContents"/>
              <w:spacing w:before="0" w:after="0"/>
              <w:ind w:left="0" w:right="0" w:hanging="0"/>
              <w:rPr/>
            </w:pPr>
            <w:r>
              <w:rPr>
                <w:rFonts w:ascii="Times New Roman" w:hAnsi="Times New Roman"/>
                <w:sz w:val="20"/>
              </w:rPr>
              <w:t>Chief Financial Officer</w:t>
            </w:r>
            <w:r>
              <w:rPr/>
              <w:t> </w:t>
            </w:r>
          </w:p>
        </w:tc>
      </w:tr>
      <w:tr>
        <w:trPr/>
        <w:tc>
          <w:tcPr>
            <w:tcW w:w="2008" w:type="dxa"/>
            <w:tcBorders/>
            <w:shd w:fill="auto" w:val="clear"/>
            <w:vAlign w:val="center"/>
          </w:tcPr>
          <w:p>
            <w:pPr>
              <w:pStyle w:val="TableContents"/>
              <w:spacing w:before="0" w:after="0"/>
              <w:ind w:left="0" w:right="0" w:hanging="0"/>
              <w:rPr/>
            </w:pPr>
            <w:r>
              <w:rPr/>
              <w:t> </w:t>
            </w:r>
          </w:p>
        </w:tc>
        <w:tc>
          <w:tcPr>
            <w:tcW w:w="507" w:type="dxa"/>
            <w:tcBorders/>
            <w:shd w:fill="auto" w:val="clear"/>
            <w:vAlign w:val="center"/>
          </w:tcPr>
          <w:p>
            <w:pPr>
              <w:pStyle w:val="TableContents"/>
              <w:spacing w:before="0" w:after="0"/>
              <w:ind w:left="0" w:right="0" w:hanging="0"/>
              <w:rPr/>
            </w:pPr>
            <w:r>
              <w:rPr/>
              <w:t> </w:t>
            </w:r>
          </w:p>
        </w:tc>
        <w:tc>
          <w:tcPr>
            <w:tcW w:w="61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Accounting and Principal Financial Officer)</w:t>
            </w:r>
          </w:p>
        </w:tc>
      </w:tr>
    </w:tbl>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pStyle w:val="TextBody"/>
        <w:spacing w:lineRule="auto" w:line="240" w:before="0" w:after="0"/>
        <w:ind w:left="0" w:right="0" w:hanging="0"/>
        <w:rPr/>
      </w:pPr>
      <w:r>
        <w:rPr/>
        <w:t> </w:t>
      </w:r>
    </w:p>
    <w:p>
      <w:pPr>
        <w:pStyle w:val="TextBody"/>
        <w:spacing w:lineRule="auto" w:line="240" w:before="0" w:after="0"/>
        <w:ind w:left="0" w:right="0" w:hanging="0"/>
        <w:rPr>
          <w:rFonts w:ascii="Times New Roman" w:hAnsi="Times New Roman"/>
          <w:sz w:val="20"/>
        </w:rPr>
      </w:pPr>
      <w:r>
        <w:rPr>
          <w:rFonts w:ascii="Times New Roman" w:hAnsi="Times New Roman"/>
          <w:sz w:val="20"/>
        </w:rPr>
        <w:t>A signed original of this written statement required by §906 has been provided to the Company and will be retained by the Company and furnished to the Securities and Exchange Commission or its staff upon request.</w:t>
      </w:r>
    </w:p>
    <w:p>
      <w:pPr>
        <w:pStyle w:val="TextBody"/>
        <w:spacing w:lineRule="auto" w:line="240" w:before="0" w:after="0"/>
        <w:ind w:left="144" w:right="144" w:hanging="0"/>
        <w:rPr/>
      </w:pPr>
      <w:r>
        <w:rPr/>
        <w:t> </w:t>
      </w:r>
    </w:p>
    <w:p>
      <w:pPr>
        <w:pStyle w:val="TextBody"/>
        <w:spacing w:lineRule="auto" w:line="240" w:before="0" w:after="0"/>
        <w:ind w:left="144" w:right="144" w:hanging="0"/>
        <w:rPr/>
      </w:pPr>
      <w:r>
        <w:rPr/>
        <w:t> </w:t>
      </w:r>
    </w:p>
    <w:p>
      <w:pPr>
        <w:pStyle w:val="TextBody"/>
        <w:spacing w:lineRule="auto" w:line="240" w:before="0" w:after="0"/>
        <w:ind w:left="294" w:right="294" w:hanging="0"/>
        <w:rPr/>
      </w:pPr>
      <w:r>
        <w:rPr/>
        <w:t> </w:t>
      </w:r>
    </w:p>
    <w:p>
      <w:pPr>
        <w:pStyle w:val="TextBody"/>
        <w:spacing w:lineRule="auto" w:line="240" w:before="0" w:after="0"/>
        <w:ind w:left="144" w:right="144" w:hanging="0"/>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 w:name="Segoe UI Symbol">
    <w:charset w:val="00"/>
    <w:family w:val="auto"/>
    <w:pitch w:val="default"/>
  </w:font>
  <w:font w:name="Times New Roman">
    <w:altName w:val="serif"/>
    <w:charset w:val="00"/>
    <w:family w:val="auto"/>
    <w:pitch w:val="default"/>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WenQuanYi Zen Hei Sharp" w:cs="DejaVu Sans"/>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VisitedInternetLink">
    <w:name w:val="Visited Internet Link"/>
    <w:rPr>
      <w:color w:val="800000"/>
      <w:u w:val="single"/>
      <w:lang w:val="zxx" w:eastAsia="zxx" w:bidi="zxx"/>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 TargetMode="External"/><Relationship Id="rId13" Type="http://schemas.openxmlformats.org/officeDocument/2006/relationships/hyperlink" Target="#" TargetMode="External"/><Relationship Id="rId14" Type="http://schemas.openxmlformats.org/officeDocument/2006/relationships/hyperlink" Target="#" TargetMode="External"/><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hyperlink" Target="#" TargetMode="External"/><Relationship Id="rId18" Type="http://schemas.openxmlformats.org/officeDocument/2006/relationships/hyperlink" Target="#" TargetMode="External"/><Relationship Id="rId19" Type="http://schemas.openxmlformats.org/officeDocument/2006/relationships/hyperlink" Target="#" TargetMode="External"/><Relationship Id="rId20" Type="http://schemas.openxmlformats.org/officeDocument/2006/relationships/hyperlink" Target="http://www.sec.gov/Archives/edgar/data/840715/000143774918018953/ex_126578.htm" TargetMode="External"/><Relationship Id="rId21" Type="http://schemas.openxmlformats.org/officeDocument/2006/relationships/hyperlink" Target="http://www.sec.gov/Archives/edgar/data/840715/000143774918018953/ex_126579.htm" TargetMode="External"/><Relationship Id="rId22" Type="http://schemas.openxmlformats.org/officeDocument/2006/relationships/hyperlink" Target="http://www.sec.gov/Archives/edgar/data/840715/000175392620000071/ex41_7.htm" TargetMode="External"/><Relationship Id="rId23" Type="http://schemas.openxmlformats.org/officeDocument/2006/relationships/hyperlink" Target="http://www.sec.gov/Archives/edgar/data/840715/000084071506000050/ex4_9.htm" TargetMode="External"/><Relationship Id="rId24" Type="http://schemas.openxmlformats.org/officeDocument/2006/relationships/hyperlink" Target="http://www.sec.gov/Archives/edgar/data/840715/000084071506000050/ex4_8.htm" TargetMode="External"/><Relationship Id="rId25" Type="http://schemas.openxmlformats.org/officeDocument/2006/relationships/hyperlink" Target="http://www.sec.gov/Archives/edgar/data/840715/000084071508000005/equityincentiveplan.htm" TargetMode="External"/><Relationship Id="rId26" Type="http://schemas.openxmlformats.org/officeDocument/2006/relationships/hyperlink" Target="http://www.sec.gov/Archives/edgar/data/840715/000084071516000065/exhibit48eip.htm" TargetMode="External"/><Relationship Id="rId27" Type="http://schemas.openxmlformats.org/officeDocument/2006/relationships/hyperlink" Target="http://www.sec.gov/Archives/edgar/data/840715/000084071515000019/exhibit411amendmentno1equi.htm" TargetMode="External"/><Relationship Id="rId28" Type="http://schemas.openxmlformats.org/officeDocument/2006/relationships/hyperlink" Target="http://www.sec.gov/Archives/edgar/data/840715/000084071515000022/exhibit43clearoneemployees.htm" TargetMode="External"/><Relationship Id="rId29" Type="http://schemas.openxmlformats.org/officeDocument/2006/relationships/hyperlink" Target="http://www.sec.gov/Archives/edgar/data/0000840715/000143774919024036/ex_166813.htm" TargetMode="External"/><Relationship Id="rId30" Type="http://schemas.openxmlformats.org/officeDocument/2006/relationships/hyperlink" Target="http://www.sec.gov/Archives/edgar/data/0000840715/000143774919024036/ex_166814.htm" TargetMode="External"/><Relationship Id="rId31" Type="http://schemas.openxmlformats.org/officeDocument/2006/relationships/hyperlink" Target="http://www.sec.gov/Archives/edgar/data/0000840715/000143774919024036/ex_166815.htm" TargetMode="External"/><Relationship Id="rId32" Type="http://schemas.openxmlformats.org/officeDocument/2006/relationships/hyperlink" Target="http://www.sec.gov/Archives/edgar/data/0000840715/000175392620000290/ex101_3.htm" TargetMode="External"/><Relationship Id="rId33" Type="http://schemas.openxmlformats.org/officeDocument/2006/relationships/hyperlink" Target="http://www.sec.gov/Archives/edgar/data/0000840715/000175392621000430/ex101_2.htm" TargetMode="External"/><Relationship Id="rId34" Type="http://schemas.openxmlformats.org/officeDocument/2006/relationships/hyperlink" Target="http://www.sec.gov/Archives/edgar/data/0000840715/000175392621000430/ex102_3.htm" TargetMode="External"/><Relationship Id="rId35" Type="http://schemas.openxmlformats.org/officeDocument/2006/relationships/hyperlink" Target="http://www.sec.gov/Archives/edgar/data/0000840715/000175392622000016/ex101_1.htm" TargetMode="External"/><Relationship Id="rId36" Type="http://schemas.openxmlformats.org/officeDocument/2006/relationships/hyperlink" Target="http://www.sec.gov/Archives/edgar/data/0000840715/000175392622000016/ex102_2.htm" TargetMode="External"/><Relationship Id="rId37" Type="http://schemas.openxmlformats.org/officeDocument/2006/relationships/hyperlink" Target="http://www.sec.gov/Archives/edgar/data/840715/000175392622001083/ex101_1.htm" TargetMode="External"/><Relationship Id="rId38" Type="http://schemas.openxmlformats.org/officeDocument/2006/relationships/hyperlink" Target="http://www.sec.gov/Archives/edgar/data/840715/000175392622001414/ex101_1.htm" TargetMode="External"/><Relationship Id="rId39" Type="http://schemas.openxmlformats.org/officeDocument/2006/relationships/hyperlink" Target="http://www.sec.gov/Archives/edgar/data/840715/000175392622001543/ex101_1.htm" TargetMode="External"/><Relationship Id="rId40" Type="http://schemas.openxmlformats.org/officeDocument/2006/relationships/hyperlink" Target="http://www.sec.gov/Archives/edgar/data/840715/000084071506000045/ex14_1.htm" TargetMode="External"/><Relationship Id="rId41" Type="http://schemas.openxmlformats.org/officeDocument/2006/relationships/hyperlink" Target="#" TargetMode="External"/><Relationship Id="rId42" Type="http://schemas.openxmlformats.org/officeDocument/2006/relationships/hyperlink" Target="#" TargetMode="External"/><Relationship Id="rId43" Type="http://schemas.openxmlformats.org/officeDocument/2006/relationships/hyperlink" Target="#" TargetMode="External"/><Relationship Id="rId44" Type="http://schemas.openxmlformats.org/officeDocument/2006/relationships/hyperlink" Target="#" TargetMode="External"/><Relationship Id="rId45" Type="http://schemas.openxmlformats.org/officeDocument/2006/relationships/hyperlink" Target="#" TargetMode="External"/><Relationship Id="rId46" Type="http://schemas.openxmlformats.org/officeDocument/2006/relationships/hyperlink" Target="#"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44606</Words>
  <CharactersWithSpaces>296436</CharactersWithSpaces>
  <Paragraphs>6143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