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248285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79"/>
        <w:spacing w:after="0"/>
        <w:rPr>
          <w:sz w:val="20"/>
          <w:szCs w:val="20"/>
          <w:color w:val="auto"/>
        </w:rPr>
      </w:pPr>
      <w:r>
        <w:rPr>
          <w:rFonts w:ascii="Arial" w:cs="Arial" w:eastAsia="Arial" w:hAnsi="Arial"/>
          <w:sz w:val="36"/>
          <w:szCs w:val="36"/>
          <w:b w:val="1"/>
          <w:bCs w:val="1"/>
          <w:color w:val="auto"/>
        </w:rPr>
        <w:t>SCHEDULE TO</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Tender Offer Statement under Section 14(d)(1) or 13(e)(1) of the</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CLEARONE COMMUNICATIONS, INC.</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Subject Company (Issuer))</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COMMUNICATIONS, INC.</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Filing Persons (Issuer))</w:t>
      </w:r>
    </w:p>
    <w:p>
      <w:pPr>
        <w:spacing w:after="0" w:line="25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6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185060100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 of Class of Securities)</w:t>
      </w:r>
    </w:p>
    <w:p>
      <w:pPr>
        <w:spacing w:after="0" w:line="261"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Greg A. LeClaire</w:t>
      </w:r>
    </w:p>
    <w:p>
      <w:pPr>
        <w:spacing w:after="0" w:line="50"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Chief Financial Officer</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ClearOne Communications, Inc.</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address and telephone numbers of person authorized to receive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notices and communications on behalf of filing persons)</w:t>
      </w:r>
    </w:p>
    <w:p>
      <w:pPr>
        <w:spacing w:after="0" w:line="26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CALCULATION OF FILING FEE</w:t>
      </w:r>
    </w:p>
    <w:p>
      <w:pPr>
        <w:spacing w:after="0" w:line="270" w:lineRule="exact"/>
        <w:rPr>
          <w:sz w:val="24"/>
          <w:szCs w:val="24"/>
          <w:color w:val="auto"/>
        </w:rPr>
      </w:pPr>
    </w:p>
    <w:tbl>
      <w:tblPr>
        <w:tblLayout w:type="fixed"/>
        <w:tblInd w:w="2870" w:type="dxa"/>
        <w:tblCellMar>
          <w:top w:w="0" w:type="dxa"/>
          <w:left w:w="0" w:type="dxa"/>
          <w:bottom w:w="0" w:type="dxa"/>
          <w:right w:w="0" w:type="dxa"/>
        </w:tblCellMar>
      </w:tblPr>
      <w:tr>
        <w:trPr>
          <w:trHeight w:val="232"/>
        </w:trPr>
        <w:tc>
          <w:tcPr>
            <w:tcW w:w="3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Transaction Valuation*</w:t>
            </w:r>
          </w:p>
        </w:tc>
        <w:tc>
          <w:tcPr>
            <w:tcW w:w="2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Amount of Filing Fee**</w:t>
            </w:r>
          </w:p>
        </w:tc>
      </w:tr>
      <w:tr>
        <w:trPr>
          <w:trHeight w:val="241"/>
        </w:trPr>
        <w:tc>
          <w:tcPr>
            <w:tcW w:w="3260" w:type="dxa"/>
            <w:vAlign w:val="bottom"/>
            <w:tcBorders>
              <w:left w:val="single" w:sz="8" w:color="auto"/>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color w:val="auto"/>
              </w:rPr>
              <w:t>$10,000,000</w:t>
            </w:r>
          </w:p>
        </w:tc>
        <w:tc>
          <w:tcPr>
            <w:tcW w:w="246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$1,070</w:t>
            </w:r>
          </w:p>
        </w:tc>
      </w:tr>
    </w:tbl>
    <w:p>
      <w:pPr>
        <w:spacing w:after="0" w:line="253"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the purpose of determining the amount of the filing fee, based on the purchase of 2,353,000 shares of Common Stock, par value $.001 per share, at the tender offer price of $4.25 per share.</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 Calculated at $107.00 per $1,000,000 of the Transaction Valuation.</w:t>
      </w:r>
    </w:p>
    <w:p>
      <w:pPr>
        <w:spacing w:after="0" w:line="279" w:lineRule="exact"/>
        <w:rPr>
          <w:sz w:val="24"/>
          <w:szCs w:val="24"/>
          <w:color w:val="auto"/>
        </w:rPr>
      </w:pPr>
    </w:p>
    <w:p>
      <w:pPr>
        <w:ind w:right="360" w:firstLine="8"/>
        <w:spacing w:after="0" w:line="277" w:lineRule="auto"/>
        <w:tabs>
          <w:tab w:leader="none" w:pos="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340"/>
          </w:cols>
          <w:pgMar w:left="240" w:top="796" w:right="319" w:bottom="802" w:gutter="0" w:footer="0" w:header="0"/>
        </w:sect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Amount Previously Paid: $1,070</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or Registration No.: Schedule TO</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left="80"/>
        <w:spacing w:after="0"/>
        <w:rPr>
          <w:sz w:val="20"/>
          <w:szCs w:val="20"/>
          <w:color w:val="auto"/>
        </w:rPr>
      </w:pPr>
      <w:r>
        <w:rPr>
          <w:rFonts w:ascii="Arial" w:cs="Arial" w:eastAsia="Arial" w:hAnsi="Arial"/>
          <w:sz w:val="16"/>
          <w:szCs w:val="16"/>
          <w:color w:val="auto"/>
        </w:rPr>
        <w:t>Filing Party: ClearOne Communications,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Date Filed: November 6, 2006</w:t>
      </w:r>
    </w:p>
    <w:p>
      <w:pPr>
        <w:spacing w:after="0" w:line="200" w:lineRule="exact"/>
        <w:rPr>
          <w:sz w:val="24"/>
          <w:szCs w:val="24"/>
          <w:color w:val="auto"/>
        </w:rPr>
      </w:pPr>
    </w:p>
    <w:p>
      <w:pPr>
        <w:sectPr>
          <w:pgSz w:w="11900" w:h="16838" w:orient="portrait"/>
          <w:cols w:equalWidth="0" w:num="2">
            <w:col w:w="2900" w:space="460"/>
            <w:col w:w="7980"/>
          </w:cols>
          <w:pgMar w:left="240" w:top="796" w:right="319" w:bottom="802" w:gutter="0" w:footer="0" w:header="0"/>
          <w:type w:val="continuous"/>
        </w:sectPr>
      </w:pPr>
    </w:p>
    <w:p>
      <w:pPr>
        <w:spacing w:after="0" w:line="65" w:lineRule="exact"/>
        <w:rPr>
          <w:sz w:val="24"/>
          <w:szCs w:val="24"/>
          <w:color w:val="auto"/>
        </w:rPr>
      </w:pPr>
    </w:p>
    <w:p>
      <w:pPr>
        <w:ind w:right="2260" w:firstLine="8"/>
        <w:spacing w:after="0" w:line="563" w:lineRule="auto"/>
        <w:tabs>
          <w:tab w:leader="none" w:pos="150" w:val="left"/>
        </w:tabs>
        <w:numPr>
          <w:ilvl w:val="0"/>
          <w:numId w:val="3"/>
        </w:numPr>
        <w:rPr>
          <w:rFonts w:ascii="Arial" w:cs="Arial" w:eastAsia="Arial" w:hAnsi="Arial"/>
          <w:sz w:val="18"/>
          <w:szCs w:val="18"/>
          <w:color w:val="auto"/>
        </w:rPr>
      </w:pPr>
      <w:r>
        <w:rPr>
          <w:rFonts w:ascii="Arial" w:cs="Arial" w:eastAsia="Arial" w:hAnsi="Arial"/>
          <w:sz w:val="18"/>
          <w:szCs w:val="18"/>
          <w:color w:val="auto"/>
        </w:rPr>
        <w:t>] Check the box if the filing relates solely to preliminary communications made before the commencement of a tender offer. Check the appropriate boxes below to designate any transaction to which the statement relates:</w:t>
      </w:r>
    </w:p>
    <w:p>
      <w:pPr>
        <w:spacing w:after="0" w:line="1" w:lineRule="exact"/>
        <w:rPr>
          <w:sz w:val="24"/>
          <w:szCs w:val="24"/>
          <w:color w:val="auto"/>
        </w:rPr>
      </w:pPr>
    </w:p>
    <w:p>
      <w:pPr>
        <w:ind w:right="7780" w:firstLine="8"/>
        <w:spacing w:after="0" w:line="274" w:lineRule="auto"/>
        <w:tabs>
          <w:tab w:leader="none" w:pos="150" w:val="left"/>
        </w:tabs>
        <w:numPr>
          <w:ilvl w:val="0"/>
          <w:numId w:val="4"/>
        </w:numPr>
        <w:rPr>
          <w:rFonts w:ascii="Arial" w:cs="Arial" w:eastAsia="Arial" w:hAnsi="Arial"/>
          <w:sz w:val="17"/>
          <w:szCs w:val="17"/>
          <w:color w:val="auto"/>
        </w:rPr>
      </w:pPr>
      <w:r>
        <w:rPr>
          <w:rFonts w:ascii="Arial" w:cs="Arial" w:eastAsia="Arial" w:hAnsi="Arial"/>
          <w:sz w:val="17"/>
          <w:szCs w:val="17"/>
          <w:color w:val="auto"/>
        </w:rPr>
        <w:t>] third-party tender offer subject to Rule 14d-1. [x] issuer tender offer subject to Rule 13e-4.</w:t>
      </w: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going-private transaction subject to Rule 13e-3</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amendment to Schedule 13D under Rule 13d-2</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340"/>
          </w:cols>
          <w:pgMar w:left="240" w:top="796" w:right="319" w:bottom="80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ind w:right="60"/>
        <w:spacing w:after="0" w:line="273" w:lineRule="auto"/>
        <w:rPr>
          <w:sz w:val="20"/>
          <w:szCs w:val="20"/>
          <w:color w:val="auto"/>
        </w:rPr>
      </w:pPr>
      <w:r>
        <w:rPr>
          <w:rFonts w:ascii="Arial" w:cs="Arial" w:eastAsia="Arial" w:hAnsi="Arial"/>
          <w:sz w:val="17"/>
          <w:szCs w:val="17"/>
          <w:color w:val="auto"/>
        </w:rPr>
        <w:t>This Amendment No. 2 to the Tender Offer Statement on Schedule TO relates to the tender offer by ClearOne Communications, Inc., a Utah corporation ("CLRO" or the "Company"), to purchase 2,353,000 shares, or such lesser number of shares as are validly tendered and not withdrawn, of its Common Stock, par value $.001 per share, at a price of $4.25 per Share, upon the terms and subject to the conditions set forth in the Offer to Purchase dated November 6, 2006 (the "Offer to Purchase"), and in the related Letter of Transmittal which, as they may be amended from time to time, together constitute the "Offer," copies of which were previously filed on Schedule TO as Exhibit (a)(1)(A) and (a)(1)(B),respectively. This Amendment No. 2 to the Schedule TO is intended to satisfy the reporting requirements of Rule 13e-4(c)(4) of the Securities Exchange Act of 1934, as amended.</w:t>
      </w:r>
    </w:p>
    <w:p>
      <w:pPr>
        <w:spacing w:after="0" w:line="23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in the Tender Offer, including all schedules and annexes thereto, which was previously filed with the Schedule TO, is hereby expressly incorporated by reference into this Amendment, except that such information is hereby amended and supplemented to the extent specifically provided in this Amendment.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Additional Information.</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Item 11 of the Schedule TO is hereby amended and supplemented by adding the following:</w:t>
      </w:r>
    </w:p>
    <w:p>
      <w:pPr>
        <w:spacing w:after="0" w:line="279"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On December 12, 2006, the Company issued a press release announcing the final results of the Tender Offer, which expired at 12:00 midnight, Eastern time, on December 6, 2006. A copy of the press release is filed as Exhibit (a)(5)(C) to this Schedule TO and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Item 12 of the Schedule TO is hereby amended and supplemented by adding the following exhibit:</w:t>
      </w:r>
    </w:p>
    <w:p>
      <w:pPr>
        <w:spacing w:after="0" w:line="279" w:lineRule="exact"/>
        <w:rPr>
          <w:sz w:val="20"/>
          <w:szCs w:val="20"/>
          <w:color w:val="auto"/>
        </w:rPr>
      </w:pPr>
    </w:p>
    <w:p>
      <w:pPr>
        <w:ind w:left="500"/>
        <w:spacing w:after="0"/>
        <w:tabs>
          <w:tab w:leader="none" w:pos="1580" w:val="left"/>
        </w:tabs>
        <w:rPr>
          <w:sz w:val="20"/>
          <w:szCs w:val="20"/>
          <w:color w:val="auto"/>
        </w:rPr>
      </w:pPr>
      <w:r>
        <w:rPr>
          <w:rFonts w:ascii="Arial" w:cs="Arial" w:eastAsia="Arial" w:hAnsi="Arial"/>
          <w:sz w:val="18"/>
          <w:szCs w:val="18"/>
          <w:color w:val="auto"/>
        </w:rPr>
        <w:t>(a)(5)(C)</w:t>
      </w:r>
      <w:r>
        <w:rPr>
          <w:sz w:val="20"/>
          <w:szCs w:val="20"/>
          <w:color w:val="auto"/>
        </w:rPr>
        <w:tab/>
      </w:r>
      <w:r>
        <w:rPr>
          <w:rFonts w:ascii="Arial" w:cs="Arial" w:eastAsia="Arial" w:hAnsi="Arial"/>
          <w:sz w:val="18"/>
          <w:szCs w:val="18"/>
          <w:color w:val="auto"/>
        </w:rPr>
        <w:t>Press Release, dated December 12, 2006, announcing results of the 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After due inquiry and to the best of my knowledge and belief, I certify that the information set forth in this statement is true, complete and correct.</w:t>
      </w:r>
    </w:p>
    <w:p>
      <w:pPr>
        <w:sectPr>
          <w:pgSz w:w="11900" w:h="16838" w:orient="portrait"/>
          <w:cols w:equalWidth="0" w:num="1">
            <w:col w:w="11420"/>
          </w:cols>
          <w:pgMar w:left="240" w:top="368" w:right="2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DATE: December 12, 2006</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COMMUNICATIONS, INC.</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CLEARONE</w:t>
      </w:r>
    </w:p>
    <w:p>
      <w:pPr>
        <w:spacing w:after="0" w:line="430" w:lineRule="exact"/>
        <w:rPr>
          <w:sz w:val="20"/>
          <w:szCs w:val="20"/>
          <w:color w:val="auto"/>
        </w:rPr>
      </w:pPr>
    </w:p>
    <w:p>
      <w:pPr>
        <w:sectPr>
          <w:pgSz w:w="11900" w:h="16838" w:orient="portrait"/>
          <w:cols w:equalWidth="0" w:num="2">
            <w:col w:w="9720" w:space="720"/>
            <w:col w:w="980"/>
          </w:cols>
          <w:pgMar w:left="240" w:top="36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Zeynep Hakimoglu</w:t>
      </w:r>
    </w:p>
    <w:p>
      <w:pPr>
        <w:spacing w:after="0" w:line="23" w:lineRule="exact"/>
        <w:rPr>
          <w:sz w:val="20"/>
          <w:szCs w:val="20"/>
          <w:color w:val="auto"/>
        </w:rPr>
      </w:pPr>
    </w:p>
    <w:p>
      <w:pPr>
        <w:ind w:left="9480"/>
        <w:spacing w:after="0"/>
        <w:rPr>
          <w:sz w:val="20"/>
          <w:szCs w:val="20"/>
          <w:color w:val="auto"/>
        </w:rPr>
      </w:pPr>
      <w:r>
        <w:rPr>
          <w:rFonts w:ascii="Arial" w:cs="Arial" w:eastAsia="Arial" w:hAnsi="Arial"/>
          <w:sz w:val="16"/>
          <w:szCs w:val="16"/>
          <w:color w:val="auto"/>
        </w:rPr>
        <w:t>President, Chief Executive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Officer and Director</w:t>
      </w:r>
    </w:p>
    <w:p>
      <w:pPr>
        <w:spacing w:after="0" w:line="2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pacing w:after="0" w:line="283" w:lineRule="exact"/>
        <w:rPr>
          <w:sz w:val="20"/>
          <w:szCs w:val="20"/>
          <w:color w:val="auto"/>
        </w:rPr>
      </w:pPr>
    </w:p>
    <w:p>
      <w:pPr>
        <w:ind w:left="60"/>
        <w:spacing w:after="0"/>
        <w:tabs>
          <w:tab w:leader="none" w:pos="1640" w:val="left"/>
        </w:tabs>
        <w:rPr>
          <w:sz w:val="20"/>
          <w:szCs w:val="20"/>
          <w:color w:val="auto"/>
        </w:rPr>
      </w:pPr>
      <w:r>
        <w:rPr>
          <w:rFonts w:ascii="Arial" w:cs="Arial" w:eastAsia="Arial" w:hAnsi="Arial"/>
          <w:sz w:val="18"/>
          <w:szCs w:val="18"/>
          <w:color w:val="auto"/>
        </w:rPr>
        <w:t>Exhibit Number</w:t>
      </w:r>
      <w:r>
        <w:rPr>
          <w:sz w:val="20"/>
          <w:szCs w:val="20"/>
          <w:color w:val="auto"/>
        </w:rPr>
        <w:tab/>
      </w:r>
      <w:r>
        <w:rPr>
          <w:rFonts w:ascii="Arial" w:cs="Arial" w:eastAsia="Arial" w:hAnsi="Arial"/>
          <w:sz w:val="16"/>
          <w:szCs w:val="16"/>
          <w:color w:val="auto"/>
        </w:rPr>
        <w:t>Description</w:t>
      </w:r>
    </w:p>
    <w:p>
      <w:pPr>
        <w:spacing w:after="0" w:line="320"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(a)(1)(A)*</w:t>
      </w:r>
      <w:r>
        <w:rPr>
          <w:sz w:val="20"/>
          <w:szCs w:val="20"/>
          <w:color w:val="auto"/>
        </w:rPr>
        <w:tab/>
      </w:r>
      <w:r>
        <w:rPr>
          <w:rFonts w:ascii="Arial" w:cs="Arial" w:eastAsia="Arial" w:hAnsi="Arial"/>
          <w:sz w:val="18"/>
          <w:szCs w:val="18"/>
          <w:color w:val="auto"/>
        </w:rPr>
        <w:t>Offer to Purchase, dated November 6, 2006</w:t>
      </w:r>
    </w:p>
    <w:p>
      <w:pPr>
        <w:spacing w:after="0" w:line="33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(a)(1)(B)*</w:t>
      </w:r>
      <w:r>
        <w:rPr>
          <w:sz w:val="20"/>
          <w:szCs w:val="20"/>
          <w:color w:val="auto"/>
        </w:rPr>
        <w:tab/>
      </w:r>
      <w:r>
        <w:rPr>
          <w:rFonts w:ascii="Arial" w:cs="Arial" w:eastAsia="Arial" w:hAnsi="Arial"/>
          <w:sz w:val="18"/>
          <w:szCs w:val="18"/>
          <w:color w:val="auto"/>
        </w:rPr>
        <w:t>Letter of Transmittal</w:t>
      </w:r>
    </w:p>
    <w:p>
      <w:pPr>
        <w:spacing w:after="0" w:line="33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(a)(1)(C)*</w:t>
      </w:r>
      <w:r>
        <w:rPr>
          <w:sz w:val="20"/>
          <w:szCs w:val="20"/>
          <w:color w:val="auto"/>
        </w:rPr>
        <w:tab/>
      </w:r>
      <w:r>
        <w:rPr>
          <w:rFonts w:ascii="Arial" w:cs="Arial" w:eastAsia="Arial" w:hAnsi="Arial"/>
          <w:sz w:val="18"/>
          <w:szCs w:val="18"/>
          <w:color w:val="auto"/>
        </w:rPr>
        <w:t>Notice of Guaranteed Delivery</w:t>
      </w:r>
    </w:p>
    <w:p>
      <w:pPr>
        <w:spacing w:after="0" w:line="333"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(a)(1)(D)*</w:t>
      </w:r>
      <w:r>
        <w:rPr>
          <w:sz w:val="20"/>
          <w:szCs w:val="20"/>
          <w:color w:val="auto"/>
        </w:rPr>
        <w:tab/>
      </w:r>
      <w:r>
        <w:rPr>
          <w:rFonts w:ascii="Arial" w:cs="Arial" w:eastAsia="Arial" w:hAnsi="Arial"/>
          <w:sz w:val="18"/>
          <w:szCs w:val="18"/>
          <w:color w:val="auto"/>
        </w:rPr>
        <w:t>Letter to Brokers, Dealers, Commercial Banks, Trust Companies and Other Nominees</w:t>
      </w:r>
    </w:p>
    <w:p>
      <w:pPr>
        <w:spacing w:after="0" w:line="333"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(a)(1)(E)*</w:t>
      </w:r>
      <w:r>
        <w:rPr>
          <w:sz w:val="20"/>
          <w:szCs w:val="20"/>
          <w:color w:val="auto"/>
        </w:rPr>
        <w:tab/>
      </w:r>
      <w:r>
        <w:rPr>
          <w:rFonts w:ascii="Arial" w:cs="Arial" w:eastAsia="Arial" w:hAnsi="Arial"/>
          <w:sz w:val="18"/>
          <w:szCs w:val="18"/>
          <w:color w:val="auto"/>
        </w:rPr>
        <w:t>Letter to Clients for use by Brokers, Dealers, Commercial Banks, Trust Companies and Other Nominees</w:t>
      </w:r>
    </w:p>
    <w:p>
      <w:pPr>
        <w:spacing w:after="0" w:line="33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(a)(1)(F)*</w:t>
      </w:r>
      <w:r>
        <w:rPr>
          <w:sz w:val="20"/>
          <w:szCs w:val="20"/>
          <w:color w:val="auto"/>
        </w:rPr>
        <w:tab/>
      </w:r>
      <w:r>
        <w:rPr>
          <w:rFonts w:ascii="Arial" w:cs="Arial" w:eastAsia="Arial" w:hAnsi="Arial"/>
          <w:sz w:val="18"/>
          <w:szCs w:val="18"/>
          <w:color w:val="auto"/>
        </w:rPr>
        <w:t>Guidelines for Certification of Taxpayer Identification Number on Substitute Form W-9</w:t>
      </w:r>
    </w:p>
    <w:p>
      <w:pPr>
        <w:spacing w:after="0" w:line="29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(a)(1)(G)*</w:t>
      </w:r>
      <w:r>
        <w:rPr>
          <w:sz w:val="20"/>
          <w:szCs w:val="20"/>
          <w:color w:val="auto"/>
        </w:rPr>
        <w:tab/>
      </w:r>
      <w:r>
        <w:rPr>
          <w:rFonts w:ascii="Arial" w:cs="Arial" w:eastAsia="Arial" w:hAnsi="Arial"/>
          <w:sz w:val="18"/>
          <w:szCs w:val="18"/>
          <w:color w:val="auto"/>
        </w:rPr>
        <w:t>Letter to Shareholders</w:t>
      </w:r>
    </w:p>
    <w:p>
      <w:pPr>
        <w:spacing w:after="0" w:line="320"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Not applicable</w:t>
      </w:r>
    </w:p>
    <w:p>
      <w:pPr>
        <w:spacing w:after="0" w:line="33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Not applicable</w:t>
      </w:r>
    </w:p>
    <w:p>
      <w:pPr>
        <w:spacing w:after="0" w:line="33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(a)(5)(A)*</w:t>
      </w:r>
      <w:r>
        <w:rPr>
          <w:sz w:val="20"/>
          <w:szCs w:val="20"/>
          <w:color w:val="auto"/>
        </w:rPr>
        <w:tab/>
      </w:r>
      <w:r>
        <w:rPr>
          <w:rFonts w:ascii="Arial" w:cs="Arial" w:eastAsia="Arial" w:hAnsi="Arial"/>
          <w:sz w:val="18"/>
          <w:szCs w:val="18"/>
          <w:color w:val="auto"/>
        </w:rPr>
        <w:t>Advertisement/Press Release, dated October 30, 2006,</w:t>
      </w:r>
    </w:p>
    <w:p>
      <w:pPr>
        <w:spacing w:after="0" w:line="27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(a)(5)(B)**</w:t>
      </w:r>
      <w:r>
        <w:rPr>
          <w:sz w:val="20"/>
          <w:szCs w:val="20"/>
          <w:color w:val="auto"/>
        </w:rPr>
        <w:tab/>
      </w:r>
      <w:r>
        <w:rPr>
          <w:rFonts w:ascii="Arial" w:cs="Arial" w:eastAsia="Arial" w:hAnsi="Arial"/>
          <w:sz w:val="18"/>
          <w:szCs w:val="18"/>
          <w:color w:val="auto"/>
        </w:rPr>
        <w:t>Advertisement/Press Release announcing preliminary results of the Tender Offer, dated December 7, 2006,</w:t>
      </w:r>
    </w:p>
    <w:p>
      <w:pPr>
        <w:spacing w:after="0" w:line="279"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(a)(5)(C)</w:t>
      </w:r>
      <w:r>
        <w:rPr>
          <w:sz w:val="20"/>
          <w:szCs w:val="20"/>
          <w:color w:val="auto"/>
        </w:rPr>
        <w:tab/>
      </w:r>
      <w:r>
        <w:rPr>
          <w:rFonts w:ascii="Arial" w:cs="Arial" w:eastAsia="Arial" w:hAnsi="Arial"/>
          <w:sz w:val="18"/>
          <w:szCs w:val="18"/>
          <w:color w:val="auto"/>
        </w:rPr>
        <w:t>Advertisement/Press Release announcing final results of the Tender Offer, dated December 12, 2006,</w:t>
      </w:r>
    </w:p>
    <w:p>
      <w:pPr>
        <w:spacing w:after="0" w:line="320"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Not applicable</w:t>
      </w:r>
    </w:p>
    <w:p>
      <w:pPr>
        <w:spacing w:after="0" w:line="33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Clearone Communications, Inc. 1998 Stock Option Plan</w:t>
      </w:r>
    </w:p>
    <w:p>
      <w:pPr>
        <w:spacing w:after="0" w:line="333"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Clearone Communications, Inc. 1997 Employee Stock Purchase Plan</w:t>
      </w:r>
    </w:p>
    <w:p>
      <w:pPr>
        <w:spacing w:after="0" w:line="33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26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with Schedule TO on November 6, 2006.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Amendment No. 1 to Schedule TO on December 7, 2006.</w:t>
      </w:r>
    </w:p>
    <w:p>
      <w:pPr>
        <w:spacing w:after="0" w:line="279"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Incorporated by reference to Exhibit 4.8 of the Company’s Registration Statement on Form S-8 filed October 6, 2006 (File No.333-137859).</w:t>
      </w:r>
    </w:p>
    <w:p>
      <w:pPr>
        <w:spacing w:after="0" w:line="302" w:lineRule="exact"/>
        <w:rPr>
          <w:rFonts w:ascii="Arial" w:cs="Arial" w:eastAsia="Arial" w:hAnsi="Arial"/>
          <w:sz w:val="16"/>
          <w:szCs w:val="16"/>
          <w:color w:val="auto"/>
        </w:rPr>
      </w:pPr>
    </w:p>
    <w:p>
      <w:pPr>
        <w:ind w:left="300" w:hanging="292"/>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Incorporated by reference to Exhibit 4.9 of the Company’s Registration Statement on Form S-8 filed October 6, 2006 (File No.333-137859).</w:t>
      </w:r>
    </w:p>
    <w:p>
      <w:pPr>
        <w:spacing w:after="0" w:line="308" w:lineRule="exact"/>
        <w:rPr>
          <w:rFonts w:ascii="Arial" w:cs="Arial" w:eastAsia="Arial" w:hAnsi="Arial"/>
          <w:sz w:val="16"/>
          <w:szCs w:val="16"/>
          <w:color w:val="auto"/>
        </w:rPr>
      </w:pPr>
    </w:p>
    <w:p>
      <w:pPr>
        <w:ind w:left="5640" w:hanging="102"/>
        <w:spacing w:after="0"/>
        <w:tabs>
          <w:tab w:leader="none" w:pos="5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iii -</w:t>
      </w:r>
    </w:p>
    <w:p>
      <w:pPr>
        <w:sectPr>
          <w:pgSz w:w="11900" w:h="16838" w:orient="portrait"/>
          <w:cols w:equalWidth="0" w:num="1">
            <w:col w:w="10420"/>
          </w:cols>
          <w:pgMar w:left="240" w:top="634" w:right="1239" w:bottom="1440" w:gutter="0" w:footer="0" w:header="0"/>
        </w:sectPr>
      </w:pPr>
    </w:p>
    <w:bookmarkStart w:id="4" w:name="page5"/>
    <w:bookmarkEnd w:id="4"/>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Contacts: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ClearOne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-355600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 303-3555</w:t>
      </w:r>
    </w:p>
    <w:p>
      <w:pPr>
        <w:spacing w:after="0" w:line="200" w:lineRule="exact"/>
        <w:rPr>
          <w:sz w:val="20"/>
          <w:szCs w:val="20"/>
          <w:color w:val="auto"/>
        </w:rPr>
      </w:pPr>
    </w:p>
    <w:p>
      <w:pPr>
        <w:sectPr>
          <w:pgSz w:w="11900" w:h="16838" w:orient="portrait"/>
          <w:cols w:equalWidth="0" w:num="2">
            <w:col w:w="3600" w:space="720"/>
            <w:col w:w="7100"/>
          </w:cols>
          <w:pgMar w:left="240" w:top="517" w:right="239" w:bottom="1440" w:gutter="0" w:footer="0" w:header="0"/>
        </w:sectPr>
      </w:pPr>
    </w:p>
    <w:p>
      <w:pPr>
        <w:spacing w:after="0" w:line="6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Robert Jaffe</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PondelWilkinson Inc.</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(310) 279-5980</w:t>
      </w:r>
    </w:p>
    <w:p>
      <w:pPr>
        <w:sectPr>
          <w:pgSz w:w="11900" w:h="16838" w:orient="portrait"/>
          <w:cols w:equalWidth="0" w:num="1">
            <w:col w:w="11420"/>
          </w:cols>
          <w:pgMar w:left="240" w:top="517" w:right="239"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ANNOUNCES FINAL RESULTS OF TENDER OFFER</w:t>
      </w:r>
    </w:p>
    <w:p>
      <w:pPr>
        <w:spacing w:after="0" w:line="279" w:lineRule="exact"/>
        <w:rPr>
          <w:sz w:val="20"/>
          <w:szCs w:val="20"/>
          <w:color w:val="auto"/>
        </w:rPr>
      </w:pPr>
    </w:p>
    <w:p>
      <w:pPr>
        <w:ind w:right="240" w:firstLine="486"/>
        <w:spacing w:after="0" w:line="282" w:lineRule="auto"/>
        <w:rPr>
          <w:sz w:val="20"/>
          <w:szCs w:val="20"/>
          <w:color w:val="auto"/>
        </w:rPr>
      </w:pPr>
      <w:r>
        <w:rPr>
          <w:rFonts w:ascii="Arial" w:cs="Arial" w:eastAsia="Arial" w:hAnsi="Arial"/>
          <w:sz w:val="18"/>
          <w:szCs w:val="18"/>
          <w:b w:val="1"/>
          <w:bCs w:val="1"/>
          <w:color w:val="auto"/>
        </w:rPr>
        <w:t xml:space="preserve">Salt Lake City, UT - December 12, 2006 - </w:t>
      </w:r>
      <w:r>
        <w:rPr>
          <w:rFonts w:ascii="Arial" w:cs="Arial" w:eastAsia="Arial" w:hAnsi="Arial"/>
          <w:sz w:val="18"/>
          <w:szCs w:val="18"/>
          <w:color w:val="auto"/>
        </w:rPr>
        <w:t>ClearOne Communications, Inc. (OTC: CLRO.OB) today announced the final results of its tender offer,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expired at 12:00 midnight, Eastern Time, on Wednesday, December 6, 2006.</w:t>
      </w:r>
    </w:p>
    <w:p>
      <w:pPr>
        <w:spacing w:after="0" w:line="220"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ClearOne has accepted for purchase 1,073,552 shares of its common stock at a price of $4.25 per share, totaling approximately $4,563,000. These shares represent approximately 9 percent of shares outstanding.</w:t>
      </w:r>
    </w:p>
    <w:p>
      <w:pPr>
        <w:spacing w:after="0" w:line="224"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The depositary will promptly pay for the shares accepted for purchase</w:t>
      </w:r>
      <w:r>
        <w:rPr>
          <w:rFonts w:ascii="Arial" w:cs="Arial" w:eastAsia="Arial" w:hAnsi="Arial"/>
          <w:sz w:val="18"/>
          <w:szCs w:val="18"/>
          <w:i w:val="1"/>
          <w:iCs w:val="1"/>
          <w:color w:val="auto"/>
        </w:rPr>
        <w:t>.</w:t>
      </w:r>
      <w:r>
        <w:rPr>
          <w:rFonts w:ascii="Arial" w:cs="Arial" w:eastAsia="Arial" w:hAnsi="Arial"/>
          <w:sz w:val="18"/>
          <w:szCs w:val="18"/>
          <w:color w:val="auto"/>
        </w:rPr>
        <w:t xml:space="preserve"> With completion of the tender offer, ClearOne now has approximately 11,072,000 shares of common stock outstanding.</w:t>
      </w:r>
    </w:p>
    <w:p>
      <w:pPr>
        <w:spacing w:after="0" w:line="224"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Company is authorized to repurchase additional shares in an amount up to $1.9 million through August 31, 2007. Rule 13e-4(f) under the Securities and Exchange Act of 1934, as amended, prohibits the Company from purchasing any shares, other than in the tender offer, until at least ten business days after the expiration of the tender offer.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4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51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2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2019-12-12T11:11:06Z</dcterms:created>
  <dcterms:modified xsi:type="dcterms:W3CDTF">2019-12-12T11:11:06Z</dcterms:modified>
</cp:coreProperties>
</file>