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r>
        <w:rPr/>
      </w:r>
      <w:bookmarkStart w:id="0" w:name="clro-20230522.htm"/>
      <w:bookmarkStart w:id="1" w:name="ksclro20230522"/>
      <w:bookmarkStart w:id="2" w:name="clro-20230522.htm"/>
      <w:bookmarkStart w:id="3" w:name="ksclro20230522"/>
      <w:bookmarkEnd w:id="2"/>
      <w:bookmarkEnd w:id="3"/>
    </w:p>
    <w:p>
      <w:pPr>
        <w:pStyle w:val="TextBody"/>
        <w:bidi w:val="0"/>
        <w:spacing w:lineRule="atLeast" w:line="142"/>
        <w:jc w:val="left"/>
        <w:rPr>
          <w:bdr w:val="single" w:sz="24" w:space="1" w:color="000000"/>
        </w:rPr>
      </w:pPr>
      <w:r>
        <w:rPr>
          <w:bdr w:val="single" w:sz="24"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 </w:t>
        <w:b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May 22, 2023</w:t>
      </w:r>
      <w:r>
        <w:rPr>
          <w:rFonts w:ascii="Times New Roman" w:hAnsi="Times New Roman"/>
          <w:b/>
          <w:sz w:val="20"/>
        </w:rPr>
        <w:t> (</w:t>
      </w:r>
      <w:r>
        <w:rPr>
          <w:rFonts w:ascii="Times New Roman" w:hAnsi="Times New Roman"/>
          <w:b/>
          <w:sz w:val="20"/>
        </w:rPr>
        <w:t>May 16, 2023</w:t>
      </w:r>
      <w:r>
        <w:rPr>
          <w:rFonts w:ascii="Times New Roman" w:hAnsi="Times New Roman"/>
          <w:b/>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u w:val="single"/>
        </w:rPr>
      </w:pPr>
      <w:r>
        <w:rPr>
          <w:rFonts w:ascii="Times New Roman" w:hAnsi="Times New Roman"/>
          <w:b/>
          <w:sz w:val="36"/>
          <w:u w:val="single"/>
        </w:rPr>
        <w:t>ClearOne,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28" w:type="dxa"/>
          <w:right w:w="0" w:type="dxa"/>
        </w:tblCellMar>
      </w:tblPr>
      <w:tblGrid>
        <w:gridCol w:w="4221"/>
        <w:gridCol w:w="2587"/>
        <w:gridCol w:w="3397"/>
      </w:tblGrid>
      <w:tr>
        <w:trPr/>
        <w:tc>
          <w:tcPr>
            <w:tcW w:w="4221"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258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001-33660</w:t>
            </w:r>
          </w:p>
        </w:tc>
        <w:tc>
          <w:tcPr>
            <w:tcW w:w="339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221" w:type="dxa"/>
            <w:tcBorders/>
            <w:tcMar>
              <w:bottom w:w="0" w:type="dxa"/>
            </w:tcMar>
            <w:vAlign w:val="center"/>
          </w:tcPr>
          <w:p>
            <w:pPr>
              <w:pStyle w:val="TableContents"/>
              <w:bidi w:val="0"/>
              <w:spacing w:before="0" w:after="0"/>
              <w:ind w:left="45" w:right="0" w:hanging="0"/>
              <w:jc w:val="center"/>
              <w:rPr>
                <w:rFonts w:ascii="Times New Roman" w:hAnsi="Times New Roman"/>
                <w:sz w:val="20"/>
              </w:rPr>
            </w:pPr>
            <w:r>
              <w:rPr>
                <w:rFonts w:ascii="Times New Roman" w:hAnsi="Times New Roman"/>
                <w:sz w:val="20"/>
              </w:rPr>
              <w:t xml:space="preserve">(State or Other Jurisdiction of Incorporation) </w:t>
            </w:r>
          </w:p>
        </w:tc>
        <w:tc>
          <w:tcPr>
            <w:tcW w:w="2587" w:type="dxa"/>
            <w:tcBorders/>
            <w:tcMar>
              <w:bottom w:w="0" w:type="dxa"/>
            </w:tcMar>
            <w:vAlign w:val="center"/>
          </w:tcPr>
          <w:p>
            <w:pPr>
              <w:pStyle w:val="TableContents"/>
              <w:bidi w:val="0"/>
              <w:spacing w:before="0" w:after="0"/>
              <w:ind w:left="45" w:right="0" w:hanging="0"/>
              <w:jc w:val="center"/>
              <w:rPr>
                <w:rFonts w:ascii="Times New Roman" w:hAnsi="Times New Roman"/>
                <w:sz w:val="20"/>
              </w:rPr>
            </w:pPr>
            <w:r>
              <w:rPr>
                <w:rFonts w:ascii="Times New Roman" w:hAnsi="Times New Roman"/>
                <w:sz w:val="20"/>
              </w:rPr>
              <w:t xml:space="preserve">(Commission File Number) </w:t>
            </w:r>
          </w:p>
        </w:tc>
        <w:tc>
          <w:tcPr>
            <w:tcW w:w="3397" w:type="dxa"/>
            <w:tcBorders/>
            <w:tcMar>
              <w:bottom w:w="0" w:type="dxa"/>
            </w:tcMar>
            <w:vAlign w:val="center"/>
          </w:tcPr>
          <w:p>
            <w:pPr>
              <w:pStyle w:val="TableContents"/>
              <w:bidi w:val="0"/>
              <w:spacing w:before="0" w:after="0"/>
              <w:ind w:left="30" w:right="0" w:hanging="0"/>
              <w:jc w:val="center"/>
              <w:rPr>
                <w:rFonts w:ascii="Times New Roman" w:hAnsi="Times New Roman"/>
                <w:sz w:val="20"/>
              </w:rPr>
            </w:pPr>
            <w:r>
              <w:rPr>
                <w:rFonts w:ascii="Times New Roman" w:hAnsi="Times New Roman"/>
                <w:sz w:val="20"/>
              </w:rPr>
              <w:t xml:space="preserve">(I.R.S. Employer Identification No.)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50"/>
        <w:gridCol w:w="216"/>
        <w:gridCol w:w="1739"/>
      </w:tblGrid>
      <w:tr>
        <w:trPr/>
        <w:tc>
          <w:tcPr>
            <w:tcW w:w="825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5225 Wiley Post Way, Suite 500</w:t>
            </w:r>
            <w:r>
              <w:rPr>
                <w:rFonts w:ascii="Times New Roman" w:hAnsi="Times New Roman"/>
                <w:b/>
                <w:sz w:val="20"/>
              </w:rPr>
              <w:t xml:space="preserve">, Salt Lake City, Utah </w:t>
            </w:r>
          </w:p>
        </w:tc>
        <w:tc>
          <w:tcPr>
            <w:tcW w:w="216" w:type="dxa"/>
            <w:tcBorders/>
            <w:vAlign w:val="center"/>
          </w:tcPr>
          <w:p>
            <w:pPr>
              <w:pStyle w:val="TableContents"/>
              <w:bidi w:val="0"/>
              <w:spacing w:before="0" w:after="0"/>
              <w:ind w:left="0" w:right="0" w:hanging="0"/>
              <w:jc w:val="left"/>
              <w:rPr/>
            </w:pPr>
            <w:r>
              <w:rPr/>
              <w:t xml:space="preserve">  </w:t>
            </w:r>
          </w:p>
        </w:tc>
        <w:tc>
          <w:tcPr>
            <w:tcW w:w="173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2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216" w:type="dxa"/>
            <w:tcBorders/>
            <w:vAlign w:val="center"/>
          </w:tcPr>
          <w:p>
            <w:pPr>
              <w:pStyle w:val="TableContents"/>
              <w:bidi w:val="0"/>
              <w:spacing w:before="0" w:after="0"/>
              <w:ind w:left="0" w:right="0" w:hanging="0"/>
              <w:jc w:val="left"/>
              <w:rPr/>
            </w:pPr>
            <w:r>
              <w:rPr/>
              <w:t xml:space="preserve">  </w:t>
            </w:r>
          </w:p>
        </w:tc>
        <w:tc>
          <w:tcPr>
            <w:tcW w:w="173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30"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30"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xml:space="preserve">☐ </w:t>
            </w:r>
          </w:p>
        </w:tc>
        <w:tc>
          <w:tcPr>
            <w:tcW w:w="9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30"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Pre-commencement communication pursuant to Rule 13e-4(c) under the Exchange Act (17 CFR 240.13e-4(c))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Securities Registered Pursuant to Section 12(b) of the Act:  </w:t>
      </w:r>
    </w:p>
    <w:p>
      <w:pPr>
        <w:pStyle w:val="TextBody"/>
        <w:bidi w:val="0"/>
        <w:spacing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125" w:type="dxa"/>
        <w:jc w:val="left"/>
        <w:tblInd w:w="-10" w:type="dxa"/>
        <w:tblLayout w:type="fixed"/>
        <w:tblCellMar>
          <w:top w:w="28" w:type="dxa"/>
          <w:left w:w="28" w:type="dxa"/>
          <w:bottom w:w="0" w:type="dxa"/>
          <w:right w:w="0" w:type="dxa"/>
        </w:tblCellMar>
      </w:tblPr>
      <w:tblGrid>
        <w:gridCol w:w="2000"/>
        <w:gridCol w:w="1535"/>
        <w:gridCol w:w="3590"/>
      </w:tblGrid>
      <w:tr>
        <w:trPr/>
        <w:tc>
          <w:tcPr>
            <w:tcW w:w="2000" w:type="dxa"/>
            <w:tcBorders>
              <w:top w:val="single" w:sz="6"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6"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6" w:space="0" w:color="000000"/>
              <w:left w:val="single" w:sz="8" w:space="0" w:color="000000"/>
              <w:right w:val="single" w:sz="8"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00" w:type="dxa"/>
            <w:tcBorders>
              <w:top w:val="single" w:sz="6" w:space="0" w:color="000000"/>
              <w:left w:val="single" w:sz="8" w:space="0" w:color="000000"/>
              <w:bottom w:val="sing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$0.001 </w:t>
            </w:r>
          </w:p>
        </w:tc>
        <w:tc>
          <w:tcPr>
            <w:tcW w:w="1535" w:type="dxa"/>
            <w:tcBorders>
              <w:top w:val="single" w:sz="6" w:space="0" w:color="000000"/>
              <w:left w:val="single" w:sz="8" w:space="0" w:color="000000"/>
              <w:bottom w:val="sing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CLRO </w:t>
            </w:r>
          </w:p>
        </w:tc>
        <w:tc>
          <w:tcPr>
            <w:tcW w:w="3590" w:type="dxa"/>
            <w:tcBorders>
              <w:top w:val="single" w:sz="6" w:space="0" w:color="000000"/>
              <w:left w:val="single" w:sz="8" w:space="0" w:color="000000"/>
              <w:bottom w:val="single" w:sz="6"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rPr>
              <w:t>Nasdaq</w:t>
            </w:r>
            <w:r>
              <w:rPr>
                <w:rFonts w:ascii="Times New Roman;Times;serif" w:hAnsi="Times New Roman;Times;serif"/>
                <w:sz w:val="20"/>
              </w:rPr>
              <w:t> Capital Market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widowControl/>
        <w:bidi w:val="0"/>
        <w:spacing w:before="0" w:after="0"/>
        <w:ind w:left="0" w:right="0" w:hanging="0"/>
        <w:jc w:val="both"/>
        <w:rPr>
          <w:rFonts w:ascii="times new roman;times" w:hAnsi="times new roman;times"/>
          <w:sz w:val="20"/>
        </w:rPr>
      </w:pPr>
      <w:r>
        <w:rPr>
          <w:rFonts w:ascii="times new roman;times" w:hAnsi="times new roman;times"/>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times" w:hAnsi="times new roman;times"/>
          <w:caps w:val="false"/>
          <w:smallCaps w:val="false"/>
          <w:color w:val="000000"/>
          <w:spacing w:val="0"/>
          <w:sz w:val="20"/>
        </w:rPr>
        <w:t>☐</w:t>
      </w:r>
    </w:p>
    <w:p>
      <w:pPr>
        <w:pStyle w:val="TextBody"/>
        <w:bidi w:val="0"/>
        <w:spacing w:before="0" w:after="0"/>
        <w:jc w:val="left"/>
        <w:rPr/>
      </w:pPr>
      <w:r>
        <w:rPr/>
      </w:r>
    </w:p>
    <w:p>
      <w:pPr>
        <w:pStyle w:val="TextBody"/>
        <w:widowControl/>
        <w:bidi w:val="0"/>
        <w:spacing w:before="0" w:after="0"/>
        <w:ind w:left="0" w:right="0" w:hanging="0"/>
        <w:jc w:val="both"/>
        <w:rPr>
          <w:rFonts w:ascii="times new roman;times" w:hAnsi="times new roman;times"/>
          <w:sz w:val="20"/>
        </w:rPr>
      </w:pPr>
      <w:r>
        <w:rPr>
          <w:rFonts w:ascii="times new roman;times" w:hAnsi="times new roman;times"/>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caps w:val="false"/>
          <w:smallCaps w:val="false"/>
          <w:color w:val="000000"/>
          <w:spacing w:val="0"/>
          <w:sz w:val="20"/>
        </w:rPr>
        <w:t>☐</w:t>
      </w: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On </w:t>
      </w:r>
      <w:r>
        <w:rPr>
          <w:rFonts w:ascii="Times New Roman" w:hAnsi="Times New Roman"/>
          <w:sz w:val="20"/>
        </w:rPr>
        <w:t>May 16, 2023</w:t>
      </w:r>
      <w:r>
        <w:rPr>
          <w:rFonts w:ascii="Times New Roman" w:hAnsi="Times New Roman"/>
          <w:sz w:val="20"/>
        </w:rPr>
        <w:t xml:space="preserve"> ClearOne, Inc. (the “Company”) issued a press release announcing its financial results for the three months ended March 31, 2023. The full text of the press release is attached as Exhibit </w:t>
      </w:r>
      <w:r>
        <w:rPr>
          <w:rFonts w:ascii="Times New Roman" w:hAnsi="Times New Roman"/>
          <w:sz w:val="20"/>
        </w:rPr>
        <w:t>99.1</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9.01. Financial Statements and Exhibits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 Exhibits.</w:t>
      </w:r>
    </w:p>
    <w:p>
      <w:pPr>
        <w:pStyle w:val="TextBody"/>
        <w:bidi w:val="0"/>
        <w:spacing w:before="0" w:after="0"/>
        <w:ind w:left="150" w:right="15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76"/>
        <w:gridCol w:w="8729"/>
      </w:tblGrid>
      <w:tr>
        <w:trPr/>
        <w:tc>
          <w:tcPr>
            <w:tcW w:w="147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Exhibit No. </w:t>
            </w:r>
          </w:p>
        </w:tc>
        <w:tc>
          <w:tcPr>
            <w:tcW w:w="872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Description </w:t>
            </w:r>
          </w:p>
        </w:tc>
      </w:tr>
      <w:tr>
        <w:trPr/>
        <w:tc>
          <w:tcPr>
            <w:tcW w:w="1476" w:type="dxa"/>
            <w:tcBorders/>
            <w:vAlign w:val="center"/>
          </w:tcPr>
          <w:p>
            <w:pPr>
              <w:pStyle w:val="TableContents"/>
              <w:bidi w:val="0"/>
              <w:spacing w:before="0" w:after="0"/>
              <w:ind w:left="0" w:right="0" w:hanging="0"/>
              <w:jc w:val="left"/>
              <w:rPr/>
            </w:pPr>
            <w:r>
              <w:rPr/>
              <w:t xml:space="preserve">  </w:t>
            </w:r>
          </w:p>
        </w:tc>
        <w:tc>
          <w:tcPr>
            <w:tcW w:w="8729" w:type="dxa"/>
            <w:tcBorders/>
            <w:vAlign w:val="center"/>
          </w:tcPr>
          <w:p>
            <w:pPr>
              <w:pStyle w:val="TableContents"/>
              <w:bidi w:val="0"/>
              <w:spacing w:before="0" w:after="0"/>
              <w:ind w:left="0" w:right="0" w:hanging="0"/>
              <w:jc w:val="left"/>
              <w:rPr/>
            </w:pPr>
            <w:r>
              <w:rPr/>
              <w:t xml:space="preserve">  </w:t>
            </w:r>
          </w:p>
        </w:tc>
      </w:tr>
      <w:tr>
        <w:trPr/>
        <w:tc>
          <w:tcPr>
            <w:tcW w:w="14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Exhibit </w:t>
            </w:r>
            <w:r>
              <w:rPr>
                <w:rFonts w:ascii="Times New Roman" w:hAnsi="Times New Roman"/>
                <w:sz w:val="20"/>
              </w:rPr>
              <w:t>99.1</w:t>
            </w:r>
            <w:r>
              <w:rPr>
                <w:rFonts w:ascii="Times New Roman" w:hAnsi="Times New Roman"/>
                <w:sz w:val="20"/>
              </w:rPr>
              <w:t xml:space="preserve"> </w:t>
            </w:r>
          </w:p>
        </w:tc>
        <w:tc>
          <w:tcPr>
            <w:tcW w:w="8729" w:type="dxa"/>
            <w:tcBorders/>
            <w:vAlign w:val="center"/>
          </w:tcPr>
          <w:p>
            <w:pPr>
              <w:pStyle w:val="TableContents"/>
              <w:bidi w:val="0"/>
              <w:spacing w:before="0" w:after="0"/>
              <w:ind w:left="0" w:right="0" w:hanging="0"/>
              <w:jc w:val="left"/>
              <w:rPr/>
            </w:pPr>
            <w:hyperlink w:anchor="ex991_1.htm">
              <w:r>
                <w:rPr>
                  <w:rStyle w:val="InternetLink"/>
                </w:rPr>
                <w:t xml:space="preserve">Press Release of ClearOne, Inc. dated May 16, 2023. </w:t>
              </w:r>
            </w:hyperlink>
          </w:p>
        </w:tc>
      </w:tr>
      <w:tr>
        <w:trPr/>
        <w:tc>
          <w:tcPr>
            <w:tcW w:w="1476" w:type="dxa"/>
            <w:tcBorders/>
            <w:vAlign w:val="center"/>
          </w:tcPr>
          <w:p>
            <w:pPr>
              <w:pStyle w:val="TableContents"/>
              <w:bidi w:val="0"/>
              <w:spacing w:before="0" w:after="283"/>
              <w:jc w:val="left"/>
              <w:rPr/>
            </w:pPr>
            <w:r>
              <w:rPr/>
              <w:t xml:space="preserve">Exhibit </w:t>
            </w:r>
            <w:r>
              <w:rPr/>
              <w:t>104.1</w:t>
            </w:r>
          </w:p>
        </w:tc>
        <w:tc>
          <w:tcPr>
            <w:tcW w:w="8729"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50" w:right="15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r>
        <w:rPr>
          <w:rFonts w:ascii="times new roman;times" w:hAnsi="times new roman;times"/>
          <w:sz w:val="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606"/>
        <w:gridCol w:w="1065"/>
        <w:gridCol w:w="5534"/>
      </w:tblGrid>
      <w:tr>
        <w:trPr/>
        <w:tc>
          <w:tcPr>
            <w:tcW w:w="3606" w:type="dxa"/>
            <w:tcBorders/>
            <w:vAlign w:val="center"/>
          </w:tcPr>
          <w:p>
            <w:pPr>
              <w:pStyle w:val="TableContents"/>
              <w:bidi w:val="0"/>
              <w:spacing w:before="0" w:after="0"/>
              <w:ind w:left="0" w:right="0" w:hanging="0"/>
              <w:jc w:val="both"/>
              <w:rPr/>
            </w:pPr>
            <w:r>
              <w:rPr/>
              <w:t xml:space="preserve">  </w:t>
            </w:r>
          </w:p>
        </w:tc>
        <w:tc>
          <w:tcPr>
            <w:tcW w:w="6599"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3606" w:type="dxa"/>
            <w:tcBorders/>
            <w:vAlign w:val="center"/>
          </w:tcPr>
          <w:p>
            <w:pPr>
              <w:pStyle w:val="TableContents"/>
              <w:bidi w:val="0"/>
              <w:spacing w:before="0" w:after="0"/>
              <w:ind w:left="0" w:right="0" w:hanging="0"/>
              <w:jc w:val="both"/>
              <w:rPr/>
            </w:pPr>
            <w:r>
              <w:rPr/>
              <w:t xml:space="preserve">  </w:t>
            </w:r>
          </w:p>
        </w:tc>
        <w:tc>
          <w:tcPr>
            <w:tcW w:w="1065" w:type="dxa"/>
            <w:tcBorders/>
            <w:vAlign w:val="center"/>
          </w:tcPr>
          <w:p>
            <w:pPr>
              <w:pStyle w:val="TableContents"/>
              <w:bidi w:val="0"/>
              <w:spacing w:before="0" w:after="0"/>
              <w:ind w:left="0" w:right="0" w:hanging="0"/>
              <w:jc w:val="both"/>
              <w:rPr/>
            </w:pPr>
            <w:r>
              <w:rPr/>
              <w:t xml:space="preserve">  </w:t>
            </w:r>
          </w:p>
        </w:tc>
        <w:tc>
          <w:tcPr>
            <w:tcW w:w="5534" w:type="dxa"/>
            <w:tcBorders/>
            <w:vAlign w:val="center"/>
          </w:tcPr>
          <w:p>
            <w:pPr>
              <w:pStyle w:val="TableContents"/>
              <w:bidi w:val="0"/>
              <w:spacing w:before="0" w:after="0"/>
              <w:ind w:left="0" w:right="0" w:hanging="0"/>
              <w:jc w:val="both"/>
              <w:rPr/>
            </w:pPr>
            <w:r>
              <w:rPr/>
              <w:t xml:space="preserve">  </w:t>
            </w:r>
          </w:p>
        </w:tc>
      </w:tr>
      <w:tr>
        <w:trPr/>
        <w:tc>
          <w:tcPr>
            <w:tcW w:w="3606" w:type="dxa"/>
            <w:tcBorders/>
            <w:vAlign w:val="center"/>
          </w:tcPr>
          <w:p>
            <w:pPr>
              <w:pStyle w:val="TableContents"/>
              <w:bidi w:val="0"/>
              <w:spacing w:before="0" w:after="0"/>
              <w:ind w:left="0" w:right="0" w:hanging="0"/>
              <w:jc w:val="both"/>
              <w:rPr/>
            </w:pPr>
            <w:r>
              <w:rPr/>
              <w:t> </w:t>
            </w:r>
            <w:r>
              <w:rPr>
                <w:rFonts w:ascii="Times New Roman" w:hAnsi="Times New Roman"/>
                <w:sz w:val="20"/>
              </w:rPr>
              <w:t>May 22, 2023</w:t>
            </w:r>
          </w:p>
        </w:tc>
        <w:tc>
          <w:tcPr>
            <w:tcW w:w="10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5534"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Narsi Narayanan</w:t>
            </w:r>
          </w:p>
        </w:tc>
      </w:tr>
      <w:tr>
        <w:trPr/>
        <w:tc>
          <w:tcPr>
            <w:tcW w:w="3606" w:type="dxa"/>
            <w:tcBorders/>
            <w:vAlign w:val="center"/>
          </w:tcPr>
          <w:p>
            <w:pPr>
              <w:pStyle w:val="TableContents"/>
              <w:bidi w:val="0"/>
              <w:spacing w:before="0" w:after="0"/>
              <w:ind w:left="0" w:right="0" w:hanging="0"/>
              <w:jc w:val="both"/>
              <w:rPr/>
            </w:pPr>
            <w:r>
              <w:rPr/>
              <w:t xml:space="preserve">  </w:t>
            </w:r>
          </w:p>
        </w:tc>
        <w:tc>
          <w:tcPr>
            <w:tcW w:w="1065" w:type="dxa"/>
            <w:tcBorders/>
            <w:vAlign w:val="center"/>
          </w:tcPr>
          <w:p>
            <w:pPr>
              <w:pStyle w:val="TableContents"/>
              <w:bidi w:val="0"/>
              <w:spacing w:before="0" w:after="0"/>
              <w:ind w:left="0" w:right="0" w:hanging="0"/>
              <w:jc w:val="both"/>
              <w:rPr/>
            </w:pPr>
            <w:r>
              <w:rPr/>
              <w:t xml:space="preserve">  </w:t>
            </w:r>
          </w:p>
        </w:tc>
        <w:tc>
          <w:tcPr>
            <w:tcW w:w="5534" w:type="dxa"/>
            <w:tcBorders/>
            <w:vAlign w:val="center"/>
          </w:tcPr>
          <w:p>
            <w:pPr>
              <w:pStyle w:val="TableContents"/>
              <w:bidi w:val="0"/>
              <w:spacing w:before="0" w:after="0"/>
              <w:ind w:left="0" w:right="0" w:hanging="0"/>
              <w:jc w:val="both"/>
              <w:rPr/>
            </w:pPr>
            <w:r>
              <w:rPr/>
              <w:t>Narsi Narayanan</w:t>
            </w:r>
          </w:p>
        </w:tc>
      </w:tr>
      <w:tr>
        <w:trPr/>
        <w:tc>
          <w:tcPr>
            <w:tcW w:w="3606" w:type="dxa"/>
            <w:tcBorders/>
            <w:vAlign w:val="center"/>
          </w:tcPr>
          <w:p>
            <w:pPr>
              <w:pStyle w:val="TableContents"/>
              <w:bidi w:val="0"/>
              <w:spacing w:before="0" w:after="0"/>
              <w:ind w:left="0" w:right="0" w:hanging="0"/>
              <w:jc w:val="both"/>
              <w:rPr/>
            </w:pPr>
            <w:r>
              <w:rPr/>
              <w:t xml:space="preserve">  </w:t>
            </w:r>
          </w:p>
        </w:tc>
        <w:tc>
          <w:tcPr>
            <w:tcW w:w="1065" w:type="dxa"/>
            <w:tcBorders/>
            <w:vAlign w:val="center"/>
          </w:tcPr>
          <w:p>
            <w:pPr>
              <w:pStyle w:val="TableContents"/>
              <w:bidi w:val="0"/>
              <w:spacing w:before="0" w:after="0"/>
              <w:ind w:left="0" w:right="0" w:hanging="0"/>
              <w:jc w:val="both"/>
              <w:rPr/>
            </w:pPr>
            <w:r>
              <w:rPr/>
              <w:t xml:space="preserve">  </w:t>
            </w:r>
          </w:p>
        </w:tc>
        <w:tc>
          <w:tcPr>
            <w:tcW w:w="5534" w:type="dxa"/>
            <w:tcBorders/>
            <w:vAlign w:val="center"/>
          </w:tcPr>
          <w:p>
            <w:pPr>
              <w:pStyle w:val="TableContents"/>
              <w:bidi w:val="0"/>
              <w:spacing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r>
    </w:p>
    <w:p>
      <w:pPr>
        <w:pStyle w:val="TextBody"/>
        <w:widowControl/>
        <w:bidi w:val="0"/>
        <w:spacing w:lineRule="auto" w:line="312" w:before="0" w:after="0"/>
        <w:ind w:left="0" w:right="0" w:hanging="0"/>
        <w:jc w:val="right"/>
        <w:rPr>
          <w:rFonts w:ascii="times new roman;times" w:hAnsi="times new roman;times"/>
          <w:b/>
          <w:i w:val="false"/>
          <w:caps w:val="false"/>
          <w:smallCaps w:val="false"/>
          <w:color w:val="000000"/>
          <w:spacing w:val="0"/>
          <w:sz w:val="20"/>
        </w:rPr>
      </w:pPr>
      <w:bookmarkStart w:id="4" w:name="ex991_1.htm"/>
      <w:bookmarkStart w:id="5" w:name="ksex991_1"/>
      <w:bookmarkEnd w:id="4"/>
      <w:bookmarkEnd w:id="5"/>
      <w:r>
        <w:rPr>
          <w:rFonts w:ascii="times new roman;times" w:hAnsi="times new roman;times"/>
          <w:b/>
          <w:i w:val="false"/>
          <w:caps w:val="false"/>
          <w:smallCaps w:val="false"/>
          <w:color w:val="000000"/>
          <w:spacing w:val="0"/>
          <w:sz w:val="20"/>
        </w:rPr>
        <w:t>Exhibit 99.1</w:t>
      </w:r>
      <w:r>
        <w:br w:type="page"/>
      </w:r>
    </w:p>
    <w:p>
      <w:pPr>
        <w:pStyle w:val="TextBody"/>
        <w:bidi w:val="0"/>
        <w:spacing w:lineRule="auto" w:line="240" w:before="0" w:after="0"/>
        <w:ind w:left="0" w:right="144" w:hanging="0"/>
        <w:jc w:val="left"/>
        <w:rPr>
          <w:rFonts w:ascii="times new roman;times" w:hAnsi="times new roman;times"/>
          <w:b/>
          <w:color w:val="000000"/>
          <w:sz w:val="20"/>
        </w:rPr>
      </w:pPr>
      <w:r>
        <w:rPr>
          <w:rFonts w:ascii="times new roman;times" w:hAnsi="times new roman;times"/>
          <w:b/>
          <w:color w:val="000000"/>
          <w:sz w:val="20"/>
        </w:rPr>
        <w:t xml:space="preserve">ClearOne, Inc. Reports First Quarter </w:t>
      </w:r>
      <w:r>
        <w:rPr>
          <w:rFonts w:ascii="times new roman;times" w:hAnsi="times new roman;times"/>
          <w:b/>
          <w:color w:val="000000"/>
          <w:sz w:val="20"/>
        </w:rPr>
        <w:t>2023</w:t>
      </w:r>
      <w:r>
        <w:rPr>
          <w:rFonts w:ascii="times new roman;times" w:hAnsi="times new roman;times"/>
          <w:b/>
          <w:color w:val="000000"/>
          <w:sz w:val="20"/>
        </w:rPr>
        <w:t> Financial Results</w:t>
      </w:r>
    </w:p>
    <w:p>
      <w:pPr>
        <w:pStyle w:val="TextBody"/>
        <w:bidi w:val="0"/>
        <w:spacing w:lineRule="auto" w:line="240" w:before="0" w:after="0"/>
        <w:ind w:left="0" w:right="144" w:hanging="0"/>
        <w:jc w:val="both"/>
        <w:rPr>
          <w:color w:val="000000"/>
        </w:rPr>
      </w:pPr>
      <w:r>
        <w:rPr>
          <w:color w:val="000000"/>
        </w:rPr>
        <w:t> </w:t>
      </w:r>
    </w:p>
    <w:p>
      <w:pPr>
        <w:pStyle w:val="TextBody"/>
        <w:widowControl/>
        <w:bidi w:val="0"/>
        <w:spacing w:lineRule="auto" w:line="312" w:before="0" w:after="0"/>
        <w:ind w:left="0" w:right="0" w:hanging="0"/>
        <w:jc w:val="both"/>
        <w:rPr>
          <w:rFonts w:ascii="times new roman;times" w:hAnsi="times new roman;times"/>
          <w:sz w:val="20"/>
        </w:rPr>
      </w:pPr>
      <w:r>
        <w:rPr>
          <w:rFonts w:ascii="times new roman;times" w:hAnsi="times new roman;times"/>
          <w:sz w:val="20"/>
        </w:rPr>
        <w:t xml:space="preserve">SALT LAKE CITY, UTAH – </w:t>
      </w:r>
      <w:r>
        <w:rPr>
          <w:rFonts w:ascii="times new roman;times" w:hAnsi="times new roman;times"/>
          <w:sz w:val="20"/>
        </w:rPr>
        <w:t>May 16, 2023</w:t>
      </w:r>
      <w:r>
        <w:rPr>
          <w:rFonts w:ascii="times new roman;times" w:hAnsi="times new roman;times"/>
          <w:sz w:val="20"/>
        </w:rPr>
        <w:t xml:space="preserve"> – ClearOne (NASDAQ: CLRO), a global provider of audio and visual communication solutions, reported financial results for the </w:t>
      </w:r>
      <w:r>
        <w:rPr>
          <w:rFonts w:ascii="times new roman;times" w:hAnsi="times new roman;times"/>
          <w:sz w:val="20"/>
        </w:rPr>
        <w:t xml:space="preserve">three month period ended </w:t>
      </w:r>
      <w:r>
        <w:rPr>
          <w:rFonts w:ascii="times new roman;times" w:hAnsi="times new roman;times"/>
          <w:b w:val="false"/>
          <w:i w:val="false"/>
          <w:caps w:val="false"/>
          <w:smallCaps w:val="false"/>
          <w:color w:val="000000"/>
          <w:spacing w:val="0"/>
          <w:sz w:val="20"/>
        </w:rPr>
        <w:t>March 31, 2023</w:t>
      </w:r>
      <w:r>
        <w:rPr>
          <w:rFonts w:ascii="times new roman;times" w:hAnsi="times new roman;times"/>
          <w:sz w:val="20"/>
        </w:rPr>
        <w:t>.</w:t>
      </w:r>
    </w:p>
    <w:p>
      <w:pPr>
        <w:pStyle w:val="TextBody"/>
        <w:bidi w:val="0"/>
        <w:spacing w:lineRule="auto" w:line="240" w:before="0" w:after="0"/>
        <w:ind w:left="0" w:right="0" w:hanging="0"/>
        <w:jc w:val="both"/>
        <w:rPr/>
      </w:pPr>
      <w:r>
        <w:rPr/>
      </w:r>
    </w:p>
    <w:p>
      <w:pPr>
        <w:pStyle w:val="TextBody"/>
        <w:bidi w:val="0"/>
        <w:spacing w:lineRule="auto" w:line="312" w:before="0" w:after="0"/>
        <w:ind w:left="0" w:right="0" w:hanging="0"/>
        <w:jc w:val="both"/>
        <w:rPr>
          <w:color w:val="000000"/>
        </w:rPr>
      </w:pPr>
      <w:r>
        <w:rPr>
          <w:color w:val="000000"/>
        </w:rPr>
        <w:t>“</w:t>
      </w:r>
      <w:r>
        <w:rPr>
          <w:rFonts w:ascii="times new roman;times" w:hAnsi="times new roman;times"/>
          <w:color w:val="000000"/>
          <w:sz w:val="20"/>
          <w:lang w:val="en-US"/>
        </w:rPr>
        <w:t>During the first quarter, we maintained our focus on developing unique products that meet our partner and end user needs, supported by a leaner, improved cost structure,” said Derek Graham, CEO of ClearOne. “We have continued to support a growing backlog for our core audio conferencing products, as well as roll out the new CHAT® 150 BT group speakerphone and UNITE 260 Pro camera products we introduced in January. Though our first quarter revenues remained pressured by the ongoing transition of our outsourced manufacturing from China to Singapore, we expect our revenue performance to improve in the second half of this year. We will continue working to increase our market share and deliver long-term value to our investors in the year ahead. </w:t>
      </w:r>
    </w:p>
    <w:p>
      <w:pPr>
        <w:pStyle w:val="TextBody"/>
        <w:bidi w:val="0"/>
        <w:spacing w:lineRule="auto" w:line="312" w:before="0" w:after="0"/>
        <w:ind w:left="0" w:right="0" w:hanging="0"/>
        <w:jc w:val="both"/>
        <w:rPr>
          <w:rFonts w:ascii="times new roman;times" w:hAnsi="times new roman;times"/>
          <w:color w:val="000000"/>
          <w:sz w:val="20"/>
          <w:lang w:val="en-US"/>
        </w:rPr>
      </w:pPr>
      <w:r>
        <w:rPr>
          <w:rFonts w:ascii="times new roman;times" w:hAnsi="times new roman;times"/>
          <w:color w:val="000000"/>
          <w:sz w:val="20"/>
          <w:lang w:val="en-US"/>
        </w:rPr>
      </w:r>
    </w:p>
    <w:p>
      <w:pPr>
        <w:pStyle w:val="TextBody"/>
        <w:bidi w:val="0"/>
        <w:spacing w:lineRule="auto" w:line="312" w:before="0" w:after="240"/>
        <w:jc w:val="both"/>
        <w:rPr/>
      </w:pPr>
      <w:r>
        <w:rPr>
          <w:color w:val="000000"/>
        </w:rPr>
        <w:t>“</w:t>
      </w:r>
      <w:r>
        <w:rPr>
          <w:rFonts w:ascii="times new roman;times" w:hAnsi="times new roman;times"/>
          <w:color w:val="000000"/>
          <w:sz w:val="20"/>
          <w:lang w:val="en-US"/>
        </w:rPr>
        <w:t>The recent announcement of a special dividend by our Board of Directors further signifies our commitment to rewarding our investors. Our strong balance sheet, especially our cash position after paying the special dividend, provides us the necessary ramp to launch our products, build strong teams and compete effectively in the market."</w:t>
      </w:r>
      <w:r>
        <w:rPr>
          <w:rFonts w:ascii="times new roman;times" w:hAnsi="times new roman;times"/>
          <w:sz w:val="20"/>
        </w:rPr>
        <w:t xml:space="preserve">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Recent Highlights</w:t>
      </w:r>
    </w:p>
    <w:p>
      <w:pPr>
        <w:pStyle w:val="TextBody"/>
        <w:numPr>
          <w:ilvl w:val="0"/>
          <w:numId w:val="2"/>
        </w:numPr>
        <w:tabs>
          <w:tab w:val="clear" w:pos="1134"/>
          <w:tab w:val="left" w:pos="709" w:leader="none"/>
        </w:tabs>
        <w:bidi w:val="0"/>
        <w:spacing w:lineRule="auto" w:line="288" w:before="0" w:after="160"/>
        <w:ind w:left="709" w:hanging="283"/>
        <w:jc w:val="both"/>
        <w:rPr>
          <w:rFonts w:ascii="Times New Roman;serif" w:hAnsi="Times New Roman;serif"/>
          <w:sz w:val="20"/>
        </w:rPr>
      </w:pPr>
      <w:r>
        <w:rPr>
          <w:rFonts w:ascii="times new roman;times" w:hAnsi="times new roman;times"/>
          <w:sz w:val="20"/>
          <w:lang w:val="en-US"/>
        </w:rPr>
        <w:t>On May 8, 2023, the Company announced that the Company’s Board of Directors had declared a special one-time cash dividend of $1.00 per share of the Company’s common stock or eligible warrants, payable on May 31, 2023 to shareholders of record on May 22, 2023. The ex-dividend date for this distribution is June 1, 2023, in accordance with FINRA UPC (Uniform Practice Code) Rule 11140. This dividend distribution is expected to generate cash outflows of approximately $29.0 million.</w:t>
      </w:r>
      <w:r>
        <w:rPr>
          <w:rFonts w:ascii="Times New Roman;serif" w:hAnsi="Times New Roman;serif"/>
          <w:sz w:val="20"/>
        </w:rPr>
        <w:t xml:space="preserve"> </w:t>
      </w:r>
    </w:p>
    <w:p>
      <w:pPr>
        <w:pStyle w:val="TextBody"/>
        <w:bidi w:val="0"/>
        <w:spacing w:lineRule="auto" w:line="312" w:before="0" w:after="0"/>
        <w:ind w:left="0" w:right="0" w:hanging="0"/>
        <w:jc w:val="both"/>
        <w:rPr>
          <w:rFonts w:ascii="Times New Roman;serif" w:hAnsi="Times New Roman;serif"/>
          <w:b/>
          <w:sz w:val="20"/>
        </w:rPr>
      </w:pPr>
      <w:r>
        <w:rPr>
          <w:rFonts w:ascii="Times New Roman;serif" w:hAnsi="Times New Roman;serif"/>
          <w:b/>
          <w:sz w:val="20"/>
        </w:rPr>
        <w:t>Financial Summary</w:t>
      </w:r>
    </w:p>
    <w:p>
      <w:pPr>
        <w:pStyle w:val="TextBody"/>
        <w:bidi w:val="0"/>
        <w:spacing w:lineRule="auto" w:line="312" w:before="0" w:after="0"/>
        <w:ind w:left="0" w:right="0" w:hanging="0"/>
        <w:jc w:val="both"/>
        <w:rPr/>
      </w:pPr>
      <w:r>
        <w:rPr/>
      </w:r>
    </w:p>
    <w:p>
      <w:pPr>
        <w:pStyle w:val="TextBody"/>
        <w:bidi w:val="0"/>
        <w:spacing w:lineRule="auto" w:line="312" w:before="0" w:after="0"/>
        <w:ind w:left="0" w:right="0" w:hanging="0"/>
        <w:jc w:val="both"/>
        <w:rPr>
          <w:rFonts w:ascii="Times New Roman;serif" w:hAnsi="Times New Roman;serif"/>
          <w:sz w:val="20"/>
        </w:rPr>
      </w:pPr>
      <w:r>
        <w:rPr>
          <w:rFonts w:ascii="times new roman;times" w:hAnsi="times new roman;times"/>
          <w:sz w:val="20"/>
        </w:rPr>
        <w:t>The</w:t>
      </w:r>
      <w:r>
        <w:rPr>
          <w:rFonts w:ascii="Times New Roman;serif" w:hAnsi="Times New Roman;serif"/>
          <w:sz w:val="20"/>
        </w:rPr>
        <w:t xml:space="preserve"> Company uses certain non-GAAP financial measures and reconciles those to GAAP measures in the attached tables. </w:t>
      </w:r>
    </w:p>
    <w:p>
      <w:pPr>
        <w:pStyle w:val="TextBody"/>
        <w:widowControl/>
        <w:numPr>
          <w:ilvl w:val="0"/>
          <w:numId w:val="3"/>
        </w:numPr>
        <w:tabs>
          <w:tab w:val="clear" w:pos="1134"/>
          <w:tab w:val="left" w:pos="709" w:leader="none"/>
        </w:tabs>
        <w:bidi w:val="0"/>
        <w:spacing w:lineRule="auto" w:line="312" w:before="0" w:after="160"/>
        <w:ind w:left="709"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lang w:val="en-US"/>
        </w:rPr>
        <w:t xml:space="preserve">Q1 2023 revenue was $4.2 million, compared to $7.5 million in Q1 2022 and $4.0 million in Q4 2022. The sequential and year-over-year decrease was mainly due to (a) a decline in revenue from video products due to decline in demand and (b) continued order fulfillment challenges for our core audio conferencing and beamforming microphone arrays as a result of ongoing delays in the transition of our outsourced manufacturing from China to Singapore. </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 </w:t>
      </w:r>
    </w:p>
    <w:p>
      <w:pPr>
        <w:pStyle w:val="TextBody"/>
        <w:widowControl/>
        <w:numPr>
          <w:ilvl w:val="0"/>
          <w:numId w:val="3"/>
        </w:numPr>
        <w:tabs>
          <w:tab w:val="clear" w:pos="1134"/>
          <w:tab w:val="left" w:pos="709" w:leader="none"/>
        </w:tabs>
        <w:bidi w:val="0"/>
        <w:spacing w:lineRule="auto" w:line="312" w:before="0" w:after="160"/>
        <w:ind w:left="709" w:right="0" w:hanging="0"/>
        <w:jc w:val="left"/>
        <w:rPr>
          <w:rFonts w:ascii="times new roman;times" w:hAnsi="times new roman;times"/>
          <w:b w:val="false"/>
          <w:i w:val="false"/>
          <w:caps w:val="false"/>
          <w:smallCaps w:val="false"/>
          <w:color w:val="000000"/>
          <w:spacing w:val="0"/>
          <w:sz w:val="20"/>
          <w:lang w:val="en-US"/>
        </w:rPr>
      </w:pPr>
      <w:r>
        <w:rPr>
          <w:rFonts w:ascii="times new roman;times" w:hAnsi="times new roman;times"/>
          <w:b w:val="false"/>
          <w:i w:val="false"/>
          <w:caps w:val="false"/>
          <w:smallCaps w:val="false"/>
          <w:color w:val="000000"/>
          <w:spacing w:val="0"/>
          <w:sz w:val="20"/>
          <w:lang w:val="en-US"/>
        </w:rPr>
        <w:t xml:space="preserve">Gross profit in Q1 2023 was $1.3 million, compared to $2.8 million in Q1 2022 and $1.3 million in Q4 2022. Gross profit margin was 31% in Q1 2023 and Q4 2022, compared to 37% in Q1 2022. Gross profit margin decreased year-over-year due to increased administration and overhead costs as a percentage of revenue due to significantly reduced revenue. </w:t>
      </w:r>
    </w:p>
    <w:p>
      <w:pPr>
        <w:pStyle w:val="TextBody"/>
        <w:widowControl/>
        <w:numPr>
          <w:ilvl w:val="0"/>
          <w:numId w:val="3"/>
        </w:numPr>
        <w:tabs>
          <w:tab w:val="clear" w:pos="1134"/>
          <w:tab w:val="left" w:pos="709" w:leader="none"/>
        </w:tabs>
        <w:bidi w:val="0"/>
        <w:spacing w:lineRule="auto" w:line="312" w:before="0" w:after="160"/>
        <w:ind w:left="709" w:right="0" w:hanging="0"/>
        <w:jc w:val="left"/>
        <w:rPr>
          <w:rFonts w:ascii="times new roman;times" w:hAnsi="times new roman;times"/>
          <w:b w:val="false"/>
          <w:i w:val="false"/>
          <w:caps w:val="false"/>
          <w:smallCaps w:val="false"/>
          <w:color w:val="000000"/>
          <w:spacing w:val="0"/>
          <w:sz w:val="20"/>
          <w:lang w:val="en-US"/>
        </w:rPr>
      </w:pPr>
      <w:r>
        <w:rPr>
          <w:rFonts w:ascii="times new roman;times" w:hAnsi="times new roman;times"/>
          <w:b w:val="false"/>
          <w:i w:val="false"/>
          <w:caps w:val="false"/>
          <w:smallCaps w:val="false"/>
          <w:color w:val="000000"/>
          <w:spacing w:val="0"/>
          <w:sz w:val="20"/>
          <w:lang w:val="en-US"/>
        </w:rPr>
        <w:t xml:space="preserve">Operating expenses in Q1 2023 were $3.5 million, compared to $4.7 million in Q1 2022 and $3.9 million in Q4 2022. Non-GAAP operating expenses in Q1 2023, as well as Q4 2022, were $3.4 million, compared to $4.0 million in Q1. The decrease in year-over-year non-GAAP operating expenses was mainly due to additional cost-cutting measures initiated in 2022.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w:t>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numPr>
          <w:ilvl w:val="0"/>
          <w:numId w:val="4"/>
        </w:numPr>
        <w:tabs>
          <w:tab w:val="clear" w:pos="1134"/>
          <w:tab w:val="left" w:pos="709" w:leader="none"/>
        </w:tabs>
        <w:bidi w:val="0"/>
        <w:spacing w:lineRule="auto" w:line="312" w:before="0" w:after="160"/>
        <w:ind w:left="709" w:right="0" w:hanging="283"/>
        <w:jc w:val="left"/>
        <w:rPr>
          <w:rFonts w:ascii="times new roman;times" w:hAnsi="times new roman;times"/>
          <w:sz w:val="20"/>
        </w:rPr>
      </w:pPr>
      <w:r>
        <w:rPr>
          <w:rFonts w:ascii="times new roman;times" w:hAnsi="times new roman;times"/>
          <w:color w:val="000000"/>
          <w:sz w:val="20"/>
          <w:lang w:val="en-US"/>
        </w:rPr>
        <w:t xml:space="preserve">GAAP net loss in Q1 2023 was $0.8 million, or $0.03 per share, compared to a net loss of $2.0 million, or $0.08 per share, in Q1 2022 and a net income of $24.0 million, or $0.97 per share, in Q4 2022. The year-over-year decrease in net loss was primarily due to the recognition of a $1.35 million gain from a legal settlement in Q1 2023  and the aforementioned reduction in operating expenses, partially offset by the reduction in gross profit. The sequential change from net income to net loss was primarily due to the recognition of a gain of $33.6 million related to the one-time legal settlement receivable of $55 million, partially offset by operating losses and provision for income tax in Q4 2022. </w:t>
      </w:r>
      <w:r>
        <w:rPr>
          <w:rFonts w:ascii="Times New Roman;serif" w:hAnsi="Times New Roman;serif"/>
          <w:sz w:val="20"/>
        </w:rPr>
        <w:t>  </w:t>
      </w:r>
      <w:r>
        <w:rPr>
          <w:rFonts w:ascii="times new roman;times" w:hAnsi="times new roman;times"/>
          <w:sz w:val="20"/>
        </w:rPr>
        <w:t xml:space="preserve"> </w:t>
      </w:r>
    </w:p>
    <w:p>
      <w:pPr>
        <w:pStyle w:val="TextBody"/>
        <w:numPr>
          <w:ilvl w:val="0"/>
          <w:numId w:val="4"/>
        </w:numPr>
        <w:tabs>
          <w:tab w:val="clear" w:pos="1134"/>
          <w:tab w:val="left" w:pos="709" w:leader="none"/>
        </w:tabs>
        <w:bidi w:val="0"/>
        <w:spacing w:lineRule="auto" w:line="312" w:before="0" w:after="160"/>
        <w:ind w:left="709" w:right="0" w:hanging="283"/>
        <w:jc w:val="left"/>
        <w:rPr>
          <w:rFonts w:ascii="times new roman;times" w:hAnsi="times new roman;times"/>
          <w:sz w:val="20"/>
        </w:rPr>
      </w:pPr>
      <w:r>
        <w:rPr>
          <w:rFonts w:ascii="times new roman;times" w:hAnsi="times new roman;times"/>
          <w:color w:val="000000"/>
          <w:sz w:val="20"/>
          <w:lang w:val="en-US"/>
        </w:rPr>
        <w:t>Non-GAAP net loss in Q1 2023 was $2.0 million, or $0.09 per share, compared to a Non-GAAP net loss of $1.3 million, or $0.05 per share, in Q1 2022 and a Non-GAAP net loss of $2.3 million, or $0.09 per share, in Q4 2022. The year-over-year increase in Non-GAAP net loss was due to the reduction in gross margin caused by significant decrease in revenues, partially offset by reduction in operating expenses. The sequential reduction in Non-GAAP net loss was primarily due to the reduction of bonuses in Q1 2023.</w:t>
      </w:r>
      <w:r>
        <w:rPr>
          <w:rFonts w:ascii="times new roman;times" w:hAnsi="times new roman;times"/>
          <w:sz w:val="20"/>
        </w:rPr>
        <w:t xml:space="preserve"> </w:t>
      </w:r>
    </w:p>
    <w:tbl>
      <w:tblPr>
        <w:tblW w:w="5000" w:type="pct"/>
        <w:jc w:val="left"/>
        <w:tblInd w:w="0" w:type="dxa"/>
        <w:tblLayout w:type="fixed"/>
        <w:tblCellMar>
          <w:top w:w="0" w:type="dxa"/>
          <w:left w:w="0" w:type="dxa"/>
          <w:bottom w:w="0" w:type="dxa"/>
          <w:right w:w="0" w:type="dxa"/>
        </w:tblCellMar>
      </w:tblPr>
      <w:tblGrid>
        <w:gridCol w:w="4423"/>
        <w:gridCol w:w="278"/>
        <w:gridCol w:w="891"/>
        <w:gridCol w:w="196"/>
        <w:gridCol w:w="38"/>
        <w:gridCol w:w="278"/>
        <w:gridCol w:w="964"/>
        <w:gridCol w:w="197"/>
        <w:gridCol w:w="37"/>
        <w:gridCol w:w="2682"/>
        <w:gridCol w:w="221"/>
      </w:tblGrid>
      <w:tr>
        <w:trPr/>
        <w:tc>
          <w:tcPr>
            <w:tcW w:w="4423" w:type="dxa"/>
            <w:tcBorders/>
            <w:vAlign w:val="center"/>
          </w:tcPr>
          <w:p>
            <w:pPr>
              <w:pStyle w:val="TableContents"/>
              <w:pBdr/>
              <w:bidi w:val="0"/>
              <w:spacing w:before="0" w:after="0"/>
              <w:ind w:left="0" w:right="0" w:hanging="0"/>
              <w:jc w:val="left"/>
              <w:rPr>
                <w:rFonts w:ascii="times new roman;times" w:hAnsi="times new roman;times"/>
                <w:b/>
                <w:sz w:val="18"/>
              </w:rPr>
            </w:pPr>
            <w:r>
              <w:rPr>
                <w:rFonts w:ascii="times new roman;times" w:hAnsi="times new roman;times"/>
                <w:b/>
                <w:sz w:val="18"/>
              </w:rPr>
              <w:t xml:space="preserve">($ in 000, except per share) </w:t>
            </w:r>
          </w:p>
        </w:tc>
        <w:tc>
          <w:tcPr>
            <w:tcW w:w="278" w:type="dxa"/>
            <w:tcBorders/>
            <w:vAlign w:val="center"/>
          </w:tcPr>
          <w:p>
            <w:pPr>
              <w:pStyle w:val="TableContents"/>
              <w:pBdr/>
              <w:bidi w:val="0"/>
              <w:spacing w:before="0" w:after="0"/>
              <w:ind w:left="0" w:right="0" w:hanging="0"/>
              <w:jc w:val="left"/>
              <w:rPr/>
            </w:pPr>
            <w:r>
              <w:rPr/>
              <w:t xml:space="preserve">  </w:t>
            </w:r>
          </w:p>
        </w:tc>
        <w:tc>
          <w:tcPr>
            <w:tcW w:w="5283" w:type="dxa"/>
            <w:gridSpan w:val="8"/>
            <w:tcBorders>
              <w:bottom w:val="single" w:sz="6" w:space="0" w:color="000000"/>
            </w:tcBorders>
            <w:tcMar>
              <w:bottom w:w="28" w:type="dxa"/>
            </w:tcMar>
            <w:vAlign w:val="center"/>
          </w:tcPr>
          <w:p>
            <w:pPr>
              <w:pStyle w:val="TableContents"/>
              <w:pBdr/>
              <w:bidi w:val="0"/>
              <w:spacing w:before="0" w:after="0"/>
              <w:ind w:left="0" w:right="0" w:hanging="0"/>
              <w:jc w:val="center"/>
              <w:rPr>
                <w:rFonts w:ascii="times new roman;times" w:hAnsi="times new roman;times"/>
                <w:b/>
                <w:sz w:val="18"/>
              </w:rPr>
            </w:pPr>
            <w:r>
              <w:rPr>
                <w:rFonts w:ascii="times new roman;times" w:hAnsi="times new roman;times"/>
                <w:b/>
                <w:sz w:val="18"/>
              </w:rPr>
              <w:t>Three months ended March 31,</w:t>
            </w:r>
            <w:r>
              <w:rPr>
                <w:rFonts w:ascii="times new roman;times" w:hAnsi="times new roman;times"/>
                <w:b/>
                <w:sz w:val="18"/>
              </w:rPr>
              <w:t xml:space="preserve"> </w:t>
            </w:r>
          </w:p>
        </w:tc>
        <w:tc>
          <w:tcPr>
            <w:tcW w:w="221" w:type="dxa"/>
            <w:tcBorders/>
            <w:vAlign w:val="center"/>
          </w:tcPr>
          <w:p>
            <w:pPr>
              <w:pStyle w:val="TableContents"/>
              <w:pBdr/>
              <w:bidi w:val="0"/>
              <w:spacing w:before="0" w:after="0"/>
              <w:ind w:left="0" w:right="0" w:hanging="0"/>
              <w:jc w:val="center"/>
              <w:rPr/>
            </w:pPr>
            <w:r>
              <w:rPr/>
              <w:t xml:space="preserve">  </w:t>
            </w:r>
          </w:p>
        </w:tc>
      </w:tr>
      <w:tr>
        <w:trPr/>
        <w:tc>
          <w:tcPr>
            <w:tcW w:w="4423" w:type="dxa"/>
            <w:tcBorders/>
            <w:vAlign w:val="center"/>
          </w:tcPr>
          <w:p>
            <w:pPr>
              <w:pStyle w:val="TableContents"/>
              <w:pBdr/>
              <w:bidi w:val="0"/>
              <w:spacing w:before="0" w:after="0"/>
              <w:ind w:left="0" w:right="0" w:hanging="0"/>
              <w:jc w:val="center"/>
              <w:rPr/>
            </w:pPr>
            <w:r>
              <w:rPr/>
              <w:t xml:space="preserve">  </w:t>
            </w:r>
          </w:p>
        </w:tc>
        <w:tc>
          <w:tcPr>
            <w:tcW w:w="278" w:type="dxa"/>
            <w:tcBorders/>
            <w:vAlign w:val="center"/>
          </w:tcPr>
          <w:p>
            <w:pPr>
              <w:pStyle w:val="TableContents"/>
              <w:pBdr/>
              <w:bidi w:val="0"/>
              <w:spacing w:before="0" w:after="0"/>
              <w:ind w:left="0" w:right="0" w:hanging="0"/>
              <w:jc w:val="left"/>
              <w:rPr/>
            </w:pPr>
            <w:r>
              <w:rPr/>
              <w:t xml:space="preserve">  </w:t>
            </w:r>
          </w:p>
        </w:tc>
        <w:tc>
          <w:tcPr>
            <w:tcW w:w="891" w:type="dxa"/>
            <w:tcBorders/>
            <w:vAlign w:val="center"/>
          </w:tcPr>
          <w:p>
            <w:pPr>
              <w:pStyle w:val="TableContents"/>
              <w:pBdr/>
              <w:bidi w:val="0"/>
              <w:spacing w:before="0" w:after="0"/>
              <w:ind w:left="0" w:right="0" w:hanging="0"/>
              <w:jc w:val="center"/>
              <w:rPr>
                <w:rFonts w:ascii="times new roman;times" w:hAnsi="times new roman;times"/>
                <w:b/>
                <w:sz w:val="18"/>
              </w:rPr>
            </w:pPr>
            <w:r>
              <w:rPr>
                <w:rFonts w:ascii="times new roman;times" w:hAnsi="times new roman;times"/>
                <w:b/>
                <w:sz w:val="18"/>
              </w:rPr>
              <w:t>2023</w:t>
            </w:r>
            <w:r>
              <w:rPr>
                <w:rFonts w:ascii="times new roman;times" w:hAnsi="times new roman;times"/>
                <w:b/>
                <w:sz w:val="18"/>
              </w:rPr>
              <w:t xml:space="preserve"> </w:t>
            </w:r>
          </w:p>
        </w:tc>
        <w:tc>
          <w:tcPr>
            <w:tcW w:w="196" w:type="dxa"/>
            <w:tcBorders/>
            <w:vAlign w:val="center"/>
          </w:tcPr>
          <w:p>
            <w:pPr>
              <w:pStyle w:val="TableContents"/>
              <w:pBdr/>
              <w:bidi w:val="0"/>
              <w:spacing w:before="0" w:after="0"/>
              <w:ind w:left="0" w:right="0" w:hanging="0"/>
              <w:jc w:val="center"/>
              <w:rPr/>
            </w:pPr>
            <w:r>
              <w:rPr/>
              <w:t xml:space="preserve">  </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left"/>
              <w:rPr/>
            </w:pPr>
            <w:r>
              <w:rPr/>
              <w:t xml:space="preserve">  </w:t>
            </w:r>
          </w:p>
        </w:tc>
        <w:tc>
          <w:tcPr>
            <w:tcW w:w="964" w:type="dxa"/>
            <w:tcBorders/>
            <w:vAlign w:val="center"/>
          </w:tcPr>
          <w:p>
            <w:pPr>
              <w:pStyle w:val="TableContents"/>
              <w:pBdr/>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2022 </w:t>
            </w:r>
          </w:p>
        </w:tc>
        <w:tc>
          <w:tcPr>
            <w:tcW w:w="197" w:type="dxa"/>
            <w:tcBorders/>
            <w:vAlign w:val="center"/>
          </w:tcPr>
          <w:p>
            <w:pPr>
              <w:pStyle w:val="TableContents"/>
              <w:pBdr/>
              <w:bidi w:val="0"/>
              <w:spacing w:before="0" w:after="0"/>
              <w:ind w:left="0" w:right="0" w:hanging="0"/>
              <w:jc w:val="center"/>
              <w:rPr/>
            </w:pPr>
            <w:r>
              <w:rPr/>
              <w:t xml:space="preserve">  </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center"/>
              <w:rPr>
                <w:rFonts w:ascii="Times New Roman;serif" w:hAnsi="Times New Roman;serif"/>
                <w:b/>
                <w:color w:val="000000"/>
                <w:sz w:val="18"/>
              </w:rPr>
            </w:pPr>
            <w:r>
              <w:rPr>
                <w:rFonts w:ascii="Times New Roman;serif" w:hAnsi="Times New Roman;serif"/>
                <w:b/>
                <w:color w:val="000000"/>
                <w:sz w:val="18"/>
              </w:rPr>
              <w:t>Change in %</w:t>
            </w:r>
          </w:p>
          <w:p>
            <w:pPr>
              <w:pStyle w:val="TableContents"/>
              <w:pBdr/>
              <w:bidi w:val="0"/>
              <w:spacing w:before="0" w:after="0"/>
              <w:ind w:left="0" w:right="0" w:hanging="0"/>
              <w:jc w:val="center"/>
              <w:rPr/>
            </w:pPr>
            <w:r>
              <w:rPr>
                <w:rFonts w:ascii="Times New Roman;serif" w:hAnsi="Times New Roman;serif"/>
                <w:b/>
                <w:color w:val="000000"/>
                <w:sz w:val="18"/>
              </w:rPr>
              <w:t>Favorable/(Adverse)</w:t>
            </w:r>
            <w:r>
              <w:rPr/>
              <w:t xml:space="preserve"> </w:t>
            </w:r>
          </w:p>
        </w:tc>
        <w:tc>
          <w:tcPr>
            <w:tcW w:w="221" w:type="dxa"/>
            <w:tcBorders/>
            <w:vAlign w:val="center"/>
          </w:tcPr>
          <w:p>
            <w:pPr>
              <w:pStyle w:val="TableContents"/>
              <w:pBdr/>
              <w:bidi w:val="0"/>
              <w:spacing w:before="0" w:after="0"/>
              <w:ind w:left="0" w:right="0" w:hanging="0"/>
              <w:jc w:val="center"/>
              <w:rPr/>
            </w:pPr>
            <w:r>
              <w:rPr/>
              <w:t xml:space="preserve">  </w:t>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b/>
                <w:sz w:val="18"/>
                <w:u w:val="single"/>
              </w:rPr>
            </w:pPr>
            <w:r>
              <w:rPr>
                <w:rFonts w:ascii="times new roman;times" w:hAnsi="times new roman;times"/>
                <w:b/>
                <w:sz w:val="18"/>
                <w:u w:val="single"/>
              </w:rPr>
              <w:t xml:space="preserve">GAAP </w:t>
            </w:r>
          </w:p>
        </w:tc>
        <w:tc>
          <w:tcPr>
            <w:tcW w:w="278" w:type="dxa"/>
            <w:tcBorders/>
            <w:shd w:fill="CCEEFF" w:val="clear"/>
            <w:vAlign w:val="center"/>
          </w:tcPr>
          <w:p>
            <w:pPr>
              <w:pStyle w:val="TableContents"/>
              <w:pBdr/>
              <w:bidi w:val="0"/>
              <w:spacing w:before="0" w:after="0"/>
              <w:ind w:left="0" w:right="0" w:hanging="0"/>
              <w:jc w:val="left"/>
              <w:rPr/>
            </w:pPr>
            <w:r>
              <w:rPr/>
              <w:t xml:space="preserve">  </w:t>
            </w:r>
          </w:p>
        </w:tc>
        <w:tc>
          <w:tcPr>
            <w:tcW w:w="891" w:type="dxa"/>
            <w:tcBorders/>
            <w:shd w:fill="CCEEFF" w:val="clear"/>
            <w:vAlign w:val="center"/>
          </w:tcPr>
          <w:p>
            <w:pPr>
              <w:pStyle w:val="TableContents"/>
              <w:pBdr/>
              <w:bidi w:val="0"/>
              <w:spacing w:before="0" w:after="0"/>
              <w:ind w:left="0" w:right="0" w:hanging="0"/>
              <w:jc w:val="left"/>
              <w:rPr/>
            </w:pPr>
            <w:r>
              <w:rPr/>
              <w:t xml:space="preserve">  </w:t>
            </w:r>
          </w:p>
        </w:tc>
        <w:tc>
          <w:tcPr>
            <w:tcW w:w="196" w:type="dxa"/>
            <w:tcBorders/>
            <w:shd w:fill="CCEEFF" w:val="clear"/>
            <w:vAlign w:val="center"/>
          </w:tcPr>
          <w:p>
            <w:pPr>
              <w:pStyle w:val="TableContents"/>
              <w:pBdr/>
              <w:bidi w:val="0"/>
              <w:spacing w:before="0" w:after="0"/>
              <w:ind w:left="0" w:right="0" w:hanging="0"/>
              <w:jc w:val="center"/>
              <w:rPr/>
            </w:pPr>
            <w:r>
              <w:rPr/>
              <w:t xml:space="preserve">  </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pBdr/>
              <w:bidi w:val="0"/>
              <w:spacing w:before="0" w:after="0"/>
              <w:ind w:left="0" w:right="0" w:hanging="0"/>
              <w:jc w:val="left"/>
              <w:rPr/>
            </w:pPr>
            <w:r>
              <w:rPr/>
              <w:t xml:space="preserve">  </w:t>
            </w:r>
          </w:p>
        </w:tc>
        <w:tc>
          <w:tcPr>
            <w:tcW w:w="964" w:type="dxa"/>
            <w:tcBorders/>
            <w:shd w:fill="CCEEFF" w:val="clear"/>
            <w:vAlign w:val="center"/>
          </w:tcPr>
          <w:p>
            <w:pPr>
              <w:pStyle w:val="TableContents"/>
              <w:pBdr/>
              <w:bidi w:val="0"/>
              <w:spacing w:before="0" w:after="0"/>
              <w:ind w:left="0" w:right="0" w:hanging="0"/>
              <w:jc w:val="left"/>
              <w:rPr/>
            </w:pPr>
            <w:r>
              <w:rPr/>
              <w:t xml:space="preserve">  </w:t>
            </w:r>
          </w:p>
        </w:tc>
        <w:tc>
          <w:tcPr>
            <w:tcW w:w="197" w:type="dxa"/>
            <w:tcBorders/>
            <w:shd w:fill="CCEEFF" w:val="clear"/>
            <w:vAlign w:val="center"/>
          </w:tcPr>
          <w:p>
            <w:pPr>
              <w:pStyle w:val="TableContents"/>
              <w:pBdr/>
              <w:bidi w:val="0"/>
              <w:spacing w:before="0" w:after="0"/>
              <w:ind w:left="0" w:right="0" w:hanging="0"/>
              <w:jc w:val="center"/>
              <w:rPr/>
            </w:pPr>
            <w:r>
              <w:rPr/>
              <w:t xml:space="preserve">  </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left"/>
              <w:rPr/>
            </w:pPr>
            <w:r>
              <w:rPr/>
              <w:t xml:space="preserve">  </w:t>
            </w:r>
          </w:p>
        </w:tc>
        <w:tc>
          <w:tcPr>
            <w:tcW w:w="221" w:type="dxa"/>
            <w:tcBorders/>
            <w:shd w:fill="CCEEFF" w:val="clear"/>
            <w:vAlign w:val="center"/>
          </w:tcPr>
          <w:p>
            <w:pPr>
              <w:pStyle w:val="TableContents"/>
              <w:pBdr/>
              <w:bidi w:val="0"/>
              <w:spacing w:before="0" w:after="0"/>
              <w:ind w:left="0" w:right="0" w:hanging="0"/>
              <w:jc w:val="center"/>
              <w:rPr/>
            </w:pPr>
            <w:r>
              <w:rPr/>
              <w:t xml:space="preserve">  </w:t>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27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9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4,178</w:t>
            </w:r>
          </w:p>
        </w:tc>
        <w:tc>
          <w:tcPr>
            <w:tcW w:w="196" w:type="dxa"/>
            <w:tcBorders/>
            <w:vAlign w:val="center"/>
          </w:tcPr>
          <w:p>
            <w:pPr>
              <w:pStyle w:val="TableContents"/>
              <w:bidi w:val="0"/>
              <w:spacing w:before="0" w:after="283"/>
              <w:ind w:left="0" w:right="0" w:hanging="0"/>
              <w:jc w:val="left"/>
              <w:rPr/>
            </w:pPr>
            <w:r>
              <w:rPr/>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6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7,545 </w:t>
            </w:r>
          </w:p>
        </w:tc>
        <w:tc>
          <w:tcPr>
            <w:tcW w:w="197" w:type="dxa"/>
            <w:tcBorders/>
            <w:vAlign w:val="center"/>
          </w:tcPr>
          <w:p>
            <w:pPr>
              <w:pStyle w:val="TableContents"/>
              <w:bidi w:val="0"/>
              <w:spacing w:before="0" w:after="283"/>
              <w:ind w:left="0" w:right="0" w:hanging="0"/>
              <w:jc w:val="left"/>
              <w:rPr/>
            </w:pPr>
            <w:r>
              <w:rPr/>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(45 </w:t>
            </w:r>
          </w:p>
        </w:tc>
        <w:tc>
          <w:tcPr>
            <w:tcW w:w="221" w:type="dxa"/>
            <w:tcBorders/>
            <w:vAlign w:val="center"/>
          </w:tcPr>
          <w:p>
            <w:pPr>
              <w:pStyle w:val="TableContents"/>
              <w:bidi w:val="0"/>
              <w:spacing w:before="0" w:after="0"/>
              <w:ind w:left="0" w:right="0" w:hanging="0"/>
              <w:jc w:val="left"/>
              <w:rPr/>
            </w:pPr>
            <w:r>
              <w:rPr/>
              <w:t>)</w:t>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w:t>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89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1,315</w:t>
            </w:r>
          </w:p>
        </w:tc>
        <w:tc>
          <w:tcPr>
            <w:tcW w:w="196" w:type="dxa"/>
            <w:tcBorders/>
            <w:shd w:fill="CCEEFF" w:val="clear"/>
            <w:vAlign w:val="center"/>
          </w:tcPr>
          <w:p>
            <w:pPr>
              <w:pStyle w:val="TableContents"/>
              <w:pBdr/>
              <w:bidi w:val="0"/>
              <w:spacing w:before="0" w:after="0"/>
              <w:ind w:left="0" w:right="0" w:hanging="0"/>
              <w:jc w:val="right"/>
              <w:rPr/>
            </w:pPr>
            <w:r>
              <w:rPr/>
              <w:t xml:space="preserve">  </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96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2,816 </w:t>
            </w:r>
          </w:p>
        </w:tc>
        <w:tc>
          <w:tcPr>
            <w:tcW w:w="197" w:type="dxa"/>
            <w:tcBorders/>
            <w:shd w:fill="CCEEFF" w:val="clear"/>
            <w:vAlign w:val="center"/>
          </w:tcPr>
          <w:p>
            <w:pPr>
              <w:pStyle w:val="TableContents"/>
              <w:pBdr/>
              <w:bidi w:val="0"/>
              <w:spacing w:before="0" w:after="0"/>
              <w:ind w:left="0" w:right="0" w:hanging="0"/>
              <w:jc w:val="right"/>
              <w:rPr/>
            </w:pPr>
            <w:r>
              <w:rPr/>
              <w:t xml:space="preserve">  </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w:t>
            </w:r>
          </w:p>
        </w:tc>
        <w:tc>
          <w:tcPr>
            <w:tcW w:w="221" w:type="dxa"/>
            <w:tcBorders/>
            <w:shd w:fill="CCEEFF" w:val="clear"/>
            <w:vAlign w:val="center"/>
          </w:tcPr>
          <w:p>
            <w:pPr>
              <w:pStyle w:val="TableContents"/>
              <w:bidi w:val="0"/>
              <w:spacing w:before="0" w:after="0"/>
              <w:ind w:left="0" w:right="0" w:hanging="0"/>
              <w:jc w:val="left"/>
              <w:rPr/>
            </w:pPr>
            <w:r>
              <w:rPr/>
              <w:t>)</w:t>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278" w:type="dxa"/>
            <w:tcBorders/>
            <w:vAlign w:val="center"/>
          </w:tcPr>
          <w:p>
            <w:pPr>
              <w:pStyle w:val="TableContents"/>
              <w:pBdr/>
              <w:bidi w:val="0"/>
              <w:spacing w:before="0" w:after="0"/>
              <w:ind w:left="0" w:right="0" w:hanging="0"/>
              <w:jc w:val="right"/>
              <w:rPr/>
            </w:pPr>
            <w:r>
              <w:rPr/>
              <w:t xml:space="preserve">  </w:t>
            </w:r>
          </w:p>
        </w:tc>
        <w:tc>
          <w:tcPr>
            <w:tcW w:w="89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3,504</w:t>
            </w:r>
          </w:p>
        </w:tc>
        <w:tc>
          <w:tcPr>
            <w:tcW w:w="196" w:type="dxa"/>
            <w:tcBorders/>
            <w:vAlign w:val="center"/>
          </w:tcPr>
          <w:p>
            <w:pPr>
              <w:pStyle w:val="TableContents"/>
              <w:pBdr/>
              <w:bidi w:val="0"/>
              <w:spacing w:before="0" w:after="0"/>
              <w:ind w:left="0" w:right="0" w:hanging="0"/>
              <w:jc w:val="right"/>
              <w:rPr/>
            </w:pPr>
            <w:r>
              <w:rPr/>
              <w:t xml:space="preserve">  </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right"/>
              <w:rPr/>
            </w:pPr>
            <w:r>
              <w:rPr/>
              <w:t xml:space="preserve">  </w:t>
            </w:r>
          </w:p>
        </w:tc>
        <w:tc>
          <w:tcPr>
            <w:tcW w:w="96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4,669 </w:t>
            </w:r>
          </w:p>
        </w:tc>
        <w:tc>
          <w:tcPr>
            <w:tcW w:w="197" w:type="dxa"/>
            <w:tcBorders/>
            <w:vAlign w:val="center"/>
          </w:tcPr>
          <w:p>
            <w:pPr>
              <w:pStyle w:val="TableContents"/>
              <w:pBdr/>
              <w:bidi w:val="0"/>
              <w:spacing w:before="0" w:after="0"/>
              <w:ind w:left="0" w:right="0" w:hanging="0"/>
              <w:jc w:val="right"/>
              <w:rPr/>
            </w:pPr>
            <w:r>
              <w:rPr/>
              <w:t xml:space="preserve">  </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rFonts w:ascii="times new roman;times" w:hAnsi="times new roman;times"/>
              </w:rPr>
            </w:pPr>
            <w:r>
              <w:rPr>
                <w:rFonts w:ascii="times new roman;times" w:hAnsi="times new roman;times"/>
              </w:rPr>
              <w:t xml:space="preserve">25 </w:t>
            </w:r>
          </w:p>
        </w:tc>
        <w:tc>
          <w:tcPr>
            <w:tcW w:w="221" w:type="dxa"/>
            <w:tcBorders/>
            <w:vAlign w:val="center"/>
          </w:tcPr>
          <w:p>
            <w:pPr>
              <w:pStyle w:val="TableContents"/>
              <w:bidi w:val="0"/>
              <w:spacing w:before="0" w:after="283"/>
              <w:ind w:left="0" w:right="0" w:hanging="0"/>
              <w:jc w:val="left"/>
              <w:rPr>
                <w:sz w:val="4"/>
                <w:szCs w:val="4"/>
              </w:rPr>
            </w:pPr>
            <w:r>
              <w:rPr>
                <w:sz w:val="4"/>
                <w:szCs w:val="4"/>
              </w:rPr>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89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(2,189</w:t>
            </w:r>
          </w:p>
        </w:tc>
        <w:tc>
          <w:tcPr>
            <w:tcW w:w="196"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96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(1,853 </w:t>
            </w:r>
          </w:p>
        </w:tc>
        <w:tc>
          <w:tcPr>
            <w:tcW w:w="197"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w:t>
            </w:r>
          </w:p>
        </w:tc>
        <w:tc>
          <w:tcPr>
            <w:tcW w:w="221" w:type="dxa"/>
            <w:tcBorders/>
            <w:shd w:fill="CCEEFF" w:val="clear"/>
            <w:vAlign w:val="center"/>
          </w:tcPr>
          <w:p>
            <w:pPr>
              <w:pStyle w:val="TableContents"/>
              <w:bidi w:val="0"/>
              <w:spacing w:before="0" w:after="0"/>
              <w:ind w:left="0" w:right="0" w:hanging="0"/>
              <w:jc w:val="left"/>
              <w:rPr/>
            </w:pPr>
            <w:r>
              <w:rPr/>
              <w:t>)</w:t>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w:t>
            </w:r>
          </w:p>
        </w:tc>
        <w:tc>
          <w:tcPr>
            <w:tcW w:w="278" w:type="dxa"/>
            <w:tcBorders/>
            <w:vAlign w:val="center"/>
          </w:tcPr>
          <w:p>
            <w:pPr>
              <w:pStyle w:val="TableContents"/>
              <w:pBdr/>
              <w:bidi w:val="0"/>
              <w:spacing w:before="0" w:after="0"/>
              <w:ind w:left="0" w:right="0" w:hanging="0"/>
              <w:jc w:val="right"/>
              <w:rPr/>
            </w:pPr>
            <w:r>
              <w:rPr/>
              <w:t xml:space="preserve">  </w:t>
            </w:r>
          </w:p>
        </w:tc>
        <w:tc>
          <w:tcPr>
            <w:tcW w:w="89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196"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right"/>
              <w:rPr/>
            </w:pPr>
            <w:r>
              <w:rPr/>
              <w:t xml:space="preserve">  </w:t>
            </w:r>
          </w:p>
        </w:tc>
        <w:tc>
          <w:tcPr>
            <w:tcW w:w="96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(1,967 </w:t>
            </w:r>
          </w:p>
        </w:tc>
        <w:tc>
          <w:tcPr>
            <w:tcW w:w="197" w:type="dxa"/>
            <w:tcBorders/>
            <w:vAlign w:val="center"/>
          </w:tcPr>
          <w:p>
            <w:pPr>
              <w:pStyle w:val="TableContents"/>
              <w:bidi w:val="0"/>
              <w:spacing w:before="0" w:after="0"/>
              <w:ind w:left="0" w:right="0" w:hanging="0"/>
              <w:jc w:val="left"/>
              <w:rPr/>
            </w:pPr>
            <w:r>
              <w:rPr/>
              <w:t>)</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58 </w:t>
            </w:r>
          </w:p>
        </w:tc>
        <w:tc>
          <w:tcPr>
            <w:tcW w:w="221" w:type="dxa"/>
            <w:tcBorders/>
            <w:vAlign w:val="center"/>
          </w:tcPr>
          <w:p>
            <w:pPr>
              <w:pStyle w:val="TableContents"/>
              <w:bidi w:val="0"/>
              <w:spacing w:before="0" w:after="283"/>
              <w:ind w:left="0" w:right="0" w:hanging="0"/>
              <w:jc w:val="left"/>
              <w:rPr>
                <w:sz w:val="4"/>
                <w:szCs w:val="4"/>
              </w:rPr>
            </w:pPr>
            <w:r>
              <w:rPr>
                <w:sz w:val="4"/>
                <w:szCs w:val="4"/>
              </w:rPr>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Diluted loss per share </w:t>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89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(0.03</w:t>
            </w:r>
          </w:p>
        </w:tc>
        <w:tc>
          <w:tcPr>
            <w:tcW w:w="196"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96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(0.08 </w:t>
            </w:r>
          </w:p>
        </w:tc>
        <w:tc>
          <w:tcPr>
            <w:tcW w:w="197"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63</w:t>
            </w:r>
          </w:p>
        </w:tc>
        <w:tc>
          <w:tcPr>
            <w:tcW w:w="221" w:type="dxa"/>
            <w:tcBorders/>
            <w:shd w:fill="CCEEFF" w:val="clear"/>
            <w:vAlign w:val="center"/>
          </w:tcPr>
          <w:p>
            <w:pPr>
              <w:pStyle w:val="TableContents"/>
              <w:bidi w:val="0"/>
              <w:spacing w:before="0" w:after="283"/>
              <w:ind w:left="0" w:right="0" w:hanging="0"/>
              <w:jc w:val="left"/>
              <w:rPr/>
            </w:pPr>
            <w:r>
              <w:rPr/>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b/>
                <w:sz w:val="20"/>
                <w:u w:val="single"/>
              </w:rPr>
            </w:pPr>
            <w:r>
              <w:rPr>
                <w:rFonts w:ascii="times new roman;times" w:hAnsi="times new roman;times"/>
                <w:b/>
                <w:sz w:val="20"/>
                <w:u w:val="single"/>
              </w:rPr>
              <w:t xml:space="preserve">Non-GAAP </w:t>
            </w:r>
          </w:p>
        </w:tc>
        <w:tc>
          <w:tcPr>
            <w:tcW w:w="278" w:type="dxa"/>
            <w:tcBorders/>
            <w:vAlign w:val="center"/>
          </w:tcPr>
          <w:p>
            <w:pPr>
              <w:pStyle w:val="TableContents"/>
              <w:pBdr/>
              <w:bidi w:val="0"/>
              <w:spacing w:before="0" w:after="0"/>
              <w:ind w:left="0" w:right="0" w:hanging="0"/>
              <w:jc w:val="right"/>
              <w:rPr/>
            </w:pPr>
            <w:r>
              <w:rPr/>
              <w:t xml:space="preserve">  </w:t>
            </w:r>
          </w:p>
        </w:tc>
        <w:tc>
          <w:tcPr>
            <w:tcW w:w="891" w:type="dxa"/>
            <w:tcBorders/>
            <w:vAlign w:val="center"/>
          </w:tcPr>
          <w:p>
            <w:pPr>
              <w:pStyle w:val="TableContents"/>
              <w:pBdr/>
              <w:bidi w:val="0"/>
              <w:spacing w:before="0" w:after="0"/>
              <w:ind w:left="0" w:right="0" w:hanging="0"/>
              <w:jc w:val="right"/>
              <w:rPr/>
            </w:pPr>
            <w:r>
              <w:rPr/>
              <w:t xml:space="preserve">  </w:t>
            </w:r>
          </w:p>
        </w:tc>
        <w:tc>
          <w:tcPr>
            <w:tcW w:w="196" w:type="dxa"/>
            <w:tcBorders/>
            <w:vAlign w:val="center"/>
          </w:tcPr>
          <w:p>
            <w:pPr>
              <w:pStyle w:val="TableContents"/>
              <w:pBdr/>
              <w:bidi w:val="0"/>
              <w:spacing w:before="0" w:after="0"/>
              <w:ind w:left="0" w:right="0" w:hanging="0"/>
              <w:jc w:val="right"/>
              <w:rPr/>
            </w:pPr>
            <w:r>
              <w:rPr/>
              <w:t xml:space="preserve">  </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right"/>
              <w:rPr/>
            </w:pPr>
            <w:r>
              <w:rPr/>
              <w:t xml:space="preserve">  </w:t>
            </w:r>
          </w:p>
        </w:tc>
        <w:tc>
          <w:tcPr>
            <w:tcW w:w="964" w:type="dxa"/>
            <w:tcBorders/>
            <w:vAlign w:val="center"/>
          </w:tcPr>
          <w:p>
            <w:pPr>
              <w:pStyle w:val="TableContents"/>
              <w:pBdr/>
              <w:bidi w:val="0"/>
              <w:spacing w:before="0" w:after="0"/>
              <w:ind w:left="0" w:right="0" w:hanging="0"/>
              <w:jc w:val="right"/>
              <w:rPr/>
            </w:pPr>
            <w:r>
              <w:rPr/>
              <w:t xml:space="preserve">  </w:t>
            </w:r>
          </w:p>
        </w:tc>
        <w:tc>
          <w:tcPr>
            <w:tcW w:w="197" w:type="dxa"/>
            <w:tcBorders/>
            <w:vAlign w:val="center"/>
          </w:tcPr>
          <w:p>
            <w:pPr>
              <w:pStyle w:val="TableContents"/>
              <w:pBdr/>
              <w:bidi w:val="0"/>
              <w:spacing w:before="0" w:after="0"/>
              <w:ind w:left="0" w:right="0" w:hanging="0"/>
              <w:jc w:val="right"/>
              <w:rPr/>
            </w:pPr>
            <w:r>
              <w:rPr/>
              <w:t xml:space="preserve">  </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pPr>
            <w:r>
              <w:rPr/>
              <w:t xml:space="preserve">  </w:t>
            </w:r>
          </w:p>
        </w:tc>
        <w:tc>
          <w:tcPr>
            <w:tcW w:w="221" w:type="dxa"/>
            <w:tcBorders/>
            <w:vAlign w:val="center"/>
          </w:tcPr>
          <w:p>
            <w:pPr>
              <w:pStyle w:val="TableContents"/>
              <w:pBdr/>
              <w:bidi w:val="0"/>
              <w:spacing w:before="0" w:after="0"/>
              <w:ind w:left="0" w:right="0" w:hanging="0"/>
              <w:jc w:val="right"/>
              <w:rPr/>
            </w:pPr>
            <w:r>
              <w:rPr/>
              <w:t xml:space="preserve">  </w:t>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operating expenses </w:t>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89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3,365</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bidi w:val="0"/>
              <w:spacing w:before="0" w:after="283"/>
              <w:ind w:left="0" w:right="0" w:hanging="0"/>
              <w:jc w:val="left"/>
              <w:rPr/>
            </w:pPr>
            <w:r>
              <w:rPr/>
            </w:r>
          </w:p>
        </w:tc>
        <w:tc>
          <w:tcPr>
            <w:tcW w:w="96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3,966</w:t>
            </w:r>
          </w:p>
        </w:tc>
        <w:tc>
          <w:tcPr>
            <w:tcW w:w="197" w:type="dxa"/>
            <w:tcBorders/>
            <w:shd w:fill="CCEEFF" w:val="clear"/>
            <w:vAlign w:val="center"/>
          </w:tcPr>
          <w:p>
            <w:pPr>
              <w:pStyle w:val="TableContents"/>
              <w:pBdr/>
              <w:bidi w:val="0"/>
              <w:spacing w:before="0" w:after="0"/>
              <w:ind w:left="0" w:right="0" w:hanging="0"/>
              <w:jc w:val="right"/>
              <w:rPr/>
            </w:pPr>
            <w:r>
              <w:rPr/>
              <w:t xml:space="preserve">  </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w:t>
            </w:r>
            <w:r>
              <w:rPr>
                <w:rFonts w:ascii="times new roman;times" w:hAnsi="times new roman;times"/>
                <w:sz w:val="20"/>
              </w:rPr>
              <w:t xml:space="preserve"> </w:t>
            </w:r>
          </w:p>
        </w:tc>
        <w:tc>
          <w:tcPr>
            <w:tcW w:w="221" w:type="dxa"/>
            <w:tcBorders/>
            <w:shd w:fill="CCEEFF" w:val="clear"/>
            <w:vAlign w:val="center"/>
          </w:tcPr>
          <w:p>
            <w:pPr>
              <w:pStyle w:val="TableContents"/>
              <w:pBdr/>
              <w:bidi w:val="0"/>
              <w:spacing w:before="0" w:after="0"/>
              <w:ind w:left="0" w:right="0" w:hanging="0"/>
              <w:jc w:val="left"/>
              <w:rPr/>
            </w:pPr>
            <w:r>
              <w:rPr/>
              <w:t> </w:t>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operating loss </w:t>
            </w:r>
          </w:p>
        </w:tc>
        <w:tc>
          <w:tcPr>
            <w:tcW w:w="278" w:type="dxa"/>
            <w:tcBorders/>
            <w:vAlign w:val="center"/>
          </w:tcPr>
          <w:p>
            <w:pPr>
              <w:pStyle w:val="TableContents"/>
              <w:pBdr/>
              <w:bidi w:val="0"/>
              <w:spacing w:before="0" w:after="0"/>
              <w:ind w:left="0" w:right="0" w:hanging="0"/>
              <w:jc w:val="right"/>
              <w:rPr/>
            </w:pPr>
            <w:r>
              <w:rPr/>
              <w:t xml:space="preserve">  </w:t>
            </w:r>
          </w:p>
        </w:tc>
        <w:tc>
          <w:tcPr>
            <w:tcW w:w="89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2,048</w:t>
            </w:r>
          </w:p>
        </w:tc>
        <w:tc>
          <w:tcPr>
            <w:tcW w:w="196"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right"/>
              <w:rPr/>
            </w:pPr>
            <w:r>
              <w:rPr/>
              <w:t xml:space="preserve">  </w:t>
            </w:r>
          </w:p>
        </w:tc>
        <w:tc>
          <w:tcPr>
            <w:tcW w:w="96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1,148</w:t>
            </w:r>
          </w:p>
        </w:tc>
        <w:tc>
          <w:tcPr>
            <w:tcW w:w="197" w:type="dxa"/>
            <w:tcBorders/>
            <w:vAlign w:val="center"/>
          </w:tcPr>
          <w:p>
            <w:pPr>
              <w:pStyle w:val="TableContents"/>
              <w:bidi w:val="0"/>
              <w:spacing w:before="0" w:after="0"/>
              <w:ind w:left="0" w:right="0" w:hanging="0"/>
              <w:jc w:val="left"/>
              <w:rPr/>
            </w:pPr>
            <w:r>
              <w:rPr/>
              <w:t>)</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(78</w:t>
            </w:r>
          </w:p>
        </w:tc>
        <w:tc>
          <w:tcPr>
            <w:tcW w:w="221" w:type="dxa"/>
            <w:tcBorders/>
            <w:vAlign w:val="center"/>
          </w:tcPr>
          <w:p>
            <w:pPr>
              <w:pStyle w:val="TableContents"/>
              <w:bidi w:val="0"/>
              <w:spacing w:before="0" w:after="0"/>
              <w:ind w:left="0" w:right="0" w:hanging="0"/>
              <w:jc w:val="left"/>
              <w:rPr/>
            </w:pPr>
            <w:r>
              <w:rPr/>
              <w:t>)</w:t>
            </w:r>
          </w:p>
        </w:tc>
      </w:tr>
      <w:tr>
        <w:trPr/>
        <w:tc>
          <w:tcPr>
            <w:tcW w:w="442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net loss </w:t>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89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(2,041</w:t>
            </w:r>
          </w:p>
        </w:tc>
        <w:tc>
          <w:tcPr>
            <w:tcW w:w="196"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pBdr/>
              <w:bidi w:val="0"/>
              <w:spacing w:before="0" w:after="0"/>
              <w:ind w:left="0" w:right="0" w:hanging="0"/>
              <w:jc w:val="right"/>
              <w:rPr/>
            </w:pPr>
            <w:r>
              <w:rPr/>
              <w:t xml:space="preserve">  </w:t>
            </w:r>
          </w:p>
        </w:tc>
        <w:tc>
          <w:tcPr>
            <w:tcW w:w="96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1,262</w:t>
            </w:r>
          </w:p>
        </w:tc>
        <w:tc>
          <w:tcPr>
            <w:tcW w:w="197"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(62</w:t>
            </w:r>
          </w:p>
        </w:tc>
        <w:tc>
          <w:tcPr>
            <w:tcW w:w="221" w:type="dxa"/>
            <w:tcBorders/>
            <w:shd w:fill="CCEEFF" w:val="clear"/>
            <w:vAlign w:val="center"/>
          </w:tcPr>
          <w:p>
            <w:pPr>
              <w:pStyle w:val="TableContents"/>
              <w:bidi w:val="0"/>
              <w:spacing w:before="0" w:after="0"/>
              <w:ind w:left="0" w:right="0" w:hanging="0"/>
              <w:jc w:val="left"/>
              <w:rPr/>
            </w:pPr>
            <w:r>
              <w:rPr/>
              <w:t>)</w:t>
            </w:r>
          </w:p>
        </w:tc>
      </w:tr>
      <w:tr>
        <w:trPr/>
        <w:tc>
          <w:tcPr>
            <w:tcW w:w="442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Adjusted EBITDA </w:t>
            </w:r>
          </w:p>
        </w:tc>
        <w:tc>
          <w:tcPr>
            <w:tcW w:w="278" w:type="dxa"/>
            <w:tcBorders/>
            <w:vAlign w:val="center"/>
          </w:tcPr>
          <w:p>
            <w:pPr>
              <w:pStyle w:val="TableContents"/>
              <w:pBdr/>
              <w:bidi w:val="0"/>
              <w:spacing w:before="0" w:after="0"/>
              <w:ind w:left="0" w:right="0" w:hanging="0"/>
              <w:jc w:val="right"/>
              <w:rPr/>
            </w:pPr>
            <w:r>
              <w:rPr/>
              <w:t xml:space="preserve">  </w:t>
            </w:r>
          </w:p>
        </w:tc>
        <w:tc>
          <w:tcPr>
            <w:tcW w:w="89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(1,678</w:t>
            </w:r>
          </w:p>
        </w:tc>
        <w:tc>
          <w:tcPr>
            <w:tcW w:w="196"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bidi w:val="0"/>
              <w:spacing w:before="0" w:after="283"/>
              <w:ind w:left="0" w:right="0" w:hanging="0"/>
              <w:jc w:val="left"/>
              <w:rPr/>
            </w:pPr>
            <w:r>
              <w:rPr/>
            </w:r>
          </w:p>
        </w:tc>
        <w:tc>
          <w:tcPr>
            <w:tcW w:w="278" w:type="dxa"/>
            <w:tcBorders/>
            <w:vAlign w:val="center"/>
          </w:tcPr>
          <w:p>
            <w:pPr>
              <w:pStyle w:val="TableContents"/>
              <w:pBdr/>
              <w:bidi w:val="0"/>
              <w:spacing w:before="0" w:after="0"/>
              <w:ind w:left="0" w:right="0" w:hanging="0"/>
              <w:jc w:val="right"/>
              <w:rPr/>
            </w:pPr>
            <w:r>
              <w:rPr/>
              <w:t xml:space="preserve">  </w:t>
            </w:r>
          </w:p>
        </w:tc>
        <w:tc>
          <w:tcPr>
            <w:tcW w:w="96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1,069</w:t>
            </w:r>
          </w:p>
        </w:tc>
        <w:tc>
          <w:tcPr>
            <w:tcW w:w="197" w:type="dxa"/>
            <w:tcBorders/>
            <w:vAlign w:val="center"/>
          </w:tcPr>
          <w:p>
            <w:pPr>
              <w:pStyle w:val="TableContents"/>
              <w:bidi w:val="0"/>
              <w:spacing w:before="0" w:after="0"/>
              <w:ind w:left="0" w:right="0" w:hanging="0"/>
              <w:jc w:val="left"/>
              <w:rPr/>
            </w:pPr>
            <w:r>
              <w:rPr/>
              <w:t>)</w:t>
            </w:r>
          </w:p>
        </w:tc>
        <w:tc>
          <w:tcPr>
            <w:tcW w:w="37" w:type="dxa"/>
            <w:tcBorders/>
            <w:vAlign w:val="center"/>
          </w:tcPr>
          <w:p>
            <w:pPr>
              <w:pStyle w:val="TableContents"/>
              <w:bidi w:val="0"/>
              <w:spacing w:before="0" w:after="283"/>
              <w:ind w:left="0" w:right="0" w:hanging="0"/>
              <w:jc w:val="left"/>
              <w:rPr/>
            </w:pPr>
            <w:r>
              <w:rPr/>
            </w:r>
          </w:p>
        </w:tc>
        <w:tc>
          <w:tcPr>
            <w:tcW w:w="268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(57</w:t>
            </w:r>
          </w:p>
        </w:tc>
        <w:tc>
          <w:tcPr>
            <w:tcW w:w="221" w:type="dxa"/>
            <w:tcBorders/>
            <w:vAlign w:val="center"/>
          </w:tcPr>
          <w:p>
            <w:pPr>
              <w:pStyle w:val="TableContents"/>
              <w:bidi w:val="0"/>
              <w:spacing w:before="0" w:after="0"/>
              <w:ind w:left="0" w:right="0" w:hanging="0"/>
              <w:jc w:val="left"/>
              <w:rPr/>
            </w:pPr>
            <w:r>
              <w:rPr/>
              <w:t>)</w:t>
            </w:r>
          </w:p>
        </w:tc>
      </w:tr>
      <w:tr>
        <w:trPr/>
        <w:tc>
          <w:tcPr>
            <w:tcW w:w="4423" w:type="dxa"/>
            <w:tcBorders/>
            <w:shd w:fill="CCEEFF" w:val="clear"/>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Non-GAAP diluted loss per share</w:t>
            </w:r>
          </w:p>
        </w:tc>
        <w:tc>
          <w:tcPr>
            <w:tcW w:w="278" w:type="dxa"/>
            <w:tcBorders/>
            <w:shd w:fill="CCEEFF" w:val="clear"/>
            <w:vAlign w:val="center"/>
          </w:tcPr>
          <w:p>
            <w:pPr>
              <w:pStyle w:val="TableContents"/>
              <w:bidi w:val="0"/>
              <w:spacing w:before="0" w:after="283"/>
              <w:ind w:left="0" w:right="0" w:hanging="0"/>
              <w:jc w:val="left"/>
              <w:rPr/>
            </w:pPr>
            <w:r>
              <w:rPr/>
            </w:r>
          </w:p>
        </w:tc>
        <w:tc>
          <w:tcPr>
            <w:tcW w:w="891" w:type="dxa"/>
            <w:tcBorders/>
            <w:shd w:fill="CCEEFF" w:val="clear"/>
            <w:vAlign w:val="center"/>
          </w:tcPr>
          <w:p>
            <w:pPr>
              <w:pStyle w:val="TableContents"/>
              <w:bidi w:val="0"/>
              <w:spacing w:before="0" w:after="0"/>
              <w:ind w:left="0" w:right="0" w:hanging="0"/>
              <w:jc w:val="right"/>
              <w:rPr/>
            </w:pPr>
            <w:r>
              <w:rPr/>
              <w:t>(</w:t>
            </w:r>
            <w:r>
              <w:rPr/>
              <w:t>0.09</w:t>
            </w:r>
          </w:p>
        </w:tc>
        <w:tc>
          <w:tcPr>
            <w:tcW w:w="196"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283"/>
              <w:ind w:left="0" w:right="0" w:hanging="0"/>
              <w:jc w:val="left"/>
              <w:rPr/>
            </w:pPr>
            <w:r>
              <w:rPr/>
            </w:r>
          </w:p>
        </w:tc>
        <w:tc>
          <w:tcPr>
            <w:tcW w:w="278" w:type="dxa"/>
            <w:tcBorders/>
            <w:shd w:fill="CCEEFF" w:val="clear"/>
            <w:vAlign w:val="center"/>
          </w:tcPr>
          <w:p>
            <w:pPr>
              <w:pStyle w:val="TableContents"/>
              <w:bidi w:val="0"/>
              <w:spacing w:before="0" w:after="283"/>
              <w:ind w:left="0" w:right="0" w:hanging="0"/>
              <w:jc w:val="left"/>
              <w:rPr/>
            </w:pPr>
            <w:r>
              <w:rPr/>
            </w:r>
          </w:p>
        </w:tc>
        <w:tc>
          <w:tcPr>
            <w:tcW w:w="964" w:type="dxa"/>
            <w:tcBorders/>
            <w:shd w:fill="CCEEFF" w:val="clear"/>
            <w:vAlign w:val="center"/>
          </w:tcPr>
          <w:p>
            <w:pPr>
              <w:pStyle w:val="TableContents"/>
              <w:bidi w:val="0"/>
              <w:spacing w:before="0" w:after="0"/>
              <w:ind w:left="0" w:right="0" w:hanging="0"/>
              <w:jc w:val="right"/>
              <w:rPr/>
            </w:pPr>
            <w:r>
              <w:rPr/>
              <w:t>(</w:t>
            </w:r>
            <w:r>
              <w:rPr/>
              <w:t>0.05</w:t>
            </w:r>
          </w:p>
        </w:tc>
        <w:tc>
          <w:tcPr>
            <w:tcW w:w="197"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283"/>
              <w:ind w:left="0" w:right="0" w:hanging="0"/>
              <w:jc w:val="left"/>
              <w:rPr/>
            </w:pPr>
            <w:r>
              <w:rPr/>
            </w:r>
          </w:p>
        </w:tc>
        <w:tc>
          <w:tcPr>
            <w:tcW w:w="2682" w:type="dxa"/>
            <w:tcBorders/>
            <w:shd w:fill="CCEEFF" w:val="clear"/>
            <w:vAlign w:val="center"/>
          </w:tcPr>
          <w:p>
            <w:pPr>
              <w:pStyle w:val="TableContents"/>
              <w:bidi w:val="0"/>
              <w:spacing w:before="0" w:after="0"/>
              <w:ind w:left="0" w:right="0" w:hanging="0"/>
              <w:jc w:val="right"/>
              <w:rPr/>
            </w:pPr>
            <w:r>
              <w:rPr/>
              <w:t>(80</w:t>
            </w:r>
          </w:p>
        </w:tc>
        <w:tc>
          <w:tcPr>
            <w:tcW w:w="221" w:type="dxa"/>
            <w:tcBorders/>
            <w:shd w:fill="CCEEFF" w:val="clear"/>
            <w:vAlign w:val="center"/>
          </w:tcPr>
          <w:p>
            <w:pPr>
              <w:pStyle w:val="TableContents"/>
              <w:bidi w:val="0"/>
              <w:spacing w:before="0" w:after="0"/>
              <w:jc w:val="left"/>
              <w:rPr/>
            </w:pPr>
            <w:r>
              <w:rPr/>
              <w:t>)</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t xml:space="preserve">Balance Sheet Highlights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As of  March 31, 2023, cash, cash equivalents and investments were $59.0 million, as compared with $1.0 million as of December 31, 2022. As of March 31, 2023, the Company carried an aggregate debt of $</w:t>
      </w:r>
      <w:r>
        <w:rPr>
          <w:rFonts w:ascii="times new roman;times" w:hAnsi="times new roman;times"/>
          <w:sz w:val="20"/>
        </w:rPr>
        <w:t>1.7</w:t>
      </w:r>
      <w:r>
        <w:rPr>
          <w:rFonts w:ascii="times new roman;times" w:hAnsi="times new roman;times"/>
          <w:sz w:val="20"/>
        </w:rPr>
        <w:t> million on account of senior convertible notes issued in December 2019. </w:t>
      </w:r>
      <w:r>
        <w:rPr>
          <w:rFonts w:ascii="times new roman;times" w:hAnsi="times new roman;times"/>
          <w:color w:val="000000"/>
          <w:sz w:val="20"/>
          <w:lang w:val="en-US"/>
        </w:rPr>
        <w:t>The Company’s cash position was strengthened by the receipts in excess of $56 million in the first quarter of 2023 pursuant to legal settlements. The Company also repaid the short-term bridge loan in January 2023.</w:t>
      </w:r>
      <w:r>
        <w:rPr>
          <w:rFonts w:ascii="times new roman;times" w:hAnsi="times new roman;times"/>
          <w:color w:val="000000"/>
          <w:sz w:val="20"/>
        </w:rPr>
        <w:t xml:space="preserve">  </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jc w:val="both"/>
        <w:rPr/>
      </w:pPr>
      <w:r>
        <w:rPr/>
      </w:r>
    </w:p>
    <w:p>
      <w:pPr>
        <w:pStyle w:val="TextBody"/>
        <w:bidi w:val="0"/>
        <w:jc w:val="left"/>
        <w:rPr>
          <w:sz w:val="20"/>
        </w:rPr>
      </w:pPr>
      <w:r>
        <w:rPr>
          <w:sz w:val="20"/>
        </w:rPr>
      </w:r>
    </w:p>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t>About ClearOne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times" w:hAnsi="times new roman;times"/>
          <w:sz w:val="20"/>
          <w:u w:val="single"/>
        </w:rPr>
        <w:t>www.clearone.com</w:t>
      </w:r>
      <w:r>
        <w:rPr>
          <w:rFonts w:ascii="times new roman;times" w:hAnsi="times new roman;times"/>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t>Non-GAAP Financial Measures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 </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t>Forward Looking Statements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w:t>
      </w:r>
    </w:p>
    <w:p>
      <w:pPr>
        <w:pStyle w:val="TextBody"/>
        <w:bidi w:val="0"/>
        <w:spacing w:before="0" w:after="0"/>
        <w:ind w:left="0" w:right="144" w:hanging="0"/>
        <w:jc w:val="both"/>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In particular, the financial information contained herein is subject to and qualified by reference to the financial statements contained in the 10-Q, including the footnotes thereto, as well as the Company’s annual report on Form 10-K for the year ended </w:t>
      </w:r>
      <w:r>
        <w:rPr>
          <w:rFonts w:ascii="times new roman;times" w:hAnsi="times new roman;times"/>
          <w:sz w:val="20"/>
        </w:rPr>
        <w:t>December 31, 2022</w:t>
      </w:r>
      <w:r>
        <w:rPr>
          <w:rFonts w:ascii="times new roman;times" w:hAnsi="times new roman;times"/>
          <w:sz w:val="20"/>
        </w:rPr>
        <w:t> (the “10-K”), the footnotes thereto and the limitations set forth therein. Investors may not rely on the press release without reference to the 10-Q, the 10-K and the Public Filings.</w:t>
      </w:r>
    </w:p>
    <w:p>
      <w:pPr>
        <w:pStyle w:val="TextBody"/>
        <w:bidi w:val="0"/>
        <w:spacing w:before="0" w:after="0"/>
        <w:ind w:left="0" w:right="144"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jc w:val="both"/>
        <w:rPr/>
      </w:pPr>
      <w:r>
        <w:rPr/>
      </w:r>
    </w:p>
    <w:p>
      <w:pPr>
        <w:pStyle w:val="TextBody"/>
        <w:bidi w:val="0"/>
        <w:jc w:val="left"/>
        <w:rPr>
          <w:sz w:val="20"/>
        </w:rPr>
      </w:pPr>
      <w:r>
        <w:rPr>
          <w:sz w:val="20"/>
        </w:rPr>
      </w:r>
    </w:p>
    <w:p>
      <w:pPr>
        <w:pStyle w:val="TextBody"/>
        <w:bidi w:val="0"/>
        <w:spacing w:before="0" w:after="0"/>
        <w:ind w:left="0" w:right="0" w:hanging="0"/>
        <w:jc w:val="both"/>
        <w:rPr/>
      </w:pPr>
      <w:r>
        <w:rPr/>
        <w:t> </w:t>
      </w:r>
    </w:p>
    <w:p>
      <w:pPr>
        <w:pStyle w:val="TextBody"/>
        <w:bidi w:val="0"/>
        <w:spacing w:before="0" w:after="0"/>
        <w:ind w:left="0" w:right="144"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before="0" w:after="0"/>
        <w:ind w:left="0" w:right="144" w:hanging="0"/>
        <w:jc w:val="center"/>
        <w:rPr>
          <w:rFonts w:ascii="times new roman;times" w:hAnsi="times new roman;times"/>
          <w:b/>
          <w:sz w:val="20"/>
        </w:rPr>
      </w:pPr>
      <w:r>
        <w:rPr>
          <w:rFonts w:ascii="times new roman;times" w:hAnsi="times new roman;times"/>
          <w:b/>
          <w:sz w:val="20"/>
        </w:rPr>
        <w:t>UNAUDITED CONSOLIDATED BALANCE SHEETS</w:t>
      </w:r>
    </w:p>
    <w:p>
      <w:pPr>
        <w:pStyle w:val="TextBody"/>
        <w:bidi w:val="0"/>
        <w:spacing w:before="0" w:after="0"/>
        <w:ind w:left="0" w:right="144" w:hanging="0"/>
        <w:jc w:val="center"/>
        <w:rPr>
          <w:rFonts w:ascii="times new roman;times" w:hAnsi="times new roman;times"/>
          <w:sz w:val="20"/>
        </w:rPr>
      </w:pPr>
      <w:r>
        <w:rPr>
          <w:rFonts w:ascii="times new roman;times" w:hAnsi="times new roman;times"/>
          <w:sz w:val="20"/>
        </w:rPr>
        <w:t>(Dollars in thousands, except par value)</w:t>
      </w:r>
    </w:p>
    <w:p>
      <w:pPr>
        <w:pStyle w:val="TextBody"/>
        <w:bidi w:val="0"/>
        <w:spacing w:before="0" w:after="0"/>
        <w:ind w:left="432" w:right="432" w:hanging="0"/>
        <w:jc w:val="center"/>
        <w:rPr/>
      </w:pPr>
      <w:r>
        <w:rPr/>
        <w:t> </w:t>
      </w:r>
    </w:p>
    <w:tbl>
      <w:tblPr>
        <w:tblW w:w="5000" w:type="pct"/>
        <w:jc w:val="left"/>
        <w:tblInd w:w="0" w:type="dxa"/>
        <w:tblLayout w:type="fixed"/>
        <w:tblCellMar>
          <w:top w:w="0" w:type="dxa"/>
          <w:left w:w="0" w:type="dxa"/>
          <w:bottom w:w="0" w:type="dxa"/>
          <w:right w:w="0" w:type="dxa"/>
        </w:tblCellMar>
      </w:tblPr>
      <w:tblGrid>
        <w:gridCol w:w="7240"/>
        <w:gridCol w:w="107"/>
        <w:gridCol w:w="236"/>
        <w:gridCol w:w="981"/>
        <w:gridCol w:w="95"/>
        <w:gridCol w:w="107"/>
        <w:gridCol w:w="257"/>
        <w:gridCol w:w="1067"/>
        <w:gridCol w:w="115"/>
      </w:tblGrid>
      <w:tr>
        <w:trPr/>
        <w:tc>
          <w:tcPr>
            <w:tcW w:w="7240"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xml:space="preserve">  </w:t>
            </w:r>
            <w:r>
              <w:rPr>
                <w:rFonts w:ascii="times new roman;times" w:hAnsi="times new roman;times"/>
                <w:b/>
                <w:sz w:val="18"/>
              </w:rPr>
              <w:t>March 31, 2023</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December 31, 2022</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center"/>
              <w:rPr>
                <w:rFonts w:ascii="times new roman;times" w:hAnsi="times new roman;times"/>
                <w:b/>
              </w:rPr>
            </w:pPr>
            <w:r>
              <w:rPr>
                <w:rFonts w:ascii="times new roman;times" w:hAnsi="times new roman;times"/>
                <w:b/>
              </w:rPr>
              <w:t xml:space="preserve">ASSETS </w:t>
            </w:r>
          </w:p>
        </w:tc>
        <w:tc>
          <w:tcPr>
            <w:tcW w:w="107" w:type="dxa"/>
            <w:tcBorders/>
            <w:shd w:fill="CCEEFF" w:val="clear"/>
            <w:vAlign w:val="center"/>
          </w:tcPr>
          <w:p>
            <w:pPr>
              <w:pStyle w:val="TableContents"/>
              <w:bidi w:val="0"/>
              <w:spacing w:before="0" w:after="0"/>
              <w:ind w:left="0" w:right="0" w:hanging="0"/>
              <w:jc w:val="center"/>
              <w:rPr/>
            </w:pPr>
            <w:r>
              <w:rPr/>
              <w:t xml:space="preserve">  </w:t>
            </w:r>
          </w:p>
        </w:tc>
        <w:tc>
          <w:tcPr>
            <w:tcW w:w="236" w:type="dxa"/>
            <w:tcBorders/>
            <w:shd w:fill="CCEEFF" w:val="clear"/>
            <w:vAlign w:val="center"/>
          </w:tcPr>
          <w:p>
            <w:pPr>
              <w:pStyle w:val="TableContents"/>
              <w:bidi w:val="0"/>
              <w:spacing w:before="0" w:after="0"/>
              <w:ind w:left="0" w:right="0" w:hanging="0"/>
              <w:jc w:val="center"/>
              <w:rPr/>
            </w:pPr>
            <w:r>
              <w:rPr/>
              <w:t xml:space="preserve">  </w:t>
            </w:r>
          </w:p>
        </w:tc>
        <w:tc>
          <w:tcPr>
            <w:tcW w:w="981" w:type="dxa"/>
            <w:tcBorders/>
            <w:shd w:fill="CCEEFF" w:val="clear"/>
            <w:vAlign w:val="center"/>
          </w:tcPr>
          <w:p>
            <w:pPr>
              <w:pStyle w:val="TableContents"/>
              <w:bidi w:val="0"/>
              <w:spacing w:before="0" w:after="0"/>
              <w:ind w:left="0" w:right="0" w:hanging="0"/>
              <w:jc w:val="center"/>
              <w:rPr/>
            </w:pPr>
            <w:r>
              <w:rPr/>
              <w:t xml:space="preserve">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left"/>
              <w:rPr/>
            </w:pPr>
            <w:r>
              <w:rPr/>
              <w:t xml:space="preserve">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Current assets: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lef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59,006</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984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pPr>
            <w:r>
              <w:rPr>
                <w:rFonts w:ascii="Times New Roman;serif" w:hAnsi="Times New Roman;serif"/>
                <w:color w:val="000000"/>
                <w:sz w:val="20"/>
                <w:lang w:val="en-US"/>
              </w:rPr>
              <w:t>Legal settlement receivable</w:t>
            </w: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pPr>
            <w:r>
              <w:rPr/>
              <w:t>—</w:t>
            </w:r>
            <w:r>
              <w:rPr/>
              <w:t xml:space="preserve">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55,000</w:t>
            </w:r>
            <w:r>
              <w:rPr>
                <w:rFonts w:ascii="times new roman;times" w:hAnsi="times new roman;times"/>
                <w:sz w:val="20"/>
              </w:rPr>
              <w:t xml:space="preserve">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320" w:right="0" w:hanging="320"/>
              <w:jc w:val="left"/>
              <w:rPr>
                <w:rFonts w:ascii="times new roman;times" w:hAnsi="times new roman;times"/>
                <w:sz w:val="20"/>
              </w:rPr>
            </w:pPr>
            <w:r>
              <w:rPr>
                <w:rFonts w:ascii="times new roman;times" w:hAnsi="times new roman;times"/>
                <w:sz w:val="20"/>
              </w:rPr>
              <w:t>Receivables, net of allowance of $</w:t>
            </w:r>
            <w:r>
              <w:rPr>
                <w:rFonts w:ascii="times new roman;times" w:hAnsi="times new roman;times"/>
                <w:sz w:val="20"/>
              </w:rPr>
              <w:t>326</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3,541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3,603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Inventories, net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8,395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8,961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283"/>
              <w:jc w:val="left"/>
              <w:rPr/>
            </w:pPr>
            <w:r>
              <w:rPr/>
              <w:t>Income tax receivable</w:t>
            </w:r>
          </w:p>
        </w:tc>
        <w:tc>
          <w:tcPr>
            <w:tcW w:w="107" w:type="dxa"/>
            <w:tcBorders/>
            <w:shd w:fill="CCEEFF" w:val="clear"/>
            <w:vAlign w:val="center"/>
          </w:tcPr>
          <w:p>
            <w:pPr>
              <w:pStyle w:val="TableContents"/>
              <w:bidi w:val="0"/>
              <w:spacing w:before="0" w:after="283"/>
              <w:jc w:val="left"/>
              <w:rPr/>
            </w:pPr>
            <w:r>
              <w:rPr/>
            </w:r>
          </w:p>
        </w:tc>
        <w:tc>
          <w:tcPr>
            <w:tcW w:w="236" w:type="dxa"/>
            <w:tcBorders/>
            <w:shd w:fill="CCEEFF" w:val="clear"/>
            <w:vAlign w:val="center"/>
          </w:tcPr>
          <w:p>
            <w:pPr>
              <w:pStyle w:val="TableContents"/>
              <w:bidi w:val="0"/>
              <w:spacing w:before="0" w:after="283"/>
              <w:jc w:val="left"/>
              <w:rPr/>
            </w:pPr>
            <w:r>
              <w:rPr/>
            </w:r>
          </w:p>
        </w:tc>
        <w:tc>
          <w:tcPr>
            <w:tcW w:w="9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283"/>
              <w:jc w:val="left"/>
              <w:rPr/>
            </w:pPr>
            <w:r>
              <w:rPr/>
            </w:r>
          </w:p>
        </w:tc>
        <w:tc>
          <w:tcPr>
            <w:tcW w:w="257" w:type="dxa"/>
            <w:tcBorders/>
            <w:shd w:fill="CCEEFF" w:val="clear"/>
            <w:vAlign w:val="center"/>
          </w:tcPr>
          <w:p>
            <w:pPr>
              <w:pStyle w:val="TableContents"/>
              <w:bidi w:val="0"/>
              <w:spacing w:before="0" w:after="283"/>
              <w:jc w:val="left"/>
              <w:rPr/>
            </w:pPr>
            <w:r>
              <w:rPr/>
            </w:r>
          </w:p>
        </w:tc>
        <w:tc>
          <w:tcPr>
            <w:tcW w:w="1067" w:type="dxa"/>
            <w:tcBorders/>
            <w:shd w:fill="CCEEFF" w:val="clear"/>
            <w:vAlign w:val="center"/>
          </w:tcPr>
          <w:p>
            <w:pPr>
              <w:pStyle w:val="TableContents"/>
              <w:bidi w:val="0"/>
              <w:spacing w:before="0" w:after="283"/>
              <w:jc w:val="right"/>
              <w:rPr/>
            </w:pPr>
            <w:r>
              <w:rPr/>
              <w:t>1,071</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Prepaid expenses and other assets </w:t>
            </w:r>
          </w:p>
        </w:tc>
        <w:tc>
          <w:tcPr>
            <w:tcW w:w="107" w:type="dxa"/>
            <w:tcBorders/>
            <w:vAlign w:val="center"/>
          </w:tcPr>
          <w:p>
            <w:pPr>
              <w:pStyle w:val="TableContents"/>
              <w:bidi w:val="0"/>
              <w:spacing w:before="0" w:after="283"/>
              <w:jc w:val="left"/>
              <w:rPr/>
            </w:pPr>
            <w:r>
              <w:rPr/>
              <w:t> </w:t>
            </w:r>
          </w:p>
        </w:tc>
        <w:tc>
          <w:tcPr>
            <w:tcW w:w="236" w:type="dxa"/>
            <w:tcBorders>
              <w:bottom w:val="single" w:sz="2" w:space="0" w:color="000000"/>
            </w:tcBorders>
            <w:tcMar>
              <w:bottom w:w="28" w:type="dxa"/>
            </w:tcMar>
            <w:vAlign w:val="center"/>
          </w:tcPr>
          <w:p>
            <w:pPr>
              <w:pStyle w:val="TableContents"/>
              <w:bidi w:val="0"/>
              <w:spacing w:before="0" w:after="283"/>
              <w:jc w:val="left"/>
              <w:rPr/>
            </w:pPr>
            <w:r>
              <w:rPr/>
              <w:t> </w:t>
            </w:r>
          </w:p>
        </w:tc>
        <w:tc>
          <w:tcPr>
            <w:tcW w:w="981" w:type="dxa"/>
            <w:tcBorders>
              <w:bottom w:val="single" w:sz="2" w:space="0" w:color="000000"/>
            </w:tcBorders>
            <w:tcMar>
              <w:bottom w:w="28" w:type="dxa"/>
            </w:tcMar>
            <w:vAlign w:val="center"/>
          </w:tcPr>
          <w:p>
            <w:pPr>
              <w:pStyle w:val="TableContents"/>
              <w:bidi w:val="0"/>
              <w:spacing w:before="0" w:after="283"/>
              <w:jc w:val="right"/>
              <w:rPr/>
            </w:pPr>
            <w:r>
              <w:rPr/>
              <w:t>3,635</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bottom w:val="single" w:sz="2" w:space="0" w:color="000000"/>
            </w:tcBorders>
            <w:tcMar>
              <w:bottom w:w="28" w:type="dxa"/>
            </w:tcMar>
            <w:vAlign w:val="center"/>
          </w:tcPr>
          <w:p>
            <w:pPr>
              <w:pStyle w:val="TableContents"/>
              <w:bidi w:val="0"/>
              <w:spacing w:before="0" w:after="283"/>
              <w:jc w:val="left"/>
              <w:rPr/>
            </w:pPr>
            <w:r>
              <w:rPr/>
              <w:t> </w:t>
            </w:r>
          </w:p>
        </w:tc>
        <w:tc>
          <w:tcPr>
            <w:tcW w:w="1067" w:type="dxa"/>
            <w:tcBorders>
              <w:bottom w:val="single" w:sz="2" w:space="0" w:color="000000"/>
            </w:tcBorders>
            <w:tcMar>
              <w:bottom w:w="28" w:type="dxa"/>
            </w:tcMar>
            <w:vAlign w:val="center"/>
          </w:tcPr>
          <w:p>
            <w:pPr>
              <w:pStyle w:val="TableContents"/>
              <w:bidi w:val="0"/>
              <w:spacing w:before="0" w:after="283"/>
              <w:jc w:val="right"/>
              <w:rPr/>
            </w:pPr>
            <w:r>
              <w:rPr/>
              <w:t>7,808</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current assets </w:t>
            </w:r>
          </w:p>
        </w:tc>
        <w:tc>
          <w:tcPr>
            <w:tcW w:w="107"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74,577</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77,427</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Long-term inventories, net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2,885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lef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2,707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Property and equipment, net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356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383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 - right of use assets, net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1,259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1,047</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Intangibles, net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1,995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2,071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assets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112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115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assets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bottom w:val="double" w:sz="7" w:space="0" w:color="000000"/>
            </w:tcBorders>
            <w:shd w:fill="CCEEFF" w:val="clear"/>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1"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81,184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bottom w:val="double" w:sz="7" w:space="0" w:color="000000"/>
            </w:tcBorders>
            <w:shd w:fill="CCEEFF" w:val="clear"/>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67"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83,750</w:t>
            </w:r>
            <w:r>
              <w:rPr>
                <w:rFonts w:ascii="times new roman;times" w:hAnsi="times new roman;times"/>
                <w:sz w:val="20"/>
              </w:rPr>
              <w:t xml:space="preserve">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LIABILITIES AND SHAREHOLDERS' EQUITY </w:t>
            </w:r>
          </w:p>
        </w:tc>
        <w:tc>
          <w:tcPr>
            <w:tcW w:w="107" w:type="dxa"/>
            <w:tcBorders/>
            <w:vAlign w:val="center"/>
          </w:tcPr>
          <w:p>
            <w:pPr>
              <w:pStyle w:val="TableContents"/>
              <w:bidi w:val="0"/>
              <w:spacing w:before="0" w:after="0"/>
              <w:ind w:left="0" w:right="0" w:hanging="0"/>
              <w:jc w:val="center"/>
              <w:rPr/>
            </w:pPr>
            <w:r>
              <w:rPr/>
              <w:t xml:space="preserve">  </w:t>
            </w:r>
          </w:p>
        </w:tc>
        <w:tc>
          <w:tcPr>
            <w:tcW w:w="236" w:type="dxa"/>
            <w:tcBorders/>
            <w:vAlign w:val="center"/>
          </w:tcPr>
          <w:p>
            <w:pPr>
              <w:pStyle w:val="TableContents"/>
              <w:bidi w:val="0"/>
              <w:spacing w:before="0" w:after="0"/>
              <w:ind w:left="0" w:right="0" w:hanging="0"/>
              <w:jc w:val="center"/>
              <w:rPr/>
            </w:pPr>
            <w:r>
              <w:rPr/>
              <w:t xml:space="preserve">  </w:t>
            </w:r>
          </w:p>
        </w:tc>
        <w:tc>
          <w:tcPr>
            <w:tcW w:w="981" w:type="dxa"/>
            <w:tcBorders/>
            <w:vAlign w:val="center"/>
          </w:tcPr>
          <w:p>
            <w:pPr>
              <w:pStyle w:val="TableContents"/>
              <w:bidi w:val="0"/>
              <w:spacing w:before="0" w:after="0"/>
              <w:ind w:left="0" w:right="0" w:hanging="0"/>
              <w:jc w:val="center"/>
              <w:rPr/>
            </w:pPr>
            <w:r>
              <w:rPr/>
              <w:t xml:space="preserve">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lef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Current liabilities: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left"/>
              <w:rPr/>
            </w:pPr>
            <w:r>
              <w:rPr/>
              <w:t xml:space="preserve">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Accounts payable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1,820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1,284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liabilities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2,454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3,041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widowControl/>
              <w:bidi w:val="0"/>
              <w:spacing w:before="0" w:after="283"/>
              <w:ind w:left="0" w:right="0" w:hanging="0"/>
              <w:jc w:val="both"/>
              <w:rPr/>
            </w:pPr>
            <w:r>
              <w:rPr/>
              <w:t xml:space="preserve">Deferred </w:t>
            </w:r>
            <w:r>
              <w:rPr>
                <w:rFonts w:ascii="times new roman;times" w:hAnsi="times new roman;times"/>
                <w:b w:val="false"/>
                <w:i w:val="false"/>
                <w:caps w:val="false"/>
                <w:smallCaps w:val="false"/>
                <w:color w:val="000000"/>
                <w:spacing w:val="0"/>
                <w:sz w:val="20"/>
              </w:rPr>
              <w:t>product revenue</w:t>
            </w:r>
          </w:p>
        </w:tc>
        <w:tc>
          <w:tcPr>
            <w:tcW w:w="107"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r>
          </w:p>
        </w:tc>
        <w:tc>
          <w:tcPr>
            <w:tcW w:w="981" w:type="dxa"/>
            <w:tcBorders/>
            <w:vAlign w:val="center"/>
          </w:tcPr>
          <w:p>
            <w:pPr>
              <w:pStyle w:val="TableContents"/>
              <w:bidi w:val="0"/>
              <w:spacing w:before="0" w:after="283"/>
              <w:jc w:val="right"/>
              <w:rPr/>
            </w:pPr>
            <w:r>
              <w:rPr/>
              <w:t>71</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pPr>
            <w:r>
              <w:rPr/>
            </w:r>
          </w:p>
        </w:tc>
        <w:tc>
          <w:tcPr>
            <w:tcW w:w="1067" w:type="dxa"/>
            <w:tcBorders/>
            <w:vAlign w:val="center"/>
          </w:tcPr>
          <w:p>
            <w:pPr>
              <w:pStyle w:val="TableContents"/>
              <w:bidi w:val="0"/>
              <w:spacing w:before="0" w:after="283"/>
              <w:jc w:val="right"/>
              <w:rPr/>
            </w:pPr>
            <w:r>
              <w:rPr/>
              <w:t>63</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Short-term debt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1,556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3,732 </w:t>
            </w:r>
          </w:p>
        </w:tc>
        <w:tc>
          <w:tcPr>
            <w:tcW w:w="115" w:type="dxa"/>
            <w:tcBorders/>
            <w:shd w:fill="CCEEFF" w:val="clear"/>
            <w:vAlign w:val="center"/>
          </w:tcPr>
          <w:p>
            <w:pPr>
              <w:pStyle w:val="TableContents"/>
              <w:bidi w:val="0"/>
              <w:spacing w:before="0" w:after="283"/>
              <w:ind w:left="0" w:right="0" w:hanging="0"/>
              <w:jc w:val="left"/>
              <w:rPr/>
            </w:pPr>
            <w:r>
              <w:rPr/>
            </w:r>
          </w:p>
        </w:tc>
      </w:tr>
      <w:tr>
        <w:trPr/>
        <w:tc>
          <w:tcPr>
            <w:tcW w:w="724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current liabilities </w:t>
            </w:r>
          </w:p>
        </w:tc>
        <w:tc>
          <w:tcPr>
            <w:tcW w:w="107" w:type="dxa"/>
            <w:tcBorders/>
            <w:vAlign w:val="center"/>
          </w:tcPr>
          <w:p>
            <w:pPr>
              <w:pStyle w:val="TableContents"/>
              <w:pBdr/>
              <w:bidi w:val="0"/>
              <w:spacing w:before="0" w:after="0"/>
              <w:ind w:left="0" w:right="0" w:hanging="0"/>
              <w:jc w:val="left"/>
              <w:rPr/>
            </w:pPr>
            <w:r>
              <w:rPr/>
              <w:t xml:space="preserve">  </w:t>
            </w:r>
          </w:p>
        </w:tc>
        <w:tc>
          <w:tcPr>
            <w:tcW w:w="236" w:type="dxa"/>
            <w:tcBorders/>
            <w:vAlign w:val="center"/>
          </w:tcPr>
          <w:p>
            <w:pPr>
              <w:pStyle w:val="TableContents"/>
              <w:pBdr/>
              <w:bidi w:val="0"/>
              <w:spacing w:before="0" w:after="0"/>
              <w:ind w:left="0" w:right="0" w:hanging="0"/>
              <w:jc w:val="left"/>
              <w:rPr/>
            </w:pPr>
            <w:r>
              <w:rPr/>
              <w:t xml:space="preserve">  </w:t>
            </w:r>
          </w:p>
        </w:tc>
        <w:tc>
          <w:tcPr>
            <w:tcW w:w="98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5,901 </w:t>
            </w:r>
          </w:p>
        </w:tc>
        <w:tc>
          <w:tcPr>
            <w:tcW w:w="95" w:type="dxa"/>
            <w:tcBorders/>
            <w:vAlign w:val="center"/>
          </w:tcPr>
          <w:p>
            <w:pPr>
              <w:pStyle w:val="TableContents"/>
              <w:bidi w:val="0"/>
              <w:spacing w:before="0" w:after="283"/>
              <w:ind w:left="0" w:right="0" w:hanging="0"/>
              <w:jc w:val="left"/>
              <w:rPr/>
            </w:pPr>
            <w:r>
              <w:rPr/>
            </w:r>
          </w:p>
        </w:tc>
        <w:tc>
          <w:tcPr>
            <w:tcW w:w="107" w:type="dxa"/>
            <w:tcBorders/>
            <w:vAlign w:val="center"/>
          </w:tcPr>
          <w:p>
            <w:pPr>
              <w:pStyle w:val="TableContents"/>
              <w:pBdr/>
              <w:bidi w:val="0"/>
              <w:spacing w:before="0" w:after="0"/>
              <w:ind w:left="0" w:right="0" w:hanging="0"/>
              <w:jc w:val="right"/>
              <w:rPr/>
            </w:pPr>
            <w:r>
              <w:rPr/>
              <w:t xml:space="preserve">  </w:t>
            </w:r>
          </w:p>
        </w:tc>
        <w:tc>
          <w:tcPr>
            <w:tcW w:w="257" w:type="dxa"/>
            <w:tcBorders/>
            <w:vAlign w:val="center"/>
          </w:tcPr>
          <w:p>
            <w:pPr>
              <w:pStyle w:val="TableContents"/>
              <w:pBdr/>
              <w:bidi w:val="0"/>
              <w:spacing w:before="0" w:after="0"/>
              <w:ind w:left="0" w:right="0" w:hanging="0"/>
              <w:jc w:val="left"/>
              <w:rPr/>
            </w:pPr>
            <w:r>
              <w:rPr/>
              <w:t xml:space="preserve">  </w:t>
            </w:r>
          </w:p>
        </w:tc>
        <w:tc>
          <w:tcPr>
            <w:tcW w:w="1067"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8,120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 liability, net of current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949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492</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long-term liabilities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1,008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1,008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liabilities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bottom w:val="single" w:sz="2" w:space="0" w:color="000000"/>
            </w:tcBorders>
            <w:shd w:fill="CCEEFF" w:val="clear"/>
            <w:tcMar>
              <w:bottom w:w="28" w:type="dxa"/>
            </w:tcMar>
            <w:vAlign w:val="center"/>
          </w:tcPr>
          <w:p>
            <w:pPr>
              <w:pStyle w:val="TableContents"/>
              <w:bidi w:val="0"/>
              <w:spacing w:before="0" w:after="283"/>
              <w:jc w:val="left"/>
              <w:rPr/>
            </w:pPr>
            <w:r>
              <w:rPr/>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7,858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9,620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righ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lef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Shareholders' equity: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left"/>
              <w:rPr/>
            </w:pPr>
            <w:r>
              <w:rPr/>
              <w:t xml:space="preserve">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320" w:right="0" w:hanging="320"/>
              <w:jc w:val="left"/>
              <w:rPr>
                <w:rFonts w:ascii="times new roman;times" w:hAnsi="times new roman;times"/>
                <w:sz w:val="20"/>
              </w:rPr>
            </w:pPr>
            <w:r>
              <w:rPr>
                <w:rFonts w:ascii="times new roman;times" w:hAnsi="times new roman;times"/>
                <w:sz w:val="20"/>
              </w:rPr>
              <w:t xml:space="preserve">Common stock, par value $0.001, 50,000,000 shares authorized, </w:t>
            </w:r>
            <w:r>
              <w:rPr>
                <w:rFonts w:ascii="times new roman;times" w:hAnsi="times new roman;times"/>
                <w:sz w:val="20"/>
              </w:rPr>
              <w:t>23,955,767</w:t>
            </w:r>
            <w:r>
              <w:rPr>
                <w:rFonts w:ascii="times new roman;times" w:hAnsi="times new roman;times"/>
                <w:sz w:val="20"/>
              </w:rPr>
              <w:t> shares issued and outstanding</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Additional paid-in capital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shd w:fill="CCEEFF" w:val="clear"/>
            <w:vAlign w:val="center"/>
          </w:tcPr>
          <w:p>
            <w:pPr>
              <w:pStyle w:val="TableContents"/>
              <w:bidi w:val="0"/>
              <w:spacing w:before="0" w:after="0"/>
              <w:ind w:left="0" w:right="0" w:hanging="0"/>
              <w:jc w:val="left"/>
              <w:rPr/>
            </w:pPr>
            <w:r>
              <w:rPr/>
              <w:t xml:space="preserve">  </w:t>
            </w:r>
          </w:p>
        </w:tc>
        <w:tc>
          <w:tcPr>
            <w:tcW w:w="98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74,933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shd w:fill="CCEEFF" w:val="clear"/>
            <w:vAlign w:val="center"/>
          </w:tcPr>
          <w:p>
            <w:pPr>
              <w:pStyle w:val="TableContents"/>
              <w:bidi w:val="0"/>
              <w:spacing w:before="0" w:after="0"/>
              <w:ind w:left="0" w:right="0" w:hanging="0"/>
              <w:jc w:val="left"/>
              <w:rPr/>
            </w:pPr>
            <w:r>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74,910 </w:t>
            </w:r>
          </w:p>
        </w:tc>
        <w:tc>
          <w:tcPr>
            <w:tcW w:w="115" w:type="dxa"/>
            <w:tcBorders/>
            <w:shd w:fill="CCEEFF" w:val="clear"/>
            <w:vAlign w:val="center"/>
          </w:tcPr>
          <w:p>
            <w:pPr>
              <w:pStyle w:val="TableContents"/>
              <w:bidi w:val="0"/>
              <w:spacing w:before="0" w:after="283"/>
              <w:jc w:val="left"/>
              <w:rPr/>
            </w:pPr>
            <w:r>
              <w:rPr/>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Accumulated other comprehensive loss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vAlign w:val="center"/>
          </w:tcPr>
          <w:p>
            <w:pPr>
              <w:pStyle w:val="TableContents"/>
              <w:bidi w:val="0"/>
              <w:spacing w:before="0" w:after="0"/>
              <w:ind w:left="0" w:right="0" w:hanging="0"/>
              <w:jc w:val="left"/>
              <w:rPr/>
            </w:pPr>
            <w:r>
              <w:rPr/>
              <w:t xml:space="preserve">  </w:t>
            </w:r>
          </w:p>
        </w:tc>
        <w:tc>
          <w:tcPr>
            <w:tcW w:w="98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(283</w:t>
            </w:r>
          </w:p>
        </w:tc>
        <w:tc>
          <w:tcPr>
            <w:tcW w:w="95"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0"/>
              <w:ind w:left="0" w:right="0" w:hanging="0"/>
              <w:jc w:val="left"/>
              <w:rPr/>
            </w:pPr>
            <w:r>
              <w:rPr/>
              <w:t xml:space="preserve">  </w:t>
            </w:r>
          </w:p>
        </w:tc>
        <w:tc>
          <w:tcPr>
            <w:tcW w:w="106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(288 </w:t>
            </w:r>
          </w:p>
        </w:tc>
        <w:tc>
          <w:tcPr>
            <w:tcW w:w="115"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Accumulated deficit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(1,348</w:t>
            </w:r>
          </w:p>
        </w:tc>
        <w:tc>
          <w:tcPr>
            <w:tcW w:w="95" w:type="dxa"/>
            <w:tcBorders/>
            <w:shd w:fill="CCEEFF" w:val="clear"/>
            <w:vAlign w:val="bottom"/>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(516 </w:t>
            </w:r>
          </w:p>
        </w:tc>
        <w:tc>
          <w:tcPr>
            <w:tcW w:w="115" w:type="dxa"/>
            <w:tcBorders/>
            <w:shd w:fill="CCEEFF" w:val="clear"/>
            <w:vAlign w:val="bottom"/>
          </w:tcPr>
          <w:p>
            <w:pPr>
              <w:pStyle w:val="TableContents"/>
              <w:bidi w:val="0"/>
              <w:spacing w:before="0" w:after="283"/>
              <w:jc w:val="left"/>
              <w:rPr>
                <w:rFonts w:ascii="times new roman;times" w:hAnsi="times new roman;times"/>
              </w:rPr>
            </w:pPr>
            <w:r>
              <w:rPr>
                <w:rFonts w:ascii="times new roman;times" w:hAnsi="times new roman;times"/>
              </w:rPr>
              <w:t>)</w:t>
            </w:r>
          </w:p>
        </w:tc>
      </w:tr>
      <w:tr>
        <w:trPr/>
        <w:tc>
          <w:tcPr>
            <w:tcW w:w="72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shareholders' equity </w:t>
            </w:r>
          </w:p>
        </w:tc>
        <w:tc>
          <w:tcPr>
            <w:tcW w:w="107" w:type="dxa"/>
            <w:tcBorders/>
            <w:vAlign w:val="center"/>
          </w:tcPr>
          <w:p>
            <w:pPr>
              <w:pStyle w:val="TableContents"/>
              <w:bidi w:val="0"/>
              <w:spacing w:before="0" w:after="0"/>
              <w:ind w:left="0" w:right="0" w:hanging="0"/>
              <w:jc w:val="left"/>
              <w:rPr/>
            </w:pPr>
            <w:r>
              <w:rPr/>
              <w:t xml:space="preserve">  </w:t>
            </w:r>
          </w:p>
        </w:tc>
        <w:tc>
          <w:tcPr>
            <w:tcW w:w="236"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81"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73,326 </w:t>
            </w:r>
          </w:p>
        </w:tc>
        <w:tc>
          <w:tcPr>
            <w:tcW w:w="95" w:type="dxa"/>
            <w:tcBorders/>
            <w:vAlign w:val="center"/>
          </w:tcPr>
          <w:p>
            <w:pPr>
              <w:pStyle w:val="TableContents"/>
              <w:bidi w:val="0"/>
              <w:spacing w:before="0" w:after="283"/>
              <w:jc w:val="left"/>
              <w:rPr/>
            </w:pPr>
            <w:r>
              <w:rPr/>
            </w:r>
          </w:p>
        </w:tc>
        <w:tc>
          <w:tcPr>
            <w:tcW w:w="107" w:type="dxa"/>
            <w:tcBorders/>
            <w:vAlign w:val="center"/>
          </w:tcPr>
          <w:p>
            <w:pPr>
              <w:pStyle w:val="TableContents"/>
              <w:bidi w:val="0"/>
              <w:spacing w:before="0" w:after="0"/>
              <w:ind w:left="0" w:right="0" w:hanging="0"/>
              <w:jc w:val="right"/>
              <w:rPr/>
            </w:pPr>
            <w:r>
              <w:rPr/>
              <w:t xml:space="preserve">  </w:t>
            </w:r>
          </w:p>
        </w:tc>
        <w:tc>
          <w:tcPr>
            <w:tcW w:w="257"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067"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74,130 </w:t>
            </w:r>
          </w:p>
        </w:tc>
        <w:tc>
          <w:tcPr>
            <w:tcW w:w="115" w:type="dxa"/>
            <w:tcBorders/>
            <w:vAlign w:val="center"/>
          </w:tcPr>
          <w:p>
            <w:pPr>
              <w:pStyle w:val="TableContents"/>
              <w:bidi w:val="0"/>
              <w:spacing w:before="0" w:after="283"/>
              <w:jc w:val="left"/>
              <w:rPr/>
            </w:pPr>
            <w:r>
              <w:rPr/>
            </w:r>
          </w:p>
        </w:tc>
      </w:tr>
      <w:tr>
        <w:trPr/>
        <w:tc>
          <w:tcPr>
            <w:tcW w:w="724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liabilities and shareholders' equity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36" w:type="dxa"/>
            <w:tcBorders>
              <w:bottom w:val="double" w:sz="7" w:space="0" w:color="000000"/>
            </w:tcBorders>
            <w:shd w:fill="CCEEFF" w:val="clear"/>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1"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81,184 </w:t>
            </w:r>
          </w:p>
        </w:tc>
        <w:tc>
          <w:tcPr>
            <w:tcW w:w="95" w:type="dxa"/>
            <w:tcBorders/>
            <w:shd w:fill="CCEEFF" w:val="clear"/>
            <w:vAlign w:val="center"/>
          </w:tcPr>
          <w:p>
            <w:pPr>
              <w:pStyle w:val="TableContents"/>
              <w:bidi w:val="0"/>
              <w:spacing w:before="0" w:after="283"/>
              <w:jc w:val="left"/>
              <w:rPr/>
            </w:pPr>
            <w:r>
              <w:rPr/>
            </w:r>
          </w:p>
        </w:tc>
        <w:tc>
          <w:tcPr>
            <w:tcW w:w="107" w:type="dxa"/>
            <w:tcBorders/>
            <w:shd w:fill="CCEEFF" w:val="clear"/>
            <w:vAlign w:val="center"/>
          </w:tcPr>
          <w:p>
            <w:pPr>
              <w:pStyle w:val="TableContents"/>
              <w:bidi w:val="0"/>
              <w:spacing w:before="0" w:after="0"/>
              <w:ind w:left="0" w:right="0" w:hanging="0"/>
              <w:jc w:val="right"/>
              <w:rPr/>
            </w:pPr>
            <w:r>
              <w:rPr/>
              <w:t xml:space="preserve">  </w:t>
            </w:r>
          </w:p>
        </w:tc>
        <w:tc>
          <w:tcPr>
            <w:tcW w:w="257" w:type="dxa"/>
            <w:tcBorders>
              <w:bottom w:val="double" w:sz="7" w:space="0" w:color="000000"/>
            </w:tcBorders>
            <w:shd w:fill="CCEEFF" w:val="clear"/>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67"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83,750 </w:t>
            </w:r>
          </w:p>
        </w:tc>
        <w:tc>
          <w:tcPr>
            <w:tcW w:w="115" w:type="dxa"/>
            <w:tcBorders/>
            <w:shd w:fill="CCEEFF" w:val="clear"/>
            <w:vAlign w:val="center"/>
          </w:tcPr>
          <w:p>
            <w:pPr>
              <w:pStyle w:val="TableContents"/>
              <w:bidi w:val="0"/>
              <w:spacing w:before="0" w:after="283"/>
              <w:jc w:val="left"/>
              <w:rPr/>
            </w:pPr>
            <w:r>
              <w:rPr/>
            </w:r>
          </w:p>
        </w:tc>
      </w:tr>
    </w:tbl>
    <w:p>
      <w:pPr>
        <w:pStyle w:val="TextBody"/>
        <w:bidi w:val="0"/>
        <w:spacing w:before="0" w:after="0"/>
        <w:ind w:left="144" w:right="14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jc w:val="both"/>
        <w:rPr/>
      </w:pPr>
      <w:r>
        <w:rPr/>
      </w:r>
    </w:p>
    <w:p>
      <w:pPr>
        <w:pStyle w:val="TextBody"/>
        <w:bidi w:val="0"/>
        <w:jc w:val="left"/>
        <w:rPr>
          <w:sz w:val="20"/>
        </w:rPr>
      </w:pPr>
      <w:r>
        <w:rPr>
          <w:sz w:val="20"/>
        </w:rPr>
      </w:r>
    </w:p>
    <w:p>
      <w:pPr>
        <w:pStyle w:val="TextBody"/>
        <w:bidi w:val="0"/>
        <w:spacing w:before="0" w:after="0"/>
        <w:ind w:left="144" w:right="144" w:hanging="0"/>
        <w:jc w:val="both"/>
        <w:rPr/>
      </w:pPr>
      <w:r>
        <w:rPr/>
      </w:r>
    </w:p>
    <w:p>
      <w:pPr>
        <w:pStyle w:val="TextBody"/>
        <w:bidi w:val="0"/>
        <w:spacing w:before="0" w:after="0"/>
        <w:ind w:left="0" w:right="144" w:hanging="0"/>
        <w:jc w:val="center"/>
        <w:rPr>
          <w:rFonts w:ascii="times new roman;times" w:hAnsi="times new roman;times"/>
          <w:b/>
          <w:sz w:val="20"/>
        </w:rPr>
      </w:pPr>
      <w:r>
        <w:rPr>
          <w:rFonts w:ascii="times new roman;times" w:hAnsi="times new roman;times"/>
          <w:b/>
          <w:sz w:val="20"/>
        </w:rPr>
        <w:t>CLEARONE, INC.</w:t>
      </w:r>
    </w:p>
    <w:p>
      <w:pPr>
        <w:pStyle w:val="TextBody"/>
        <w:widowControl/>
        <w:bidi w:val="0"/>
        <w:spacing w:before="0" w:after="0"/>
        <w:ind w:left="0" w:right="144" w:hanging="0"/>
        <w:jc w:val="center"/>
        <w:rPr>
          <w:rFonts w:ascii="times new roman;times" w:hAnsi="times new roman;times"/>
          <w:sz w:val="20"/>
        </w:rPr>
      </w:pPr>
      <w:r>
        <w:rPr>
          <w:rFonts w:ascii="times new roman;times" w:hAnsi="times new roman;times"/>
          <w:b/>
          <w:i w:val="false"/>
          <w:caps w:val="false"/>
          <w:smallCaps w:val="false"/>
          <w:color w:val="000000"/>
          <w:spacing w:val="0"/>
          <w:sz w:val="20"/>
        </w:rPr>
        <w:t>UNAUDITED </w:t>
      </w:r>
      <w:r>
        <w:rPr>
          <w:rFonts w:ascii="times new roman;times" w:hAnsi="times new roman;times"/>
          <w:b/>
          <w:sz w:val="20"/>
        </w:rPr>
        <w:t>CONSOLIDATED STATEMENTS OF OPERATIONS</w:t>
      </w:r>
      <w:r>
        <w:rPr>
          <w:rFonts w:ascii="times new roman;times" w:hAnsi="times new roman;times"/>
          <w:sz w:val="20"/>
        </w:rPr>
        <w:t> </w:t>
      </w:r>
      <w:r>
        <w:rPr>
          <w:rFonts w:ascii="times new roman;times" w:hAnsi="times new roman;times"/>
          <w:b/>
          <w:sz w:val="20"/>
        </w:rPr>
        <w:t>AND COMPREHENSIVE LOSS</w:t>
      </w:r>
    </w:p>
    <w:p>
      <w:pPr>
        <w:pStyle w:val="TextBody"/>
        <w:bidi w:val="0"/>
        <w:spacing w:before="0" w:after="0"/>
        <w:ind w:left="0" w:right="144" w:hanging="0"/>
        <w:jc w:val="center"/>
        <w:rPr>
          <w:rFonts w:ascii="times new roman;times" w:hAnsi="times new roman;times"/>
          <w:sz w:val="20"/>
        </w:rPr>
      </w:pPr>
      <w:r>
        <w:rPr>
          <w:rFonts w:ascii="times new roman;times" w:hAnsi="times new roman;times"/>
          <w:sz w:val="20"/>
        </w:rPr>
        <w:t>(Dollars in thousands, except per share values)</w:t>
      </w:r>
    </w:p>
    <w:p>
      <w:pPr>
        <w:pStyle w:val="TextBody"/>
        <w:bidi w:val="0"/>
        <w:spacing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378"/>
        <w:gridCol w:w="163"/>
        <w:gridCol w:w="291"/>
        <w:gridCol w:w="1351"/>
        <w:gridCol w:w="129"/>
        <w:gridCol w:w="162"/>
        <w:gridCol w:w="292"/>
        <w:gridCol w:w="1289"/>
        <w:gridCol w:w="150"/>
      </w:tblGrid>
      <w:tr>
        <w:trPr/>
        <w:tc>
          <w:tcPr>
            <w:tcW w:w="6378"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35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Three months ended March 31, </w:t>
            </w:r>
          </w:p>
        </w:tc>
        <w:tc>
          <w:tcPr>
            <w:tcW w:w="150" w:type="dxa"/>
            <w:tcBorders/>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center"/>
              <w:rPr/>
            </w:pPr>
            <w:r>
              <w:rPr/>
              <w:t xml:space="preserve">  </w:t>
            </w:r>
          </w:p>
        </w:tc>
        <w:tc>
          <w:tcPr>
            <w:tcW w:w="163" w:type="dxa"/>
            <w:tcBorders/>
            <w:vAlign w:val="center"/>
          </w:tcPr>
          <w:p>
            <w:pPr>
              <w:pStyle w:val="TableContents"/>
              <w:bidi w:val="0"/>
              <w:spacing w:before="0" w:after="0"/>
              <w:ind w:left="0" w:right="0" w:hanging="0"/>
              <w:jc w:val="center"/>
              <w:rPr/>
            </w:pPr>
            <w:r>
              <w:rPr/>
              <w:t xml:space="preserve">  </w:t>
            </w:r>
          </w:p>
        </w:tc>
        <w:tc>
          <w:tcPr>
            <w:tcW w:w="1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2023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center"/>
              <w:rPr/>
            </w:pPr>
            <w:r>
              <w:rPr/>
              <w:t xml:space="preserve">  </w:t>
            </w:r>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2022 </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4,178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7,545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2,863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4,729 </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1,315</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2,816</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righ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lef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left"/>
              <w:rPr/>
            </w:pPr>
            <w:r>
              <w:rPr/>
              <w:t xml:space="preserve">  </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lef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1,192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1,560 </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1,043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1,353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1,269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1,756 </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3,504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4,669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righ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pPr>
            <w:r>
              <w:rPr/>
            </w:r>
          </w:p>
        </w:tc>
        <w:tc>
          <w:tcPr>
            <w:tcW w:w="1289"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(2,189</w:t>
            </w:r>
          </w:p>
        </w:tc>
        <w:tc>
          <w:tcPr>
            <w:tcW w:w="129" w:type="dxa"/>
            <w:tcBorders/>
            <w:shd w:fill="CCEEFF" w:val="clear"/>
            <w:vAlign w:val="center"/>
          </w:tcPr>
          <w:p>
            <w:pPr>
              <w:pStyle w:val="TableContents"/>
              <w:bidi w:val="0"/>
              <w:spacing w:before="0" w:after="283"/>
              <w:jc w:val="left"/>
              <w:rPr/>
            </w:pPr>
            <w:r>
              <w:rPr/>
              <w:t>)</w:t>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(1,853</w:t>
            </w:r>
          </w:p>
        </w:tc>
        <w:tc>
          <w:tcPr>
            <w:tcW w:w="150" w:type="dxa"/>
            <w:tcBorders/>
            <w:shd w:fill="CCEEFF" w:val="clear"/>
            <w:vAlign w:val="center"/>
          </w:tcPr>
          <w:p>
            <w:pPr>
              <w:pStyle w:val="TableContents"/>
              <w:bidi w:val="0"/>
              <w:spacing w:before="0" w:after="283"/>
              <w:jc w:val="left"/>
              <w:rPr/>
            </w:pPr>
            <w:r>
              <w:rPr/>
              <w:t>)</w:t>
            </w:r>
          </w:p>
        </w:tc>
      </w:tr>
      <w:tr>
        <w:trPr/>
        <w:tc>
          <w:tcPr>
            <w:tcW w:w="6378" w:type="dxa"/>
            <w:tcBorders/>
            <w:vAlign w:val="center"/>
          </w:tcPr>
          <w:p>
            <w:pPr>
              <w:pStyle w:val="TableContents"/>
              <w:bidi w:val="0"/>
              <w:spacing w:before="0" w:after="283"/>
              <w:jc w:val="left"/>
              <w:rPr/>
            </w:pPr>
            <w:r>
              <w:rPr/>
            </w:r>
          </w:p>
        </w:tc>
        <w:tc>
          <w:tcPr>
            <w:tcW w:w="163"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pPr>
            <w:r>
              <w:rPr/>
            </w:r>
          </w:p>
        </w:tc>
        <w:tc>
          <w:tcPr>
            <w:tcW w:w="1351"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pPr>
            <w:r>
              <w:rPr/>
            </w:r>
          </w:p>
        </w:tc>
        <w:tc>
          <w:tcPr>
            <w:tcW w:w="1289"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Interest expense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(292</w:t>
            </w:r>
          </w:p>
        </w:tc>
        <w:tc>
          <w:tcPr>
            <w:tcW w:w="129" w:type="dxa"/>
            <w:tcBorders/>
            <w:shd w:fill="CCEEFF" w:val="clear"/>
            <w:vAlign w:val="center"/>
          </w:tcPr>
          <w:p>
            <w:pPr>
              <w:pStyle w:val="TableContents"/>
              <w:bidi w:val="0"/>
              <w:spacing w:before="0" w:after="283"/>
              <w:jc w:val="left"/>
              <w:rPr/>
            </w:pPr>
            <w:r>
              <w:rPr/>
              <w:t>)</w:t>
            </w:r>
          </w:p>
        </w:tc>
        <w:tc>
          <w:tcPr>
            <w:tcW w:w="162" w:type="dxa"/>
            <w:tcBorders/>
            <w:shd w:fill="CCEEFF" w:val="clear"/>
            <w:vAlign w:val="center"/>
          </w:tcPr>
          <w:p>
            <w:pPr>
              <w:pStyle w:val="TableContents"/>
              <w:bidi w:val="0"/>
              <w:spacing w:before="0" w:after="0"/>
              <w:ind w:left="0" w:right="0" w:hanging="0"/>
              <w:jc w:val="lef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(101</w:t>
            </w:r>
          </w:p>
        </w:tc>
        <w:tc>
          <w:tcPr>
            <w:tcW w:w="150" w:type="dxa"/>
            <w:tcBorders/>
            <w:shd w:fill="CCEEFF" w:val="clear"/>
            <w:vAlign w:val="center"/>
          </w:tcPr>
          <w:p>
            <w:pPr>
              <w:pStyle w:val="TableContents"/>
              <w:bidi w:val="0"/>
              <w:spacing w:before="0" w:after="283"/>
              <w:jc w:val="left"/>
              <w:rPr/>
            </w:pPr>
            <w:r>
              <w:rPr/>
              <w:t>)</w:t>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net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1,666</w:t>
            </w:r>
          </w:p>
        </w:tc>
        <w:tc>
          <w:tcPr>
            <w:tcW w:w="1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w:t>
            </w:r>
          </w:p>
        </w:tc>
        <w:tc>
          <w:tcPr>
            <w:tcW w:w="150" w:type="dxa"/>
            <w:tcBorders/>
            <w:vAlign w:val="center"/>
          </w:tcPr>
          <w:p>
            <w:pPr>
              <w:pStyle w:val="TableContents"/>
              <w:bidi w:val="0"/>
              <w:spacing w:before="0" w:after="283"/>
              <w:jc w:val="left"/>
              <w:rPr>
                <w:sz w:val="4"/>
                <w:szCs w:val="4"/>
              </w:rPr>
            </w:pPr>
            <w:r>
              <w:rPr>
                <w:sz w:val="4"/>
                <w:szCs w:val="4"/>
              </w:rPr>
            </w:r>
          </w:p>
        </w:tc>
      </w:tr>
      <w:tr>
        <w:trPr/>
        <w:tc>
          <w:tcPr>
            <w:tcW w:w="6378" w:type="dxa"/>
            <w:tcBorders/>
            <w:shd w:fill="CCEEFF" w:val="clear"/>
            <w:vAlign w:val="center"/>
          </w:tcPr>
          <w:p>
            <w:pPr>
              <w:pStyle w:val="TableContents"/>
              <w:bidi w:val="0"/>
              <w:spacing w:before="0" w:after="0"/>
              <w:ind w:left="0" w:right="0" w:hanging="0"/>
              <w:jc w:val="righ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283"/>
              <w:jc w:val="left"/>
              <w:rPr/>
            </w:pPr>
            <w:r>
              <w:rPr/>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center"/>
              <w:rPr>
                <w:color w:val="FFFFFF"/>
              </w:rPr>
            </w:pPr>
            <w:r>
              <w:rPr>
                <w:color w:val="FFFFFF"/>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center"/>
              <w:rPr/>
            </w:pPr>
            <w:r>
              <w:rPr/>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(815</w:t>
            </w:r>
          </w:p>
        </w:tc>
        <w:tc>
          <w:tcPr>
            <w:tcW w:w="129"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(1,951</w:t>
            </w:r>
          </w:p>
        </w:tc>
        <w:tc>
          <w:tcPr>
            <w:tcW w:w="150" w:type="dxa"/>
            <w:tcBorders/>
            <w:vAlign w:val="center"/>
          </w:tcPr>
          <w:p>
            <w:pPr>
              <w:pStyle w:val="TableContents"/>
              <w:bidi w:val="0"/>
              <w:spacing w:before="0" w:after="283"/>
              <w:jc w:val="left"/>
              <w:rPr/>
            </w:pPr>
            <w:r>
              <w:rPr/>
              <w:t>)</w:t>
            </w:r>
          </w:p>
        </w:tc>
      </w:tr>
      <w:tr>
        <w:trPr/>
        <w:tc>
          <w:tcPr>
            <w:tcW w:w="6378" w:type="dxa"/>
            <w:tcBorders/>
            <w:shd w:fill="CCEEFF" w:val="clear"/>
            <w:vAlign w:val="center"/>
          </w:tcPr>
          <w:p>
            <w:pPr>
              <w:pStyle w:val="TableContents"/>
              <w:bidi w:val="0"/>
              <w:spacing w:before="0" w:after="0"/>
              <w:ind w:left="0" w:right="0" w:hanging="0"/>
              <w:jc w:val="righ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center"/>
              <w:rPr/>
            </w:pPr>
            <w:r>
              <w:rPr/>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center"/>
              <w:rPr>
                <w:color w:val="FFFFFF"/>
              </w:rPr>
            </w:pPr>
            <w:r>
              <w:rPr>
                <w:color w:val="FFFFFF"/>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center"/>
              <w:rPr/>
            </w:pPr>
            <w:r>
              <w:rPr/>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for income taxes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righ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left"/>
              <w:rPr/>
            </w:pPr>
            <w:r>
              <w:rPr/>
              <w:t xml:space="preserve">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283"/>
              <w:ind w:left="0" w:right="0" w:hanging="0"/>
              <w:jc w:val="left"/>
              <w:rPr/>
            </w:pPr>
            <w:r>
              <w:rPr/>
            </w:r>
          </w:p>
        </w:tc>
      </w:tr>
      <w:tr>
        <w:trPr/>
        <w:tc>
          <w:tcPr>
            <w:tcW w:w="637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w:t>
            </w:r>
          </w:p>
        </w:tc>
        <w:tc>
          <w:tcPr>
            <w:tcW w:w="163" w:type="dxa"/>
            <w:tcBorders/>
            <w:vAlign w:val="center"/>
          </w:tcPr>
          <w:p>
            <w:pPr>
              <w:pStyle w:val="TableContents"/>
              <w:pBdr/>
              <w:bidi w:val="0"/>
              <w:spacing w:before="0" w:after="0"/>
              <w:ind w:left="0" w:right="0" w:hanging="0"/>
              <w:jc w:val="left"/>
              <w:rPr/>
            </w:pPr>
            <w:r>
              <w:rPr/>
              <w:t xml:space="preserve">  </w:t>
            </w:r>
          </w:p>
        </w:tc>
        <w:tc>
          <w:tcPr>
            <w:tcW w:w="291" w:type="dxa"/>
            <w:tcBorders>
              <w:bottom w:val="double" w:sz="7" w:space="0" w:color="000000"/>
            </w:tcBorders>
            <w:tcMar>
              <w:bottom w:w="28" w:type="dxa"/>
            </w:tcM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51"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129" w:type="dxa"/>
            <w:tcBorders/>
            <w:vAlign w:val="center"/>
          </w:tcPr>
          <w:p>
            <w:pPr>
              <w:pStyle w:val="TableContents"/>
              <w:bidi w:val="0"/>
              <w:spacing w:before="0" w:after="0"/>
              <w:ind w:left="0" w:right="0" w:hanging="0"/>
              <w:jc w:val="left"/>
              <w:rPr/>
            </w:pPr>
            <w:r>
              <w:rPr/>
              <w:t>)</w:t>
            </w:r>
          </w:p>
        </w:tc>
        <w:tc>
          <w:tcPr>
            <w:tcW w:w="162" w:type="dxa"/>
            <w:tcBorders/>
            <w:vAlign w:val="center"/>
          </w:tcPr>
          <w:p>
            <w:pPr>
              <w:pStyle w:val="TableContents"/>
              <w:pBdr/>
              <w:bidi w:val="0"/>
              <w:spacing w:before="0" w:after="0"/>
              <w:ind w:left="0" w:right="0" w:hanging="0"/>
              <w:jc w:val="right"/>
              <w:rPr/>
            </w:pPr>
            <w:r>
              <w:rPr/>
              <w:t xml:space="preserve">  </w:t>
            </w:r>
          </w:p>
        </w:tc>
        <w:tc>
          <w:tcPr>
            <w:tcW w:w="292" w:type="dxa"/>
            <w:tcBorders>
              <w:bottom w:val="double" w:sz="7" w:space="0" w:color="000000"/>
            </w:tcBorders>
            <w:tcMar>
              <w:bottom w:w="28" w:type="dxa"/>
            </w:tcM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9"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(1,967</w:t>
            </w:r>
          </w:p>
        </w:tc>
        <w:tc>
          <w:tcPr>
            <w:tcW w:w="150" w:type="dxa"/>
            <w:tcBorders/>
            <w:vAlign w:val="center"/>
          </w:tcPr>
          <w:p>
            <w:pPr>
              <w:pStyle w:val="TableContents"/>
              <w:bidi w:val="0"/>
              <w:spacing w:before="0" w:after="0"/>
              <w:jc w:val="left"/>
              <w:rPr/>
            </w:pPr>
            <w:r>
              <w:rPr/>
              <w:t>)</w:t>
            </w:r>
          </w:p>
        </w:tc>
      </w:tr>
      <w:tr>
        <w:trPr/>
        <w:tc>
          <w:tcPr>
            <w:tcW w:w="6378" w:type="dxa"/>
            <w:tcBorders/>
            <w:shd w:fill="CCEEFF" w:val="clear"/>
            <w:vAlign w:val="center"/>
          </w:tcPr>
          <w:p>
            <w:pPr>
              <w:pStyle w:val="TableContents"/>
              <w:bidi w:val="0"/>
              <w:spacing w:before="0" w:after="0"/>
              <w:ind w:left="0" w:right="0" w:hanging="0"/>
              <w:jc w:val="righ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lef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Basic weighted average shares outstanding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23,955,767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23,897,305</w:t>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Diluted weighted average shares outstanding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23,955,767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23,897,305</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righ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center"/>
              <w:rPr>
                <w:color w:val="FFFFFF"/>
              </w:rPr>
            </w:pPr>
            <w:r>
              <w:rPr>
                <w:color w:val="FFFFFF"/>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Basic loss per share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5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(0.03</w:t>
            </w:r>
          </w:p>
        </w:tc>
        <w:tc>
          <w:tcPr>
            <w:tcW w:w="129" w:type="dxa"/>
            <w:tcBorders/>
            <w:shd w:fill="CCEEFF" w:val="clear"/>
            <w:vAlign w:val="center"/>
          </w:tcPr>
          <w:p>
            <w:pPr>
              <w:pStyle w:val="TableContents"/>
              <w:bidi w:val="0"/>
              <w:spacing w:before="0" w:after="283"/>
              <w:jc w:val="left"/>
              <w:rPr/>
            </w:pPr>
            <w:r>
              <w:rPr/>
              <w:t>)</w:t>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(0.08</w:t>
            </w:r>
          </w:p>
        </w:tc>
        <w:tc>
          <w:tcPr>
            <w:tcW w:w="150" w:type="dxa"/>
            <w:tcBorders/>
            <w:shd w:fill="CCEEFF" w:val="clear"/>
            <w:vAlign w:val="center"/>
          </w:tcPr>
          <w:p>
            <w:pPr>
              <w:pStyle w:val="TableContents"/>
              <w:bidi w:val="0"/>
              <w:spacing w:before="0" w:after="283"/>
              <w:jc w:val="left"/>
              <w:rPr/>
            </w:pPr>
            <w:r>
              <w:rPr/>
              <w:t>)</w:t>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Diluted loss per share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5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(0.03</w:t>
            </w:r>
          </w:p>
        </w:tc>
        <w:tc>
          <w:tcPr>
            <w:tcW w:w="129"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(0.08</w:t>
            </w:r>
          </w:p>
        </w:tc>
        <w:tc>
          <w:tcPr>
            <w:tcW w:w="150" w:type="dxa"/>
            <w:tcBorders/>
            <w:vAlign w:val="center"/>
          </w:tcPr>
          <w:p>
            <w:pPr>
              <w:pStyle w:val="TableContents"/>
              <w:bidi w:val="0"/>
              <w:spacing w:before="0" w:after="283"/>
              <w:jc w:val="left"/>
              <w:rPr/>
            </w:pPr>
            <w:r>
              <w:rPr/>
              <w:t>)</w:t>
            </w:r>
          </w:p>
        </w:tc>
      </w:tr>
      <w:tr>
        <w:trPr/>
        <w:tc>
          <w:tcPr>
            <w:tcW w:w="6378" w:type="dxa"/>
            <w:tcBorders/>
            <w:shd w:fill="CCEEFF" w:val="clear"/>
            <w:vAlign w:val="center"/>
          </w:tcPr>
          <w:p>
            <w:pPr>
              <w:pStyle w:val="TableContents"/>
              <w:bidi w:val="0"/>
              <w:spacing w:before="0" w:after="0"/>
              <w:ind w:left="0" w:right="0" w:hanging="0"/>
              <w:jc w:val="righ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c>
          <w:tcPr>
            <w:tcW w:w="1351" w:type="dxa"/>
            <w:tcBorders/>
            <w:shd w:fill="CCEEFF" w:val="clear"/>
            <w:vAlign w:val="center"/>
          </w:tcPr>
          <w:p>
            <w:pPr>
              <w:pStyle w:val="TableContents"/>
              <w:bidi w:val="0"/>
              <w:spacing w:before="0" w:after="0"/>
              <w:ind w:left="0" w:right="0" w:hanging="0"/>
              <w:jc w:val="left"/>
              <w:rPr/>
            </w:pPr>
            <w:r>
              <w:rPr/>
              <w:t xml:space="preserve">  </w:t>
            </w:r>
          </w:p>
        </w:tc>
        <w:tc>
          <w:tcPr>
            <w:tcW w:w="129" w:type="dxa"/>
            <w:tcBorders/>
            <w:shd w:fill="CCEEFF" w:val="clear"/>
            <w:vAlign w:val="center"/>
          </w:tcPr>
          <w:p>
            <w:pPr>
              <w:pStyle w:val="TableContents"/>
              <w:bidi w:val="0"/>
              <w:spacing w:before="0" w:after="283"/>
              <w:jc w:val="left"/>
              <w:rPr/>
            </w:pPr>
            <w:r>
              <w:rPr/>
            </w:r>
          </w:p>
        </w:tc>
        <w:tc>
          <w:tcPr>
            <w:tcW w:w="162" w:type="dxa"/>
            <w:tcBorders/>
            <w:shd w:fill="CCEEFF" w:val="clear"/>
            <w:vAlign w:val="center"/>
          </w:tcPr>
          <w:p>
            <w:pPr>
              <w:pStyle w:val="TableContents"/>
              <w:bidi w:val="0"/>
              <w:spacing w:before="0" w:after="0"/>
              <w:ind w:left="0" w:right="0" w:hanging="0"/>
              <w:jc w:val="left"/>
              <w:rPr/>
            </w:pPr>
            <w:r>
              <w:rPr/>
              <w:t xml:space="preserve">  </w:t>
            </w:r>
          </w:p>
        </w:tc>
        <w:tc>
          <w:tcPr>
            <w:tcW w:w="292" w:type="dxa"/>
            <w:tcBorders/>
            <w:shd w:fill="CCEEFF" w:val="clear"/>
            <w:vAlign w:val="center"/>
          </w:tcPr>
          <w:p>
            <w:pPr>
              <w:pStyle w:val="TableContents"/>
              <w:bidi w:val="0"/>
              <w:spacing w:before="0" w:after="0"/>
              <w:ind w:left="0" w:right="0" w:hanging="0"/>
              <w:jc w:val="left"/>
              <w:rPr/>
            </w:pPr>
            <w:r>
              <w:rPr/>
              <w:t xml:space="preserve">  </w:t>
            </w:r>
          </w:p>
        </w:tc>
        <w:tc>
          <w:tcPr>
            <w:tcW w:w="1289" w:type="dxa"/>
            <w:tcBorders/>
            <w:shd w:fill="CCEEFF" w:val="cle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283"/>
              <w:jc w:val="left"/>
              <w:rPr/>
            </w:pPr>
            <w:r>
              <w:rPr/>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Comprehensive loss: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left"/>
              <w:rPr/>
            </w:pPr>
            <w:r>
              <w:rPr/>
              <w:t xml:space="preserve">  </w:t>
            </w:r>
          </w:p>
        </w:tc>
        <w:tc>
          <w:tcPr>
            <w:tcW w:w="129"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0"/>
              <w:ind w:left="0" w:right="0" w:hanging="0"/>
              <w:jc w:val="lef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left"/>
              <w:rPr/>
            </w:pPr>
            <w:r>
              <w:rPr/>
              <w:t xml:space="preserve">  </w:t>
            </w:r>
          </w:p>
        </w:tc>
        <w:tc>
          <w:tcPr>
            <w:tcW w:w="150" w:type="dxa"/>
            <w:tcBorders/>
            <w:vAlign w:val="center"/>
          </w:tcPr>
          <w:p>
            <w:pPr>
              <w:pStyle w:val="TableContents"/>
              <w:bidi w:val="0"/>
              <w:spacing w:before="0" w:after="283"/>
              <w:ind w:left="0" w:right="0" w:hanging="0"/>
              <w:jc w:val="left"/>
              <w:rPr/>
            </w:pPr>
            <w:r>
              <w:rPr/>
            </w:r>
          </w:p>
        </w:tc>
      </w:tr>
      <w:tr>
        <w:trPr/>
        <w:tc>
          <w:tcPr>
            <w:tcW w:w="637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w:t>
            </w:r>
          </w:p>
        </w:tc>
        <w:tc>
          <w:tcPr>
            <w:tcW w:w="163" w:type="dxa"/>
            <w:tcBorders/>
            <w:shd w:fill="CCEEFF" w:val="clear"/>
            <w:vAlign w:val="center"/>
          </w:tcPr>
          <w:p>
            <w:pPr>
              <w:pStyle w:val="TableContents"/>
              <w:bidi w:val="0"/>
              <w:spacing w:before="0" w:after="283"/>
              <w:ind w:left="0" w:right="0" w:hanging="0"/>
              <w:jc w:val="left"/>
              <w:rPr/>
            </w:pPr>
            <w:r>
              <w:rPr/>
            </w:r>
          </w:p>
        </w:tc>
        <w:tc>
          <w:tcPr>
            <w:tcW w:w="291"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1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283"/>
              <w:ind w:left="0" w:right="0" w:hanging="0"/>
              <w:jc w:val="left"/>
              <w:rPr/>
            </w:pPr>
            <w:r>
              <w:rPr/>
            </w:r>
          </w:p>
        </w:tc>
        <w:tc>
          <w:tcPr>
            <w:tcW w:w="292"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(1,967</w:t>
            </w:r>
          </w:p>
        </w:tc>
        <w:tc>
          <w:tcPr>
            <w:tcW w:w="150" w:type="dxa"/>
            <w:tcBorders/>
            <w:shd w:fill="CCEEFF" w:val="clear"/>
            <w:vAlign w:val="center"/>
          </w:tcPr>
          <w:p>
            <w:pPr>
              <w:pStyle w:val="TableContents"/>
              <w:bidi w:val="0"/>
              <w:spacing w:before="0" w:after="0"/>
              <w:jc w:val="left"/>
              <w:rPr/>
            </w:pPr>
            <w:r>
              <w:rPr/>
              <w:t>)</w:t>
            </w:r>
          </w:p>
        </w:tc>
      </w:tr>
      <w:tr>
        <w:trPr/>
        <w:tc>
          <w:tcPr>
            <w:tcW w:w="6378" w:type="dxa"/>
            <w:tcBorders/>
            <w:vAlign w:val="center"/>
          </w:tcPr>
          <w:p>
            <w:pPr>
              <w:pStyle w:val="TableContents"/>
              <w:bidi w:val="0"/>
              <w:spacing w:before="0" w:after="0"/>
              <w:ind w:left="320" w:right="0" w:hanging="320"/>
              <w:jc w:val="left"/>
              <w:rPr>
                <w:rFonts w:ascii="times new roman;times" w:hAnsi="times new roman;times"/>
                <w:sz w:val="20"/>
              </w:rPr>
            </w:pPr>
            <w:r>
              <w:rPr>
                <w:rFonts w:ascii="times new roman;times" w:hAnsi="times new roman;times"/>
                <w:sz w:val="20"/>
              </w:rPr>
              <w:t xml:space="preserve">Unrealized loss on available-for-sale securities, net of tax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c>
          <w:tcPr>
            <w:tcW w:w="1351"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ind w:left="0" w:right="0" w:hanging="0"/>
              <w:jc w:val="right"/>
              <w:rPr/>
            </w:pPr>
            <w:r>
              <w:rPr/>
              <w:t xml:space="preserve">  </w:t>
            </w:r>
          </w:p>
        </w:tc>
        <w:tc>
          <w:tcPr>
            <w:tcW w:w="292" w:type="dxa"/>
            <w:tcBorders/>
            <w:vAlign w:val="center"/>
          </w:tcPr>
          <w:p>
            <w:pPr>
              <w:pStyle w:val="TableContents"/>
              <w:bidi w:val="0"/>
              <w:spacing w:before="0" w:after="0"/>
              <w:ind w:left="0" w:right="0" w:hanging="0"/>
              <w:jc w:val="left"/>
              <w:rPr/>
            </w:pPr>
            <w:r>
              <w:rPr/>
              <w:t xml:space="preserve">  </w:t>
            </w:r>
          </w:p>
        </w:tc>
        <w:tc>
          <w:tcPr>
            <w:tcW w:w="128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w:t>
            </w:r>
          </w:p>
        </w:tc>
        <w:tc>
          <w:tcPr>
            <w:tcW w:w="150" w:type="dxa"/>
            <w:tcBorders/>
            <w:vAlign w:val="center"/>
          </w:tcPr>
          <w:p>
            <w:pPr>
              <w:pStyle w:val="TableContents"/>
              <w:bidi w:val="0"/>
              <w:spacing w:before="0" w:after="283"/>
              <w:jc w:val="left"/>
              <w:rPr/>
            </w:pPr>
            <w:r>
              <w:rPr/>
              <w:t>)</w:t>
            </w:r>
          </w:p>
        </w:tc>
      </w:tr>
      <w:tr>
        <w:trPr/>
        <w:tc>
          <w:tcPr>
            <w:tcW w:w="637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Change in foreign currency translation adjustment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0"/>
              <w:ind w:left="0" w:right="0" w:hanging="0"/>
              <w:jc w:val="right"/>
              <w:rPr/>
            </w:pPr>
            <w:r>
              <w:rPr/>
              <w:t xml:space="preserve">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w:t>
            </w:r>
          </w:p>
        </w:tc>
        <w:tc>
          <w:tcPr>
            <w:tcW w:w="150" w:type="dxa"/>
            <w:tcBorders/>
            <w:shd w:fill="CCEEFF" w:val="clear"/>
            <w:vAlign w:val="center"/>
          </w:tcPr>
          <w:p>
            <w:pPr>
              <w:pStyle w:val="TableContents"/>
              <w:bidi w:val="0"/>
              <w:spacing w:before="0" w:after="283"/>
              <w:jc w:val="left"/>
              <w:rPr/>
            </w:pPr>
            <w:r>
              <w:rPr/>
              <w:t>)</w:t>
            </w:r>
          </w:p>
        </w:tc>
      </w:tr>
      <w:tr>
        <w:trPr/>
        <w:tc>
          <w:tcPr>
            <w:tcW w:w="637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Comprehensive loss </w:t>
            </w:r>
          </w:p>
        </w:tc>
        <w:tc>
          <w:tcPr>
            <w:tcW w:w="163" w:type="dxa"/>
            <w:tcBorders/>
            <w:vAlign w:val="center"/>
          </w:tcPr>
          <w:p>
            <w:pPr>
              <w:pStyle w:val="TableContents"/>
              <w:bidi w:val="0"/>
              <w:spacing w:before="0" w:after="0"/>
              <w:ind w:left="0" w:right="0" w:hanging="0"/>
              <w:jc w:val="left"/>
              <w:rPr/>
            </w:pPr>
            <w:r>
              <w:rPr/>
              <w:t xml:space="preserve">  </w:t>
            </w:r>
          </w:p>
        </w:tc>
        <w:tc>
          <w:tcPr>
            <w:tcW w:w="291"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w:t>
            </w:r>
          </w:p>
        </w:tc>
        <w:tc>
          <w:tcPr>
            <w:tcW w:w="1351"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(827</w:t>
            </w:r>
          </w:p>
        </w:tc>
        <w:tc>
          <w:tcPr>
            <w:tcW w:w="129"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0"/>
              <w:ind w:left="0" w:right="0" w:hanging="0"/>
              <w:jc w:val="left"/>
              <w:rPr/>
            </w:pPr>
            <w:r>
              <w:rPr/>
              <w:t xml:space="preserve">  </w:t>
            </w:r>
          </w:p>
        </w:tc>
        <w:tc>
          <w:tcPr>
            <w:tcW w:w="292"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w:t>
            </w:r>
          </w:p>
        </w:tc>
        <w:tc>
          <w:tcPr>
            <w:tcW w:w="1289"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(2,006</w:t>
            </w:r>
          </w:p>
        </w:tc>
        <w:tc>
          <w:tcPr>
            <w:tcW w:w="150" w:type="dxa"/>
            <w:tcBorders/>
            <w:vAlign w:val="center"/>
          </w:tcPr>
          <w:p>
            <w:pPr>
              <w:pStyle w:val="TableContents"/>
              <w:bidi w:val="0"/>
              <w:spacing w:before="0" w:after="283"/>
              <w:jc w:val="left"/>
              <w:rPr/>
            </w:pPr>
            <w:r>
              <w:rPr/>
              <w:t>)</w:t>
            </w:r>
          </w:p>
        </w:tc>
      </w:tr>
    </w:tbl>
    <w:p>
      <w:pPr>
        <w:pStyle w:val="TextBody"/>
        <w:bidi w:val="0"/>
        <w:spacing w:before="0" w:after="0"/>
        <w:ind w:left="144" w:right="144"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jc w:val="both"/>
        <w:rPr/>
      </w:pPr>
      <w:r>
        <w:rPr/>
      </w:r>
    </w:p>
    <w:p>
      <w:pPr>
        <w:pStyle w:val="TextBody"/>
        <w:bidi w:val="0"/>
        <w:spacing w:before="0" w:after="0"/>
        <w:jc w:val="left"/>
        <w:rPr>
          <w:sz w:val="20"/>
        </w:rPr>
      </w:pPr>
      <w:r>
        <w:rPr>
          <w:sz w:val="20"/>
        </w:rPr>
      </w:r>
    </w:p>
    <w:p>
      <w:pPr>
        <w:pStyle w:val="TextBody"/>
        <w:bidi w:val="0"/>
        <w:jc w:val="both"/>
        <w:rPr/>
      </w:pPr>
      <w:r>
        <w:rPr/>
      </w:r>
    </w:p>
    <w:p>
      <w:pPr>
        <w:pStyle w:val="TextBody"/>
        <w:bidi w:val="0"/>
        <w:spacing w:before="0" w:after="0"/>
        <w:ind w:left="0" w:right="144"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before="0" w:after="0"/>
        <w:ind w:left="0" w:right="144" w:hanging="0"/>
        <w:jc w:val="center"/>
        <w:rPr>
          <w:rFonts w:ascii="times new roman;times" w:hAnsi="times new roman;times"/>
          <w:b/>
          <w:sz w:val="20"/>
        </w:rPr>
      </w:pPr>
      <w:r>
        <w:rPr>
          <w:rFonts w:ascii="times new roman;times" w:hAnsi="times new roman;times"/>
          <w:b/>
          <w:sz w:val="20"/>
        </w:rPr>
        <w:t>UNAUDITED RECONCILIATION OF GAAP MEASURES TO NON-GAAP MEASURES</w:t>
      </w:r>
    </w:p>
    <w:p>
      <w:pPr>
        <w:pStyle w:val="TextBody"/>
        <w:bidi w:val="0"/>
        <w:spacing w:before="0" w:after="0"/>
        <w:ind w:left="0" w:right="144" w:hanging="0"/>
        <w:jc w:val="center"/>
        <w:rPr>
          <w:rFonts w:ascii="times new roman;times" w:hAnsi="times new roman;times"/>
          <w:sz w:val="20"/>
        </w:rPr>
      </w:pPr>
      <w:r>
        <w:rPr>
          <w:rFonts w:ascii="times new roman;times" w:hAnsi="times new roman;times"/>
          <w:sz w:val="20"/>
        </w:rPr>
        <w:t>(Dollars in thousands, except per share values)</w:t>
      </w:r>
    </w:p>
    <w:p>
      <w:pPr>
        <w:pStyle w:val="TextBody"/>
        <w:bidi w:val="0"/>
        <w:spacing w:before="0" w:after="0"/>
        <w:ind w:left="0" w:right="294" w:hanging="0"/>
        <w:jc w:val="both"/>
        <w:rPr/>
      </w:pPr>
      <w:r>
        <w:rPr/>
        <w:t> </w:t>
      </w:r>
    </w:p>
    <w:tbl>
      <w:tblPr>
        <w:tblW w:w="5000" w:type="pct"/>
        <w:jc w:val="left"/>
        <w:tblInd w:w="0" w:type="dxa"/>
        <w:tblLayout w:type="fixed"/>
        <w:tblCellMar>
          <w:top w:w="0" w:type="dxa"/>
          <w:left w:w="0" w:type="dxa"/>
          <w:bottom w:w="0" w:type="dxa"/>
          <w:right w:w="0" w:type="dxa"/>
        </w:tblCellMar>
      </w:tblPr>
      <w:tblGrid>
        <w:gridCol w:w="6841"/>
        <w:gridCol w:w="144"/>
        <w:gridCol w:w="204"/>
        <w:gridCol w:w="1193"/>
        <w:gridCol w:w="96"/>
        <w:gridCol w:w="144"/>
        <w:gridCol w:w="204"/>
        <w:gridCol w:w="1265"/>
        <w:gridCol w:w="114"/>
      </w:tblGrid>
      <w:tr>
        <w:trPr/>
        <w:tc>
          <w:tcPr>
            <w:tcW w:w="6841"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31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Three months ended March 31, </w:t>
            </w:r>
          </w:p>
        </w:tc>
        <w:tc>
          <w:tcPr>
            <w:tcW w:w="114" w:type="dxa"/>
            <w:tcBorders/>
            <w:vAlign w:val="center"/>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center"/>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2023 </w:t>
            </w:r>
          </w:p>
        </w:tc>
        <w:tc>
          <w:tcPr>
            <w:tcW w:w="96"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center"/>
              <w:rPr/>
            </w:pPr>
            <w:r>
              <w:rPr/>
              <w:t xml:space="preserve">  </w:t>
            </w:r>
          </w:p>
        </w:tc>
        <w:tc>
          <w:tcPr>
            <w:tcW w:w="14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2022 </w:t>
            </w:r>
          </w:p>
        </w:tc>
        <w:tc>
          <w:tcPr>
            <w:tcW w:w="114" w:type="dxa"/>
            <w:tcBorders/>
            <w:vAlign w:val="center"/>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operating loss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9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(2,189</w:t>
            </w:r>
          </w:p>
        </w:tc>
        <w:tc>
          <w:tcPr>
            <w:tcW w:w="96" w:type="dxa"/>
            <w:tcBorders/>
            <w:shd w:fill="CCEEFF" w:val="clear"/>
            <w:vAlign w:val="bottom"/>
          </w:tcPr>
          <w:p>
            <w:pPr>
              <w:pStyle w:val="TableContents"/>
              <w:bidi w:val="0"/>
              <w:spacing w:before="0" w:after="0"/>
              <w:jc w:val="left"/>
              <w:rPr>
                <w:sz w:val="20"/>
              </w:rPr>
            </w:pPr>
            <w:r>
              <w:rPr>
                <w:sz w:val="20"/>
              </w:rPr>
              <w:t>)</w:t>
            </w:r>
          </w:p>
        </w:tc>
        <w:tc>
          <w:tcPr>
            <w:tcW w:w="144"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265" w:type="dxa"/>
            <w:tcBorders/>
            <w:shd w:fill="CCEEFF"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(1,853</w:t>
            </w:r>
          </w:p>
        </w:tc>
        <w:tc>
          <w:tcPr>
            <w:tcW w:w="114" w:type="dxa"/>
            <w:tcBorders/>
            <w:shd w:fill="CCEEFF" w:val="clear"/>
            <w:vAlign w:val="bottom"/>
          </w:tcPr>
          <w:p>
            <w:pPr>
              <w:pStyle w:val="TableContents"/>
              <w:bidi w:val="0"/>
              <w:spacing w:before="0" w:after="0"/>
              <w:jc w:val="left"/>
              <w:rPr>
                <w:sz w:val="20"/>
              </w:rPr>
            </w:pPr>
            <w:r>
              <w:rPr>
                <w:sz w:val="20"/>
              </w:rPr>
              <w:t>)</w:t>
            </w:r>
          </w:p>
        </w:tc>
      </w:tr>
      <w:tr>
        <w:trPr/>
        <w:tc>
          <w:tcPr>
            <w:tcW w:w="6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color w:val="000000"/>
              </w:rPr>
            </w:pPr>
            <w:r>
              <w:rPr>
                <w:color w:val="000000"/>
              </w:rPr>
              <w:t xml:space="preserve">  </w:t>
            </w:r>
          </w:p>
        </w:tc>
        <w:tc>
          <w:tcPr>
            <w:tcW w:w="1193"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 xml:space="preserve">23 </w:t>
            </w:r>
          </w:p>
        </w:tc>
        <w:tc>
          <w:tcPr>
            <w:tcW w:w="96" w:type="dxa"/>
            <w:tcBorders/>
            <w:vAlign w:val="bottom"/>
          </w:tcPr>
          <w:p>
            <w:pPr>
              <w:pStyle w:val="TableContents"/>
              <w:bidi w:val="0"/>
              <w:spacing w:before="0" w:after="283"/>
              <w:jc w:val="left"/>
              <w:rPr/>
            </w:pPr>
            <w:r>
              <w:rPr/>
            </w:r>
          </w:p>
        </w:tc>
        <w:tc>
          <w:tcPr>
            <w:tcW w:w="144" w:type="dxa"/>
            <w:tcBorders/>
            <w:vAlign w:val="bottom"/>
          </w:tcPr>
          <w:p>
            <w:pPr>
              <w:pStyle w:val="TableContents"/>
              <w:bidi w:val="0"/>
              <w:spacing w:before="0" w:after="0"/>
              <w:ind w:left="0" w:right="0" w:hanging="0"/>
              <w:jc w:val="right"/>
              <w:rPr>
                <w:color w:val="000000"/>
              </w:rPr>
            </w:pPr>
            <w:r>
              <w:rPr>
                <w:color w:val="000000"/>
              </w:rPr>
              <w:t xml:space="preserve">  </w:t>
            </w:r>
          </w:p>
        </w:tc>
        <w:tc>
          <w:tcPr>
            <w:tcW w:w="204" w:type="dxa"/>
            <w:tcBorders/>
            <w:vAlign w:val="center"/>
          </w:tcPr>
          <w:p>
            <w:pPr>
              <w:pStyle w:val="TableContents"/>
              <w:bidi w:val="0"/>
              <w:spacing w:before="0" w:after="0"/>
              <w:ind w:left="0" w:right="0" w:hanging="0"/>
              <w:jc w:val="right"/>
              <w:rPr>
                <w:color w:val="000000"/>
              </w:rPr>
            </w:pPr>
            <w:r>
              <w:rPr>
                <w:color w:val="000000"/>
              </w:rPr>
              <w:t xml:space="preserve">  </w:t>
            </w:r>
          </w:p>
        </w:tc>
        <w:tc>
          <w:tcPr>
            <w:tcW w:w="126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35</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000000"/>
              </w:rPr>
            </w:pPr>
            <w:r>
              <w:rPr>
                <w:color w:val="000000"/>
              </w:rPr>
              <w:t xml:space="preserve">  </w:t>
            </w:r>
          </w:p>
        </w:tc>
        <w:tc>
          <w:tcPr>
            <w:tcW w:w="1193"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 xml:space="preserve">118 </w:t>
            </w:r>
          </w:p>
        </w:tc>
        <w:tc>
          <w:tcPr>
            <w:tcW w:w="96" w:type="dxa"/>
            <w:tcBorders/>
            <w:shd w:fill="CCEEFF" w:val="clear"/>
            <w:vAlign w:val="bottom"/>
          </w:tcPr>
          <w:p>
            <w:pPr>
              <w:pStyle w:val="TableContents"/>
              <w:bidi w:val="0"/>
              <w:spacing w:before="0" w:after="283"/>
              <w:jc w:val="left"/>
              <w:rPr/>
            </w:pPr>
            <w:r>
              <w:rPr/>
            </w:r>
          </w:p>
        </w:tc>
        <w:tc>
          <w:tcPr>
            <w:tcW w:w="144"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000000"/>
              </w:rPr>
            </w:pPr>
            <w:r>
              <w:rPr>
                <w:color w:val="000000"/>
              </w:rPr>
              <w:t xml:space="preserve">  </w:t>
            </w:r>
          </w:p>
        </w:tc>
        <w:tc>
          <w:tcPr>
            <w:tcW w:w="1265"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670</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operating loss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193"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2,048</w:t>
            </w:r>
          </w:p>
        </w:tc>
        <w:tc>
          <w:tcPr>
            <w:tcW w:w="96" w:type="dxa"/>
            <w:tcBorders/>
            <w:vAlign w:val="center"/>
          </w:tcPr>
          <w:p>
            <w:pPr>
              <w:pStyle w:val="TableContents"/>
              <w:bidi w:val="0"/>
              <w:spacing w:before="0" w:after="0"/>
              <w:jc w:val="left"/>
              <w:rPr>
                <w:sz w:val="20"/>
              </w:rPr>
            </w:pPr>
            <w:r>
              <w:rPr>
                <w:sz w:val="20"/>
              </w:rPr>
              <w:t>)</w:t>
            </w:r>
          </w:p>
        </w:tc>
        <w:tc>
          <w:tcPr>
            <w:tcW w:w="144" w:type="dxa"/>
            <w:tcBorders/>
            <w:vAlign w:val="center"/>
          </w:tcPr>
          <w:p>
            <w:pPr>
              <w:pStyle w:val="TableContents"/>
              <w:bidi w:val="0"/>
              <w:spacing w:before="0" w:after="0"/>
              <w:ind w:left="0" w:right="0" w:hanging="0"/>
              <w:jc w:val="right"/>
              <w:rPr>
                <w:color w:val="000000"/>
              </w:rPr>
            </w:pPr>
            <w:r>
              <w:rPr>
                <w:color w:val="000000"/>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265"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1,148</w:t>
            </w:r>
          </w:p>
        </w:tc>
        <w:tc>
          <w:tcPr>
            <w:tcW w:w="114" w:type="dxa"/>
            <w:tcBorders/>
            <w:vAlign w:val="center"/>
          </w:tcPr>
          <w:p>
            <w:pPr>
              <w:pStyle w:val="TableContents"/>
              <w:bidi w:val="0"/>
              <w:spacing w:before="0" w:after="0"/>
              <w:jc w:val="left"/>
              <w:rPr>
                <w:sz w:val="20"/>
              </w:rPr>
            </w:pPr>
            <w:r>
              <w:rPr>
                <w:sz w:val="20"/>
              </w:rPr>
              <w:t>)</w:t>
            </w:r>
          </w:p>
        </w:tc>
      </w:tr>
      <w:tr>
        <w:trPr/>
        <w:tc>
          <w:tcPr>
            <w:tcW w:w="6841" w:type="dxa"/>
            <w:tcBorders/>
            <w:shd w:fill="CCEEFF" w:val="clear"/>
            <w:vAlign w:val="center"/>
          </w:tcPr>
          <w:p>
            <w:pPr>
              <w:pStyle w:val="TableContents"/>
              <w:bidi w:val="0"/>
              <w:spacing w:before="0" w:after="0"/>
              <w:ind w:left="0" w:right="0" w:hanging="0"/>
              <w:jc w:val="righ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193" w:type="dxa"/>
            <w:tcBorders/>
            <w:shd w:fill="CCEEFF" w:val="clear"/>
            <w:vAlign w:val="center"/>
          </w:tcPr>
          <w:p>
            <w:pPr>
              <w:pStyle w:val="TableContents"/>
              <w:bidi w:val="0"/>
              <w:spacing w:before="0" w:after="0"/>
              <w:ind w:left="0" w:right="0" w:hanging="0"/>
              <w:jc w:val="right"/>
              <w:rPr/>
            </w:pPr>
            <w:r>
              <w:rPr/>
              <w:t xml:space="preserve">  </w:t>
            </w:r>
          </w:p>
        </w:tc>
        <w:tc>
          <w:tcPr>
            <w:tcW w:w="96"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265" w:type="dxa"/>
            <w:tcBorders/>
            <w:shd w:fill="CCEEFF" w:val="clear"/>
            <w:vAlign w:val="center"/>
          </w:tcPr>
          <w:p>
            <w:pPr>
              <w:pStyle w:val="TableContents"/>
              <w:bidi w:val="0"/>
              <w:spacing w:before="0" w:after="0"/>
              <w:ind w:left="0" w:right="0" w:hanging="0"/>
              <w:jc w:val="right"/>
              <w:rPr/>
            </w:pPr>
            <w:r>
              <w:rPr/>
              <w:t xml:space="preserve">  </w:t>
            </w:r>
          </w:p>
        </w:tc>
        <w:tc>
          <w:tcPr>
            <w:tcW w:w="114" w:type="dxa"/>
            <w:tcBorders/>
            <w:shd w:fill="CCEEFF" w:val="clear"/>
            <w:vAlign w:val="center"/>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net loss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96" w:type="dxa"/>
            <w:tcBorders/>
            <w:vAlign w:val="bottom"/>
          </w:tcPr>
          <w:p>
            <w:pPr>
              <w:pStyle w:val="TableContents"/>
              <w:bidi w:val="0"/>
              <w:spacing w:before="0" w:after="0"/>
              <w:jc w:val="left"/>
              <w:rPr>
                <w:sz w:val="20"/>
              </w:rPr>
            </w:pPr>
            <w:r>
              <w:rPr>
                <w:sz w:val="20"/>
              </w:rPr>
              <w:t>)</w:t>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(1,967</w:t>
            </w:r>
          </w:p>
        </w:tc>
        <w:tc>
          <w:tcPr>
            <w:tcW w:w="114" w:type="dxa"/>
            <w:tcBorders/>
            <w:vAlign w:val="bottom"/>
          </w:tcPr>
          <w:p>
            <w:pPr>
              <w:pStyle w:val="TableContents"/>
              <w:bidi w:val="0"/>
              <w:spacing w:before="0" w:after="0"/>
              <w:jc w:val="left"/>
              <w:rPr>
                <w:sz w:val="20"/>
              </w:rPr>
            </w:pPr>
            <w:r>
              <w:rPr>
                <w:sz w:val="20"/>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19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 </w:t>
            </w:r>
          </w:p>
        </w:tc>
        <w:tc>
          <w:tcPr>
            <w:tcW w:w="96" w:type="dxa"/>
            <w:tcBorders/>
            <w:shd w:fill="CCEEFF" w:val="clear"/>
            <w:vAlign w:val="bottom"/>
          </w:tcPr>
          <w:p>
            <w:pPr>
              <w:pStyle w:val="TableContents"/>
              <w:bidi w:val="0"/>
              <w:spacing w:before="0" w:after="283"/>
              <w:jc w:val="left"/>
              <w:rPr/>
            </w:pPr>
            <w:r>
              <w:rPr/>
            </w:r>
          </w:p>
        </w:tc>
        <w:tc>
          <w:tcPr>
            <w:tcW w:w="144" w:type="dxa"/>
            <w:tcBorders/>
            <w:shd w:fill="CCEEFF" w:val="clear"/>
            <w:vAlign w:val="bottom"/>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26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35</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118</w:t>
            </w:r>
          </w:p>
        </w:tc>
        <w:tc>
          <w:tcPr>
            <w:tcW w:w="96" w:type="dxa"/>
            <w:tcBorders/>
            <w:vAlign w:val="bottom"/>
          </w:tcPr>
          <w:p>
            <w:pPr>
              <w:pStyle w:val="TableContents"/>
              <w:bidi w:val="0"/>
              <w:spacing w:before="0" w:after="283"/>
              <w:jc w:val="left"/>
              <w:rPr/>
            </w:pPr>
            <w:r>
              <w:rPr/>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670 </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lang w:val="en-US"/>
              </w:rPr>
            </w:pPr>
            <w:r>
              <w:rPr>
                <w:rFonts w:ascii="times new roman;times" w:hAnsi="times new roman;times"/>
                <w:sz w:val="20"/>
                <w:lang w:val="en-US"/>
              </w:rPr>
              <w:t xml:space="preserve">Other income adjustment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193" w:type="dxa"/>
            <w:tcBorders>
              <w:bottom w:val="single" w:sz="2" w:space="0" w:color="000000"/>
            </w:tcBorders>
            <w:shd w:fill="CCEEFF" w:val="clear"/>
            <w:tcMar>
              <w:bottom w:w="28" w:type="dxa"/>
            </w:tcMar>
            <w:vAlign w:val="bottom"/>
          </w:tcPr>
          <w:p>
            <w:pPr>
              <w:pStyle w:val="TableContents"/>
              <w:bidi w:val="0"/>
              <w:spacing w:before="0" w:after="283"/>
              <w:jc w:val="right"/>
              <w:rPr>
                <w:sz w:val="20"/>
              </w:rPr>
            </w:pPr>
            <w:r>
              <w:rPr>
                <w:sz w:val="20"/>
              </w:rPr>
              <w:t>(1,350</w:t>
            </w:r>
          </w:p>
        </w:tc>
        <w:tc>
          <w:tcPr>
            <w:tcW w:w="96" w:type="dxa"/>
            <w:tcBorders/>
            <w:shd w:fill="CCEEFF" w:val="clear"/>
            <w:vAlign w:val="bottom"/>
          </w:tcPr>
          <w:p>
            <w:pPr>
              <w:pStyle w:val="TableContents"/>
              <w:bidi w:val="0"/>
              <w:spacing w:before="0" w:after="283"/>
              <w:jc w:val="left"/>
              <w:rPr>
                <w:sz w:val="20"/>
              </w:rPr>
            </w:pPr>
            <w:r>
              <w:rPr>
                <w:sz w:val="20"/>
              </w:rPr>
              <w:t>)</w:t>
            </w:r>
          </w:p>
        </w:tc>
        <w:tc>
          <w:tcPr>
            <w:tcW w:w="144" w:type="dxa"/>
            <w:tcBorders/>
            <w:shd w:fill="CCEEFF" w:val="clear"/>
            <w:vAlign w:val="bottom"/>
          </w:tcPr>
          <w:p>
            <w:pPr>
              <w:pStyle w:val="TableContents"/>
              <w:bidi w:val="0"/>
              <w:spacing w:before="0" w:after="0"/>
              <w:ind w:left="0" w:right="0" w:hanging="0"/>
              <w:jc w:val="right"/>
              <w:rPr/>
            </w:pPr>
            <w:r>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265" w:type="dxa"/>
            <w:tcBorders>
              <w:bottom w:val="single" w:sz="2" w:space="0" w:color="000000"/>
            </w:tcBorders>
            <w:shd w:fill="CCEEFF" w:val="clear"/>
            <w:tcMar>
              <w:bottom w:w="28" w:type="dxa"/>
            </w:tcMar>
            <w:vAlign w:val="bottom"/>
          </w:tcPr>
          <w:p>
            <w:pPr>
              <w:pStyle w:val="TableContents"/>
              <w:bidi w:val="0"/>
              <w:spacing w:before="0" w:after="283"/>
              <w:jc w:val="right"/>
              <w:rPr/>
            </w:pPr>
            <w:r>
              <w:rPr/>
              <w:t>—</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net loss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(2,041</w:t>
            </w:r>
          </w:p>
        </w:tc>
        <w:tc>
          <w:tcPr>
            <w:tcW w:w="96" w:type="dxa"/>
            <w:tcBorders/>
            <w:vAlign w:val="center"/>
          </w:tcPr>
          <w:p>
            <w:pPr>
              <w:pStyle w:val="TableContents"/>
              <w:bidi w:val="0"/>
              <w:spacing w:before="0" w:after="0"/>
              <w:jc w:val="left"/>
              <w:rPr>
                <w:sz w:val="20"/>
              </w:rPr>
            </w:pPr>
            <w:r>
              <w:rPr>
                <w:sz w:val="20"/>
              </w:rPr>
              <w:t>)</w:t>
            </w:r>
          </w:p>
        </w:tc>
        <w:tc>
          <w:tcPr>
            <w:tcW w:w="144" w:type="dxa"/>
            <w:tcBorders/>
            <w:vAlign w:val="center"/>
          </w:tcPr>
          <w:p>
            <w:pPr>
              <w:pStyle w:val="TableContents"/>
              <w:bidi w:val="0"/>
              <w:spacing w:before="0" w:after="0"/>
              <w:ind w:left="0" w:right="0" w:hanging="0"/>
              <w:jc w:val="right"/>
              <w:rPr/>
            </w:pPr>
            <w:r>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1,262</w:t>
            </w:r>
          </w:p>
        </w:tc>
        <w:tc>
          <w:tcPr>
            <w:tcW w:w="114" w:type="dxa"/>
            <w:tcBorders/>
            <w:vAlign w:val="center"/>
          </w:tcPr>
          <w:p>
            <w:pPr>
              <w:pStyle w:val="TableContents"/>
              <w:bidi w:val="0"/>
              <w:spacing w:before="0" w:after="0"/>
              <w:jc w:val="left"/>
              <w:rPr>
                <w:sz w:val="20"/>
              </w:rPr>
            </w:pPr>
            <w:r>
              <w:rPr>
                <w:sz w:val="20"/>
              </w:rPr>
              <w:t>)</w:t>
            </w:r>
          </w:p>
        </w:tc>
      </w:tr>
      <w:tr>
        <w:trPr/>
        <w:tc>
          <w:tcPr>
            <w:tcW w:w="6841" w:type="dxa"/>
            <w:tcBorders/>
            <w:shd w:fill="CCEEFF" w:val="clear"/>
            <w:vAlign w:val="center"/>
          </w:tcPr>
          <w:p>
            <w:pPr>
              <w:pStyle w:val="TableContents"/>
              <w:bidi w:val="0"/>
              <w:spacing w:before="0" w:after="0"/>
              <w:ind w:left="0" w:right="0" w:hanging="0"/>
              <w:jc w:val="righ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193" w:type="dxa"/>
            <w:tcBorders/>
            <w:shd w:fill="CCEEFF" w:val="clear"/>
            <w:vAlign w:val="center"/>
          </w:tcPr>
          <w:p>
            <w:pPr>
              <w:pStyle w:val="TableContents"/>
              <w:bidi w:val="0"/>
              <w:spacing w:before="0" w:after="0"/>
              <w:ind w:left="0" w:right="0" w:hanging="0"/>
              <w:jc w:val="right"/>
              <w:rPr/>
            </w:pPr>
            <w:r>
              <w:rPr/>
              <w:t xml:space="preserve">  </w:t>
            </w:r>
          </w:p>
        </w:tc>
        <w:tc>
          <w:tcPr>
            <w:tcW w:w="96"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265" w:type="dxa"/>
            <w:tcBorders/>
            <w:shd w:fill="CCEEFF" w:val="clear"/>
            <w:vAlign w:val="center"/>
          </w:tcPr>
          <w:p>
            <w:pPr>
              <w:pStyle w:val="TableContents"/>
              <w:bidi w:val="0"/>
              <w:spacing w:before="0" w:after="0"/>
              <w:ind w:left="0" w:right="0" w:hanging="0"/>
              <w:jc w:val="right"/>
              <w:rPr/>
            </w:pPr>
            <w:r>
              <w:rPr/>
              <w:t xml:space="preserve">  </w:t>
            </w:r>
          </w:p>
        </w:tc>
        <w:tc>
          <w:tcPr>
            <w:tcW w:w="114" w:type="dxa"/>
            <w:tcBorders/>
            <w:shd w:fill="CCEEFF" w:val="clear"/>
            <w:vAlign w:val="center"/>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net loss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96" w:type="dxa"/>
            <w:tcBorders/>
            <w:vAlign w:val="center"/>
          </w:tcPr>
          <w:p>
            <w:pPr>
              <w:pStyle w:val="TableContents"/>
              <w:bidi w:val="0"/>
              <w:spacing w:before="0" w:after="0"/>
              <w:jc w:val="left"/>
              <w:rPr>
                <w:sz w:val="20"/>
              </w:rPr>
            </w:pPr>
            <w:r>
              <w:rPr>
                <w:sz w:val="20"/>
              </w:rPr>
              <w:t>)</w:t>
            </w:r>
          </w:p>
        </w:tc>
        <w:tc>
          <w:tcPr>
            <w:tcW w:w="144" w:type="dxa"/>
            <w:tcBorders/>
            <w:vAlign w:val="center"/>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(1,967</w:t>
            </w:r>
          </w:p>
        </w:tc>
        <w:tc>
          <w:tcPr>
            <w:tcW w:w="114" w:type="dxa"/>
            <w:tcBorders/>
            <w:vAlign w:val="center"/>
          </w:tcPr>
          <w:p>
            <w:pPr>
              <w:pStyle w:val="TableContents"/>
              <w:bidi w:val="0"/>
              <w:spacing w:before="0" w:after="0"/>
              <w:jc w:val="left"/>
              <w:rPr>
                <w:sz w:val="20"/>
              </w:rPr>
            </w:pPr>
            <w:r>
              <w:rPr>
                <w:sz w:val="20"/>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Number of shares used in computing GAAP diluted loss per share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19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23,955,767 </w:t>
            </w:r>
          </w:p>
        </w:tc>
        <w:tc>
          <w:tcPr>
            <w:tcW w:w="96" w:type="dxa"/>
            <w:tcBorders/>
            <w:shd w:fill="CCEEFF" w:val="clear"/>
            <w:vAlign w:val="bottom"/>
          </w:tcPr>
          <w:p>
            <w:pPr>
              <w:pStyle w:val="TableContents"/>
              <w:bidi w:val="0"/>
              <w:spacing w:before="0" w:after="283"/>
              <w:jc w:val="left"/>
              <w:rPr/>
            </w:pPr>
            <w:r>
              <w:rPr/>
            </w:r>
          </w:p>
        </w:tc>
        <w:tc>
          <w:tcPr>
            <w:tcW w:w="144" w:type="dxa"/>
            <w:tcBorders/>
            <w:shd w:fill="CCEEFF" w:val="clear"/>
            <w:vAlign w:val="bottom"/>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265" w:type="dxa"/>
            <w:tcBorders/>
            <w:shd w:fill="CCEEFF" w:val="clear"/>
            <w:vAlign w:val="bottom"/>
          </w:tcPr>
          <w:p>
            <w:pPr>
              <w:pStyle w:val="TableContents"/>
              <w:bidi w:val="0"/>
              <w:spacing w:before="0" w:after="0"/>
              <w:ind w:left="0" w:right="0" w:hanging="0"/>
              <w:jc w:val="right"/>
              <w:rPr/>
            </w:pPr>
            <w:r>
              <w:rPr/>
              <w:t> </w:t>
            </w:r>
            <w:r>
              <w:rPr>
                <w:rFonts w:ascii="times new roman;times" w:hAnsi="times new roman;times"/>
                <w:sz w:val="20"/>
              </w:rPr>
              <w:t xml:space="preserve">23,897,305 </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GAAP diluted loss per share</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(0.03</w:t>
            </w:r>
          </w:p>
        </w:tc>
        <w:tc>
          <w:tcPr>
            <w:tcW w:w="96" w:type="dxa"/>
            <w:tcBorders/>
            <w:vAlign w:val="center"/>
          </w:tcPr>
          <w:p>
            <w:pPr>
              <w:pStyle w:val="TableContents"/>
              <w:bidi w:val="0"/>
              <w:spacing w:before="0" w:after="0"/>
              <w:jc w:val="left"/>
              <w:rPr>
                <w:sz w:val="20"/>
              </w:rPr>
            </w:pPr>
            <w:r>
              <w:rPr>
                <w:sz w:val="20"/>
              </w:rPr>
              <w:t>)</w:t>
            </w:r>
          </w:p>
        </w:tc>
        <w:tc>
          <w:tcPr>
            <w:tcW w:w="144" w:type="dxa"/>
            <w:tcBorders/>
            <w:vAlign w:val="center"/>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(0.08</w:t>
            </w:r>
          </w:p>
        </w:tc>
        <w:tc>
          <w:tcPr>
            <w:tcW w:w="114" w:type="dxa"/>
            <w:tcBorders/>
            <w:vAlign w:val="center"/>
          </w:tcPr>
          <w:p>
            <w:pPr>
              <w:pStyle w:val="TableContents"/>
              <w:bidi w:val="0"/>
              <w:spacing w:before="0" w:after="0"/>
              <w:jc w:val="left"/>
              <w:rPr>
                <w:sz w:val="20"/>
              </w:rPr>
            </w:pPr>
            <w:r>
              <w:rPr>
                <w:sz w:val="20"/>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net loss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(2,041</w:t>
            </w:r>
          </w:p>
        </w:tc>
        <w:tc>
          <w:tcPr>
            <w:tcW w:w="96" w:type="dxa"/>
            <w:tcBorders/>
            <w:shd w:fill="CCEEFF" w:val="clear"/>
            <w:vAlign w:val="center"/>
          </w:tcPr>
          <w:p>
            <w:pPr>
              <w:pStyle w:val="TableContents"/>
              <w:bidi w:val="0"/>
              <w:spacing w:before="0" w:after="0"/>
              <w:jc w:val="left"/>
              <w:rPr>
                <w:sz w:val="20"/>
              </w:rPr>
            </w:pPr>
            <w:r>
              <w:rPr>
                <w:sz w:val="20"/>
              </w:rPr>
              <w:t>)</w:t>
            </w:r>
          </w:p>
        </w:tc>
        <w:tc>
          <w:tcPr>
            <w:tcW w:w="144" w:type="dxa"/>
            <w:tcBorders/>
            <w:shd w:fill="CCEEFF" w:val="clear"/>
            <w:vAlign w:val="center"/>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1,262</w:t>
            </w:r>
          </w:p>
        </w:tc>
        <w:tc>
          <w:tcPr>
            <w:tcW w:w="114" w:type="dxa"/>
            <w:tcBorders/>
            <w:shd w:fill="CCEEFF" w:val="clear"/>
            <w:vAlign w:val="center"/>
          </w:tcPr>
          <w:p>
            <w:pPr>
              <w:pStyle w:val="TableContents"/>
              <w:bidi w:val="0"/>
              <w:spacing w:before="0" w:after="0"/>
              <w:jc w:val="left"/>
              <w:rPr>
                <w:sz w:val="20"/>
              </w:rPr>
            </w:pPr>
            <w:r>
              <w:rPr>
                <w:sz w:val="20"/>
              </w:rPr>
              <w:t>)</w:t>
            </w:r>
          </w:p>
        </w:tc>
      </w:tr>
      <w:tr>
        <w:trPr/>
        <w:tc>
          <w:tcPr>
            <w:tcW w:w="6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Number of shares used in computing Non-GAAP diluted loss per share</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23,955,767 </w:t>
            </w:r>
          </w:p>
        </w:tc>
        <w:tc>
          <w:tcPr>
            <w:tcW w:w="96" w:type="dxa"/>
            <w:tcBorders/>
            <w:vAlign w:val="bottom"/>
          </w:tcPr>
          <w:p>
            <w:pPr>
              <w:pStyle w:val="TableContents"/>
              <w:bidi w:val="0"/>
              <w:spacing w:before="0" w:after="283"/>
              <w:jc w:val="left"/>
              <w:rPr/>
            </w:pPr>
            <w:r>
              <w:rPr/>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23,897,305 </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Non-GAAP diluted loss per share</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0.09</w:t>
            </w:r>
          </w:p>
        </w:tc>
        <w:tc>
          <w:tcPr>
            <w:tcW w:w="96" w:type="dxa"/>
            <w:tcBorders/>
            <w:shd w:fill="CCEEFF" w:val="clear"/>
            <w:vAlign w:val="center"/>
          </w:tcPr>
          <w:p>
            <w:pPr>
              <w:pStyle w:val="TableContents"/>
              <w:bidi w:val="0"/>
              <w:spacing w:before="0" w:after="0"/>
              <w:jc w:val="left"/>
              <w:rPr>
                <w:sz w:val="20"/>
              </w:rPr>
            </w:pPr>
            <w:r>
              <w:rPr>
                <w:sz w:val="20"/>
              </w:rPr>
              <w:t>)</w:t>
            </w:r>
          </w:p>
        </w:tc>
        <w:tc>
          <w:tcPr>
            <w:tcW w:w="144" w:type="dxa"/>
            <w:tcBorders/>
            <w:shd w:fill="CCEEFF" w:val="clear"/>
            <w:vAlign w:val="center"/>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114" w:type="dxa"/>
            <w:tcBorders/>
            <w:shd w:fill="CCEEFF" w:val="clear"/>
            <w:vAlign w:val="center"/>
          </w:tcPr>
          <w:p>
            <w:pPr>
              <w:pStyle w:val="TableContents"/>
              <w:bidi w:val="0"/>
              <w:spacing w:before="0" w:after="0"/>
              <w:jc w:val="left"/>
              <w:rPr>
                <w:sz w:val="20"/>
              </w:rPr>
            </w:pPr>
            <w:r>
              <w:rPr>
                <w:sz w:val="20"/>
              </w:rPr>
              <w:t>)</w:t>
            </w:r>
          </w:p>
        </w:tc>
      </w:tr>
      <w:tr>
        <w:trPr/>
        <w:tc>
          <w:tcPr>
            <w:tcW w:w="6841" w:type="dxa"/>
            <w:tcBorders/>
            <w:vAlign w:val="center"/>
          </w:tcPr>
          <w:p>
            <w:pPr>
              <w:pStyle w:val="TableContents"/>
              <w:bidi w:val="0"/>
              <w:spacing w:before="0" w:after="0"/>
              <w:ind w:left="0" w:right="0" w:hanging="0"/>
              <w:jc w:val="righ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center"/>
          </w:tcPr>
          <w:p>
            <w:pPr>
              <w:pStyle w:val="TableContents"/>
              <w:bidi w:val="0"/>
              <w:spacing w:before="0" w:after="0"/>
              <w:ind w:left="0" w:right="0" w:hanging="0"/>
              <w:jc w:val="right"/>
              <w:rPr/>
            </w:pPr>
            <w:r>
              <w:rPr/>
              <w:t xml:space="preserve">  </w:t>
            </w:r>
          </w:p>
        </w:tc>
        <w:tc>
          <w:tcPr>
            <w:tcW w:w="96"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center"/>
          </w:tcPr>
          <w:p>
            <w:pPr>
              <w:pStyle w:val="TableContents"/>
              <w:bidi w:val="0"/>
              <w:spacing w:before="0" w:after="0"/>
              <w:ind w:left="0" w:right="0" w:hanging="0"/>
              <w:jc w:val="right"/>
              <w:rPr/>
            </w:pPr>
            <w:r>
              <w:rPr/>
              <w:t xml:space="preserve">  </w:t>
            </w:r>
          </w:p>
        </w:tc>
        <w:tc>
          <w:tcPr>
            <w:tcW w:w="114" w:type="dxa"/>
            <w:tcBorders/>
            <w:vAlign w:val="center"/>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net loss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(832</w:t>
            </w:r>
          </w:p>
        </w:tc>
        <w:tc>
          <w:tcPr>
            <w:tcW w:w="96" w:type="dxa"/>
            <w:tcBorders/>
            <w:shd w:fill="CCEEFF" w:val="clear"/>
            <w:vAlign w:val="center"/>
          </w:tcPr>
          <w:p>
            <w:pPr>
              <w:pStyle w:val="TableContents"/>
              <w:bidi w:val="0"/>
              <w:spacing w:before="0" w:after="0"/>
              <w:jc w:val="left"/>
              <w:rPr>
                <w:sz w:val="20"/>
              </w:rPr>
            </w:pPr>
            <w:r>
              <w:rPr>
                <w:sz w:val="20"/>
              </w:rPr>
              <w:t>)</w:t>
            </w:r>
          </w:p>
        </w:tc>
        <w:tc>
          <w:tcPr>
            <w:tcW w:w="144" w:type="dxa"/>
            <w:tcBorders/>
            <w:shd w:fill="CCEEFF" w:val="clear"/>
            <w:vAlign w:val="center"/>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(1,967</w:t>
            </w:r>
          </w:p>
        </w:tc>
        <w:tc>
          <w:tcPr>
            <w:tcW w:w="114" w:type="dxa"/>
            <w:tcBorders/>
            <w:shd w:fill="CCEEFF" w:val="clear"/>
            <w:vAlign w:val="center"/>
          </w:tcPr>
          <w:p>
            <w:pPr>
              <w:pStyle w:val="TableContents"/>
              <w:bidi w:val="0"/>
              <w:spacing w:before="0" w:after="0"/>
              <w:jc w:val="left"/>
              <w:rPr>
                <w:sz w:val="20"/>
              </w:rPr>
            </w:pPr>
            <w:r>
              <w:rPr>
                <w:sz w:val="20"/>
              </w:rPr>
              <w:t>)</w:t>
            </w:r>
          </w:p>
        </w:tc>
      </w:tr>
      <w:tr>
        <w:trPr/>
        <w:tc>
          <w:tcPr>
            <w:tcW w:w="6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 </w:t>
            </w:r>
          </w:p>
        </w:tc>
        <w:tc>
          <w:tcPr>
            <w:tcW w:w="96" w:type="dxa"/>
            <w:tcBorders/>
            <w:vAlign w:val="bottom"/>
          </w:tcPr>
          <w:p>
            <w:pPr>
              <w:pStyle w:val="TableContents"/>
              <w:bidi w:val="0"/>
              <w:spacing w:before="0" w:after="283"/>
              <w:jc w:val="left"/>
              <w:rPr/>
            </w:pPr>
            <w:r>
              <w:rPr/>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35</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283"/>
              <w:jc w:val="left"/>
              <w:rPr>
                <w:rFonts w:ascii="times new roman;times" w:hAnsi="times new roman;times"/>
                <w:sz w:val="20"/>
                <w:lang w:val="en-US"/>
              </w:rPr>
            </w:pPr>
            <w:r>
              <w:rPr>
                <w:rFonts w:ascii="times new roman;times" w:hAnsi="times new roman;times"/>
                <w:sz w:val="20"/>
                <w:lang w:val="en-US"/>
              </w:rPr>
              <w:t xml:space="preserve">Interest expense </w:t>
            </w:r>
          </w:p>
        </w:tc>
        <w:tc>
          <w:tcPr>
            <w:tcW w:w="144" w:type="dxa"/>
            <w:tcBorders/>
            <w:shd w:fill="CCEEFF" w:val="clear"/>
            <w:vAlign w:val="center"/>
          </w:tcPr>
          <w:p>
            <w:pPr>
              <w:pStyle w:val="TableContents"/>
              <w:bidi w:val="0"/>
              <w:spacing w:before="0" w:after="283"/>
              <w:jc w:val="left"/>
              <w:rPr/>
            </w:pPr>
            <w:r>
              <w:rPr/>
            </w:r>
          </w:p>
        </w:tc>
        <w:tc>
          <w:tcPr>
            <w:tcW w:w="204" w:type="dxa"/>
            <w:tcBorders/>
            <w:shd w:fill="CCEEFF" w:val="clear"/>
            <w:vAlign w:val="center"/>
          </w:tcPr>
          <w:p>
            <w:pPr>
              <w:pStyle w:val="TableContents"/>
              <w:bidi w:val="0"/>
              <w:spacing w:before="0" w:after="283"/>
              <w:jc w:val="left"/>
              <w:rPr/>
            </w:pPr>
            <w:r>
              <w:rPr/>
            </w:r>
          </w:p>
        </w:tc>
        <w:tc>
          <w:tcPr>
            <w:tcW w:w="1193" w:type="dxa"/>
            <w:tcBorders/>
            <w:shd w:fill="CCEEFF" w:val="clear"/>
            <w:vAlign w:val="center"/>
          </w:tcPr>
          <w:p>
            <w:pPr>
              <w:pStyle w:val="TableContents"/>
              <w:bidi w:val="0"/>
              <w:spacing w:before="0" w:after="283"/>
              <w:jc w:val="right"/>
              <w:rPr>
                <w:sz w:val="20"/>
              </w:rPr>
            </w:pPr>
            <w:r>
              <w:rPr>
                <w:sz w:val="20"/>
              </w:rPr>
              <w:t>292</w:t>
            </w:r>
          </w:p>
        </w:tc>
        <w:tc>
          <w:tcPr>
            <w:tcW w:w="96" w:type="dxa"/>
            <w:tcBorders/>
            <w:shd w:fill="CCEEFF" w:val="clear"/>
            <w:vAlign w:val="center"/>
          </w:tcPr>
          <w:p>
            <w:pPr>
              <w:pStyle w:val="TableContents"/>
              <w:bidi w:val="0"/>
              <w:spacing w:before="0" w:after="283"/>
              <w:jc w:val="left"/>
              <w:rPr/>
            </w:pPr>
            <w:r>
              <w:rPr/>
            </w:r>
          </w:p>
        </w:tc>
        <w:tc>
          <w:tcPr>
            <w:tcW w:w="144" w:type="dxa"/>
            <w:tcBorders/>
            <w:shd w:fill="CCEEFF" w:val="clear"/>
            <w:vAlign w:val="center"/>
          </w:tcPr>
          <w:p>
            <w:pPr>
              <w:pStyle w:val="TableContents"/>
              <w:bidi w:val="0"/>
              <w:spacing w:before="0" w:after="283"/>
              <w:jc w:val="left"/>
              <w:rPr/>
            </w:pPr>
            <w:r>
              <w:rPr/>
            </w:r>
          </w:p>
        </w:tc>
        <w:tc>
          <w:tcPr>
            <w:tcW w:w="204" w:type="dxa"/>
            <w:tcBorders/>
            <w:shd w:fill="CCEEFF" w:val="clear"/>
            <w:vAlign w:val="center"/>
          </w:tcPr>
          <w:p>
            <w:pPr>
              <w:pStyle w:val="TableContents"/>
              <w:bidi w:val="0"/>
              <w:spacing w:before="0" w:after="283"/>
              <w:jc w:val="left"/>
              <w:rPr/>
            </w:pPr>
            <w:r>
              <w:rPr/>
            </w:r>
          </w:p>
        </w:tc>
        <w:tc>
          <w:tcPr>
            <w:tcW w:w="1265" w:type="dxa"/>
            <w:tcBorders/>
            <w:shd w:fill="CCEEFF" w:val="clear"/>
            <w:vAlign w:val="center"/>
          </w:tcPr>
          <w:p>
            <w:pPr>
              <w:pStyle w:val="TableContents"/>
              <w:bidi w:val="0"/>
              <w:spacing w:before="0" w:after="283"/>
              <w:jc w:val="right"/>
              <w:rPr>
                <w:sz w:val="20"/>
              </w:rPr>
            </w:pPr>
            <w:r>
              <w:rPr>
                <w:sz w:val="20"/>
              </w:rPr>
              <w:t>101</w:t>
            </w:r>
          </w:p>
        </w:tc>
        <w:tc>
          <w:tcPr>
            <w:tcW w:w="114" w:type="dxa"/>
            <w:tcBorders/>
            <w:shd w:fill="CCEEFF" w:val="clear"/>
            <w:vAlign w:val="center"/>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Depreciation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54</w:t>
            </w:r>
          </w:p>
        </w:tc>
        <w:tc>
          <w:tcPr>
            <w:tcW w:w="96" w:type="dxa"/>
            <w:tcBorders/>
            <w:vAlign w:val="bottom"/>
          </w:tcPr>
          <w:p>
            <w:pPr>
              <w:pStyle w:val="TableContents"/>
              <w:bidi w:val="0"/>
              <w:spacing w:before="0" w:after="283"/>
              <w:jc w:val="left"/>
              <w:rPr/>
            </w:pPr>
            <w:r>
              <w:rPr/>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76</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193"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118 </w:t>
            </w:r>
          </w:p>
        </w:tc>
        <w:tc>
          <w:tcPr>
            <w:tcW w:w="96" w:type="dxa"/>
            <w:tcBorders/>
            <w:shd w:fill="CCEEFF" w:val="clear"/>
            <w:vAlign w:val="bottom"/>
          </w:tcPr>
          <w:p>
            <w:pPr>
              <w:pStyle w:val="TableContents"/>
              <w:bidi w:val="0"/>
              <w:spacing w:before="0" w:after="283"/>
              <w:jc w:val="left"/>
              <w:rPr/>
            </w:pPr>
            <w:r>
              <w:rPr/>
            </w:r>
          </w:p>
        </w:tc>
        <w:tc>
          <w:tcPr>
            <w:tcW w:w="144" w:type="dxa"/>
            <w:tcBorders/>
            <w:shd w:fill="CCEEFF" w:val="clear"/>
            <w:vAlign w:val="bottom"/>
          </w:tcPr>
          <w:p>
            <w:pPr>
              <w:pStyle w:val="TableContents"/>
              <w:bidi w:val="0"/>
              <w:spacing w:before="0" w:after="0"/>
              <w:ind w:left="0" w:right="0" w:hanging="0"/>
              <w:jc w:val="right"/>
              <w:rPr/>
            </w:pPr>
            <w:r>
              <w:rPr/>
              <w:t xml:space="preserve">  </w:t>
            </w:r>
          </w:p>
        </w:tc>
        <w:tc>
          <w:tcPr>
            <w:tcW w:w="204" w:type="dxa"/>
            <w:tcBorders/>
            <w:shd w:fill="CCEEFF" w:val="clear"/>
            <w:vAlign w:val="center"/>
          </w:tcPr>
          <w:p>
            <w:pPr>
              <w:pStyle w:val="TableContents"/>
              <w:bidi w:val="0"/>
              <w:spacing w:before="0" w:after="0"/>
              <w:ind w:left="0" w:right="0" w:hanging="0"/>
              <w:jc w:val="right"/>
              <w:rPr/>
            </w:pPr>
            <w:r>
              <w:rPr/>
              <w:t xml:space="preserve">  </w:t>
            </w:r>
          </w:p>
        </w:tc>
        <w:tc>
          <w:tcPr>
            <w:tcW w:w="126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670 </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income adjustment</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193" w:type="dxa"/>
            <w:tcBorders/>
            <w:vAlign w:val="bottom"/>
          </w:tcPr>
          <w:p>
            <w:pPr>
              <w:pStyle w:val="TableContents"/>
              <w:bidi w:val="0"/>
              <w:spacing w:before="0" w:after="283"/>
              <w:jc w:val="right"/>
              <w:rPr>
                <w:sz w:val="20"/>
              </w:rPr>
            </w:pPr>
            <w:r>
              <w:rPr>
                <w:sz w:val="20"/>
              </w:rPr>
              <w:t>(1,350</w:t>
            </w:r>
          </w:p>
        </w:tc>
        <w:tc>
          <w:tcPr>
            <w:tcW w:w="96" w:type="dxa"/>
            <w:tcBorders/>
            <w:vAlign w:val="bottom"/>
          </w:tcPr>
          <w:p>
            <w:pPr>
              <w:pStyle w:val="TableContents"/>
              <w:bidi w:val="0"/>
              <w:spacing w:before="0" w:after="283"/>
              <w:jc w:val="left"/>
              <w:rPr>
                <w:sz w:val="20"/>
              </w:rPr>
            </w:pPr>
            <w:r>
              <w:rPr>
                <w:sz w:val="20"/>
              </w:rPr>
              <w:t>)</w:t>
            </w:r>
          </w:p>
        </w:tc>
        <w:tc>
          <w:tcPr>
            <w:tcW w:w="144" w:type="dxa"/>
            <w:tcBorders/>
            <w:vAlign w:val="bottom"/>
          </w:tcPr>
          <w:p>
            <w:pPr>
              <w:pStyle w:val="TableContents"/>
              <w:bidi w:val="0"/>
              <w:spacing w:before="0" w:after="0"/>
              <w:ind w:left="0" w:right="0" w:hanging="0"/>
              <w:jc w:val="right"/>
              <w:rPr/>
            </w:pPr>
            <w:r>
              <w:rPr/>
              <w:t xml:space="preserve">  </w:t>
            </w:r>
          </w:p>
        </w:tc>
        <w:tc>
          <w:tcPr>
            <w:tcW w:w="204" w:type="dxa"/>
            <w:tcBorders/>
            <w:vAlign w:val="center"/>
          </w:tcPr>
          <w:p>
            <w:pPr>
              <w:pStyle w:val="TableContents"/>
              <w:bidi w:val="0"/>
              <w:spacing w:before="0" w:after="0"/>
              <w:ind w:left="0" w:right="0" w:hanging="0"/>
              <w:jc w:val="right"/>
              <w:rPr/>
            </w:pPr>
            <w:r>
              <w:rPr/>
              <w:t xml:space="preserve">  </w:t>
            </w:r>
          </w:p>
        </w:tc>
        <w:tc>
          <w:tcPr>
            <w:tcW w:w="1265" w:type="dxa"/>
            <w:tcBorders/>
            <w:vAlign w:val="bottom"/>
          </w:tcPr>
          <w:p>
            <w:pPr>
              <w:pStyle w:val="TableContents"/>
              <w:bidi w:val="0"/>
              <w:spacing w:before="0" w:after="283"/>
              <w:jc w:val="right"/>
              <w:rPr/>
            </w:pPr>
            <w:r>
              <w:rPr/>
              <w:t>—</w:t>
            </w:r>
          </w:p>
        </w:tc>
        <w:tc>
          <w:tcPr>
            <w:tcW w:w="114" w:type="dxa"/>
            <w:tcBorders/>
            <w:vAlign w:val="bottom"/>
          </w:tcPr>
          <w:p>
            <w:pPr>
              <w:pStyle w:val="TableContents"/>
              <w:bidi w:val="0"/>
              <w:spacing w:before="0" w:after="283"/>
              <w:jc w:val="left"/>
              <w:rPr/>
            </w:pPr>
            <w:r>
              <w:rPr/>
            </w:r>
          </w:p>
        </w:tc>
      </w:tr>
      <w:tr>
        <w:trPr/>
        <w:tc>
          <w:tcPr>
            <w:tcW w:w="684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for (benefit from) income taxes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193"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w:t>
            </w:r>
          </w:p>
        </w:tc>
        <w:tc>
          <w:tcPr>
            <w:tcW w:w="96" w:type="dxa"/>
            <w:tcBorders/>
            <w:shd w:fill="CCEEFF" w:val="clear"/>
            <w:vAlign w:val="bottom"/>
          </w:tcPr>
          <w:p>
            <w:pPr>
              <w:pStyle w:val="TableContents"/>
              <w:bidi w:val="0"/>
              <w:spacing w:before="0" w:after="283"/>
              <w:jc w:val="left"/>
              <w:rPr/>
            </w:pPr>
            <w:r>
              <w:rPr/>
            </w:r>
          </w:p>
        </w:tc>
        <w:tc>
          <w:tcPr>
            <w:tcW w:w="144" w:type="dxa"/>
            <w:tcBorders/>
            <w:shd w:fill="CCEEFF" w:val="clear"/>
            <w:vAlign w:val="bottom"/>
          </w:tcPr>
          <w:p>
            <w:pPr>
              <w:pStyle w:val="TableContents"/>
              <w:bidi w:val="0"/>
              <w:spacing w:before="0" w:after="0"/>
              <w:ind w:left="0" w:right="0" w:hanging="0"/>
              <w:jc w:val="right"/>
              <w:rPr/>
            </w:pPr>
            <w:r>
              <w:rPr/>
              <w:t xml:space="preserve">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265"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w:t>
            </w:r>
          </w:p>
        </w:tc>
        <w:tc>
          <w:tcPr>
            <w:tcW w:w="114" w:type="dxa"/>
            <w:tcBorders/>
            <w:shd w:fill="CCEEFF" w:val="clear"/>
            <w:vAlign w:val="bottom"/>
          </w:tcPr>
          <w:p>
            <w:pPr>
              <w:pStyle w:val="TableContents"/>
              <w:bidi w:val="0"/>
              <w:spacing w:before="0" w:after="283"/>
              <w:jc w:val="left"/>
              <w:rPr/>
            </w:pPr>
            <w:r>
              <w:rPr/>
            </w:r>
          </w:p>
        </w:tc>
      </w:tr>
      <w:tr>
        <w:trPr/>
        <w:tc>
          <w:tcPr>
            <w:tcW w:w="6841"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Adjusted EBITDA </w:t>
            </w:r>
          </w:p>
        </w:tc>
        <w:tc>
          <w:tcPr>
            <w:tcW w:w="144" w:type="dxa"/>
            <w:tcBorders/>
            <w:vAlign w:val="center"/>
          </w:tcPr>
          <w:p>
            <w:pPr>
              <w:pStyle w:val="TableContents"/>
              <w:bidi w:val="0"/>
              <w:spacing w:before="0" w:after="0"/>
              <w:ind w:left="0" w:right="0" w:hanging="0"/>
              <w:jc w:val="left"/>
              <w:rPr/>
            </w:pPr>
            <w:r>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193"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(1,678</w:t>
            </w:r>
          </w:p>
        </w:tc>
        <w:tc>
          <w:tcPr>
            <w:tcW w:w="96" w:type="dxa"/>
            <w:tcBorders/>
            <w:vAlign w:val="bottom"/>
          </w:tcPr>
          <w:p>
            <w:pPr>
              <w:pStyle w:val="TableContents"/>
              <w:bidi w:val="0"/>
              <w:spacing w:before="0" w:after="0"/>
              <w:jc w:val="left"/>
              <w:rPr>
                <w:sz w:val="20"/>
              </w:rPr>
            </w:pPr>
            <w:r>
              <w:rPr>
                <w:sz w:val="20"/>
              </w:rPr>
              <w:t>)</w:t>
            </w:r>
          </w:p>
        </w:tc>
        <w:tc>
          <w:tcPr>
            <w:tcW w:w="144" w:type="dxa"/>
            <w:tcBorders/>
            <w:vAlign w:val="center"/>
          </w:tcPr>
          <w:p>
            <w:pPr>
              <w:pStyle w:val="TableContents"/>
              <w:bidi w:val="0"/>
              <w:spacing w:before="0" w:after="0"/>
              <w:ind w:left="0" w:right="0" w:hanging="0"/>
              <w:jc w:val="right"/>
              <w:rPr/>
            </w:pPr>
            <w:r>
              <w:rPr/>
              <w:t xml:space="preserve">  </w:t>
            </w:r>
          </w:p>
        </w:tc>
        <w:tc>
          <w:tcPr>
            <w:tcW w:w="204" w:type="dxa"/>
            <w:tcBorders>
              <w:bottom w:val="double" w:sz="7" w:space="0" w:color="000000"/>
            </w:tcBorders>
            <w:tcMar>
              <w:bottom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65" w:type="dxa"/>
            <w:tcBorders>
              <w:bottom w:val="double" w:sz="7" w:space="0" w:color="000000"/>
            </w:tcBorders>
            <w:tcMar>
              <w:bottom w:w="28"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r>
              <w:rPr>
                <w:rFonts w:ascii="times new roman;times" w:hAnsi="times new roman;times"/>
                <w:sz w:val="20"/>
              </w:rPr>
              <w:t>1,069</w:t>
            </w:r>
          </w:p>
        </w:tc>
        <w:tc>
          <w:tcPr>
            <w:tcW w:w="114" w:type="dxa"/>
            <w:tcBorders/>
            <w:vAlign w:val="center"/>
          </w:tcPr>
          <w:p>
            <w:pPr>
              <w:pStyle w:val="TableContents"/>
              <w:bidi w:val="0"/>
              <w:spacing w:before="0" w:after="0"/>
              <w:jc w:val="left"/>
              <w:rPr>
                <w:sz w:val="20"/>
              </w:rPr>
            </w:pPr>
            <w:r>
              <w:rPr>
                <w:sz w:val="20"/>
              </w:rPr>
              <w:t>)</w:t>
            </w:r>
          </w:p>
        </w:tc>
      </w:tr>
    </w:tbl>
    <w:p>
      <w:pPr>
        <w:pStyle w:val="TextBody"/>
        <w:bidi w:val="0"/>
        <w:spacing w:before="0" w:after="0"/>
        <w:ind w:left="294" w:right="294" w:hanging="0"/>
        <w:jc w:val="center"/>
        <w:rPr/>
      </w:pPr>
      <w:r>
        <w:rPr/>
      </w:r>
    </w:p>
    <w:p>
      <w:pPr>
        <w:pStyle w:val="TextBody"/>
        <w:bidi w:val="0"/>
        <w:spacing w:before="0" w:after="0"/>
        <w:ind w:left="0" w:right="144" w:hanging="0"/>
        <w:jc w:val="both"/>
        <w:rPr>
          <w:rFonts w:ascii="times new roman;times" w:hAnsi="times new roman;times"/>
          <w:b/>
          <w:sz w:val="20"/>
          <w:u w:val="single"/>
          <w:lang w:val="en-US"/>
        </w:rPr>
      </w:pPr>
      <w:r>
        <w:rPr>
          <w:rFonts w:ascii="times new roman;times" w:hAnsi="times new roman;times"/>
          <w:b/>
          <w:sz w:val="20"/>
          <w:u w:val="single"/>
          <w:lang w:val="en-US"/>
        </w:rPr>
        <w:t>Contact:</w:t>
      </w:r>
    </w:p>
    <w:p>
      <w:pPr>
        <w:pStyle w:val="TextBody"/>
        <w:bidi w:val="0"/>
        <w:spacing w:before="0" w:after="0"/>
        <w:ind w:left="0" w:right="144" w:hanging="0"/>
        <w:jc w:val="both"/>
        <w:rPr>
          <w:rFonts w:ascii="times new roman;times" w:hAnsi="times new roman;times"/>
          <w:sz w:val="20"/>
          <w:lang w:val="en-US"/>
        </w:rPr>
      </w:pPr>
      <w:r>
        <w:rPr>
          <w:rFonts w:ascii="times new roman;times" w:hAnsi="times new roman;times"/>
          <w:sz w:val="20"/>
          <w:lang w:val="en-US"/>
        </w:rPr>
        <w:t>Narsi Narayanan</w:t>
      </w:r>
    </w:p>
    <w:p>
      <w:pPr>
        <w:pStyle w:val="TextBody"/>
        <w:bidi w:val="0"/>
        <w:spacing w:before="0" w:after="0"/>
        <w:ind w:left="0" w:right="144" w:hanging="0"/>
        <w:jc w:val="both"/>
        <w:rPr>
          <w:rFonts w:ascii="times new roman;times" w:hAnsi="times new roman;times"/>
          <w:sz w:val="20"/>
          <w:lang w:val="en-US"/>
        </w:rPr>
      </w:pPr>
      <w:r>
        <w:rPr>
          <w:rFonts w:ascii="times new roman;times" w:hAnsi="times new roman;times"/>
          <w:sz w:val="20"/>
          <w:lang w:val="en-US"/>
        </w:rPr>
        <w:t>385-426-0565</w:t>
      </w:r>
    </w:p>
    <w:p>
      <w:pPr>
        <w:pStyle w:val="TextBody"/>
        <w:bidi w:val="0"/>
        <w:spacing w:before="0" w:after="0"/>
        <w:ind w:left="0" w:right="144" w:hanging="0"/>
        <w:jc w:val="both"/>
        <w:rPr>
          <w:rFonts w:ascii="times new roman;times" w:hAnsi="times new roman;times"/>
          <w:sz w:val="20"/>
          <w:u w:val="single"/>
          <w:lang w:val="en-US"/>
        </w:rPr>
      </w:pPr>
      <w:r>
        <w:rPr>
          <w:rFonts w:ascii="times new roman;times" w:hAnsi="times new roman;times"/>
          <w:sz w:val="20"/>
          <w:u w:val="single"/>
          <w:lang w:val="en-US"/>
        </w:rPr>
        <w:t>investor_relations@clearone.com</w:t>
      </w:r>
    </w:p>
    <w:p>
      <w:pPr>
        <w:pStyle w:val="TextBody"/>
        <w:bidi w:val="0"/>
        <w:spacing w:before="0" w:after="0"/>
        <w:ind w:left="0" w:right="144" w:hanging="0"/>
        <w:jc w:val="both"/>
        <w:rPr>
          <w:rFonts w:ascii="times new roman;times" w:hAnsi="times new roman;times"/>
          <w:sz w:val="20"/>
          <w:u w:val="single"/>
          <w:lang w:val="en-US"/>
        </w:rPr>
      </w:pPr>
      <w:r>
        <w:rPr>
          <w:rFonts w:ascii="times new roman;times" w:hAnsi="times new roman;times"/>
          <w:sz w:val="20"/>
          <w:u w:val="single"/>
          <w:lang w:val="en-US"/>
        </w:rPr>
        <w:t>http://investors.clearone.com</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w:t>
            </w:r>
          </w:p>
        </w:tc>
      </w:tr>
    </w:tbl>
    <w:p>
      <w:pPr>
        <w:pStyle w:val="HorizontalLine"/>
        <w:bidi w:val="0"/>
        <w:jc w:val="both"/>
        <w:rPr/>
      </w:pPr>
      <w:r>
        <w:rPr/>
      </w:r>
    </w:p>
    <w:p>
      <w:pPr>
        <w:pStyle w:val="TextBody"/>
        <w:bidi w:val="0"/>
        <w:spacing w:before="0" w:after="0"/>
        <w:ind w:left="0" w:right="0" w:hanging="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2648</Words>
  <Characters>14036</Characters>
  <CharactersWithSpaces>17334</CharactersWithSpaces>
  <Paragraphs>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