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60" w:right="1880" w:hanging="352"/>
        <w:spacing w:after="0" w:line="282"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2017</w:t>
      </w:r>
    </w:p>
    <w:p>
      <w:pPr>
        <w:spacing w:after="0" w:line="165"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1" w:lineRule="exact"/>
        <w:rPr>
          <w:sz w:val="24"/>
          <w:szCs w:val="24"/>
          <w:color w:val="auto"/>
        </w:rPr>
      </w:pPr>
    </w:p>
    <w:p>
      <w:pPr>
        <w:ind w:left="360" w:right="1900" w:hanging="352"/>
        <w:spacing w:after="0" w:line="282" w:lineRule="auto"/>
        <w:tabs>
          <w:tab w:leader="none" w:pos="15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154940</wp:posOffset>
            </wp:positionV>
            <wp:extent cx="1329055"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24892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Utah</w:t>
            </w:r>
          </w:p>
        </w:tc>
        <w:tc>
          <w:tcPr>
            <w:tcW w:w="5460" w:type="dxa"/>
            <w:vAlign w:val="bottom"/>
          </w:tcPr>
          <w:p>
            <w:pPr>
              <w:jc w:val="right"/>
              <w:ind w:right="221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38"/>
        </w:trPr>
        <w:tc>
          <w:tcPr>
            <w:tcW w:w="5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460" w:type="dxa"/>
            <w:vAlign w:val="bottom"/>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7"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ectPr>
          <w:pgSz w:w="11900" w:h="16838" w:orient="portrait"/>
          <w:cols w:equalWidth="0" w:num="3">
            <w:col w:w="6720" w:space="720"/>
            <w:col w:w="2180" w:space="80"/>
            <w:col w:w="1720"/>
          </w:cols>
          <w:pgMar w:left="240" w:top="747"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August 4, 2017 was 8,550,903.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8"/>
          </w:tcPr>
          <w:p>
            <w:pPr>
              <w:jc w:val="center"/>
              <w:ind w:right="440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0000EE"/>
            </w:tcBorders>
            <w:gridSpan w:val="6"/>
            <w:shd w:val="clear" w:color="auto" w:fill="CCEEFF"/>
          </w:tcPr>
          <w:p>
            <w:pPr>
              <w:jc w:val="cente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60" w:type="dxa"/>
            <w:vAlign w:val="bottom"/>
            <w:tcBorders>
              <w:bottom w:val="single" w:sz="8" w:color="CCEEFF"/>
            </w:tcBorders>
            <w:gridSpan w:val="5"/>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66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80" w:type="dxa"/>
            <w:vAlign w:val="bottom"/>
            <w:gridSpan w:val="20"/>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June 30, 2017 and December 31, 2016</w:t>
              </w:r>
            </w:hyperlink>
          </w:p>
        </w:tc>
        <w:tc>
          <w:tcPr>
            <w:tcW w:w="8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80" w:type="dxa"/>
            <w:vAlign w:val="bottom"/>
            <w:gridSpan w:val="20"/>
          </w:tcPr>
          <w:p>
            <w:pPr>
              <w:spacing w:after="0" w:line="17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Condensed Consolidated Statements of Operations and Comprehensive Income (Loss) for the three and six months</w:t>
              </w:r>
            </w:hyperlink>
          </w:p>
        </w:tc>
        <w:tc>
          <w:tcPr>
            <w:tcW w:w="8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June 30, 2017 and 2016</w:t>
              </w:r>
            </w:hyperlink>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80" w:type="dxa"/>
            <w:vAlign w:val="bottom"/>
            <w:gridSpan w:val="20"/>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 for the six months ended June 30, 2017 and 2016</w:t>
              </w:r>
            </w:hyperlink>
          </w:p>
        </w:tc>
        <w:tc>
          <w:tcPr>
            <w:tcW w:w="8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80" w:type="dxa"/>
            <w:vAlign w:val="bottom"/>
            <w:gridSpan w:val="2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Notes to Condensed Consolidated Financial Statements</w:t>
              </w:r>
            </w:hyperlink>
          </w:p>
        </w:tc>
        <w:tc>
          <w:tcPr>
            <w:tcW w:w="860" w:type="dxa"/>
            <w:vAlign w:val="bottom"/>
          </w:tcPr>
          <w:p>
            <w:pPr>
              <w:jc w:val="center"/>
              <w:ind w:left="1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660" w:type="dxa"/>
            <w:vAlign w:val="bottom"/>
            <w:gridSpan w:val="2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660" w:type="dxa"/>
            <w:vAlign w:val="bottom"/>
            <w:gridSpan w:val="21"/>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660" w:type="dxa"/>
            <w:vAlign w:val="bottom"/>
            <w:gridSpan w:val="21"/>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10"/>
          </w:tcPr>
          <w:p>
            <w:pPr>
              <w:jc w:val="center"/>
              <w:ind w:right="3420"/>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660" w:type="dxa"/>
            <w:vAlign w:val="bottom"/>
            <w:gridSpan w:val="2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660" w:type="dxa"/>
            <w:vAlign w:val="bottom"/>
            <w:gridSpan w:val="2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660" w:type="dxa"/>
            <w:vAlign w:val="bottom"/>
            <w:gridSpan w:val="2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660" w:type="dxa"/>
            <w:vAlign w:val="bottom"/>
            <w:gridSpan w:val="2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660" w:type="dxa"/>
            <w:vAlign w:val="bottom"/>
            <w:gridSpan w:val="2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660" w:type="dxa"/>
            <w:vAlign w:val="bottom"/>
            <w:gridSpan w:val="2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9060" w:type="dxa"/>
            <w:vAlign w:val="bottom"/>
            <w:gridSpan w:val="19"/>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4"/>
          </w:tcPr>
          <w:p>
            <w:pPr>
              <w:jc w:val="center"/>
              <w:ind w:left="4590"/>
              <w:spacing w:after="0"/>
              <w:rPr>
                <w:sz w:val="20"/>
                <w:szCs w:val="20"/>
                <w:color w:val="auto"/>
              </w:rPr>
            </w:pPr>
            <w:r>
              <w:rPr>
                <w:rFonts w:ascii="Arial" w:cs="Arial" w:eastAsia="Arial" w:hAnsi="Arial"/>
                <w:sz w:val="18"/>
                <w:szCs w:val="18"/>
                <w:color w:val="auto"/>
                <w:w w:val="79"/>
              </w:rPr>
              <w:t>1</w:t>
            </w: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41"/>
        </w:trPr>
        <w:tc>
          <w:tcPr>
            <w:tcW w:w="75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320"/>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02"/>
        </w:trPr>
        <w:tc>
          <w:tcPr>
            <w:tcW w:w="7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Receivables, net of allowance for doubtful accounts of $200 and $187, as of June 30, 2017 and</w:t>
            </w: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 respectively</w:t>
            </w:r>
          </w:p>
        </w:tc>
        <w:tc>
          <w:tcPr>
            <w:tcW w:w="12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Inventories</w:t>
            </w:r>
          </w:p>
        </w:tc>
        <w:tc>
          <w:tcPr>
            <w:tcW w:w="1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17,099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3,280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38,617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19,726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21,365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12,724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84,743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1700"/>
              <w:spacing w:after="0"/>
              <w:rPr>
                <w:sz w:val="20"/>
                <w:szCs w:val="20"/>
                <w:color w:val="auto"/>
              </w:rPr>
            </w:pPr>
            <w:r>
              <w:rPr>
                <w:rFonts w:ascii="Arial" w:cs="Arial" w:eastAsia="Arial" w:hAnsi="Arial"/>
                <w:sz w:val="18"/>
                <w:szCs w:val="18"/>
                <w:b w:val="1"/>
                <w:bCs w:val="1"/>
                <w:color w:val="auto"/>
              </w:rPr>
              <w:t>LIABILITIES AND SHAREHOLDERS’ EQUITY</w:t>
            </w: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Accounts payable</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4,979</w:t>
            </w:r>
          </w:p>
        </w:tc>
        <w:tc>
          <w:tcPr>
            <w:tcW w:w="200" w:type="dxa"/>
            <w:vAlign w:val="bottom"/>
          </w:tcPr>
          <w:p>
            <w:pPr>
              <w:spacing w:after="0"/>
              <w:rPr>
                <w:sz w:val="18"/>
                <w:szCs w:val="18"/>
                <w:color w:val="auto"/>
              </w:rPr>
            </w:pP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10,953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Deferred rent</w:t>
            </w: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12,299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w w:val="96"/>
              </w:rPr>
              <w:t>Common stock, par value $0.001, 50,000,000 shares authorized, 8,548,716 and 8,812,644 shares</w:t>
            </w: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issued and outstanding as of June 30, 2017 and December 31, 2016 respectively</w:t>
            </w:r>
          </w:p>
        </w:tc>
        <w:tc>
          <w:tcPr>
            <w:tcW w:w="12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47,091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25,427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30,976</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1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72,444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77,449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84,743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4"/>
              </w:rPr>
              <w:t>Three months ended June 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4,242</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4,302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9,242</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2,646</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5,387</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2,322</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4,679</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2,210</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1,567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4,316</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8,638,091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9,112,613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8,702,743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9,154,658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8,638,091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9,362,037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8,702,743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9,512,559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rPr>
              <w:t>Change in unrealized gains (losses) on available-for-sale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securities, net of tax</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income (loss)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(1,288)</w:t>
            </w:r>
          </w:p>
        </w:tc>
        <w:tc>
          <w:tcPr>
            <w:tcW w:w="1240" w:type="dxa"/>
            <w:vAlign w:val="bottom"/>
            <w:gridSpan w:val="2"/>
          </w:tcPr>
          <w:p>
            <w:pPr>
              <w:jc w:val="right"/>
              <w:ind w:right="9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 (used in) operating activities: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rent</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 net</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Write-down of inventory to net realizable value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Tax benefit from exercise of stock options</w:t>
            </w:r>
          </w:p>
        </w:tc>
        <w:tc>
          <w:tcPr>
            <w:tcW w:w="1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(5,801)</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Accounts payable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Income taxes payable</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Proceeds from maturities and sales of marketable securities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(3,051)</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equity-based compensation programs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Tax benefit from equity-based compensation programs</w:t>
            </w:r>
          </w:p>
        </w:tc>
        <w:tc>
          <w:tcPr>
            <w:tcW w:w="1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cancellation of stock options</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Dividend payments</w:t>
            </w:r>
          </w:p>
        </w:tc>
        <w:tc>
          <w:tcPr>
            <w:tcW w:w="1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cancellation of stock</w:t>
            </w:r>
          </w:p>
        </w:tc>
        <w:tc>
          <w:tcPr>
            <w:tcW w:w="1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(3,210)</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1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(4,179</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12,100</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rPr>
              <w:t>Six months ended 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54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9"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30"/>
          <w:szCs w:val="30"/>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2017 and December 31, 2016, the results of operations for the three and six months ended June 30, 2017 and 2016, and the cash flows for the six months ended June 30, 2017 and 2016. The results of operations for the three months ended June 30, 2017 and 2016 are not necessarily indicative of the results for a full-year period. These interim unaudited condensed consolidated financial statements should be read in conjunction with the financial statements included in our Annual Report on Form 10-K for the year ended December 31, 2016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2016. There have been no changes to these policies during the six months ended June 30, 2017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released Accounting Standards Update (ASU) No.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updated standard becomes effective for the Company on January 1, 2018. Early adoption is permitted. The Company has not yet selected a transition method and is currently evaluating the effect that the updated standard will have on the consolidated financial statements.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released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released ASU No. 2016-09, Compensation - Stock Compensation: Improvements to Employee Share-Based Payment Accounting. The standard is intended to simplify several areas of accounting for share-based compensation arrangements, including the income tax impact, classification on the statement of cash flows and forfeitures. ASU 2016-09 was effective for the Company on January 1, 2017. As a result of the adoption of ASU 2016-09, excess tax benefits or deficiencies related to stock-based compensation are now reflected in the Consolidated Statements of Operations as a component of the provision for income taxes, whereas they previously were recognized in additional paid-in capital. In addition, our Consolidated Statements of Cash Flows will now present, on a prospective basis, excess tax benefits as an operating activity. Finally, we have elected to account for forfeitures as they occur, rather than estimate expected forfeitures.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released ASU No. 2016-15, Classification of Certain Cash Receipts and Cash Payments, which addresses eight specific cash flow issues with the objective of reducing the existing diversity in practice. ASU 2016-15 is effective for the Company beginning January 1, 2018 and we are currently evaluating the impact that ASU 2016-15 will have on our consolidated financial statements.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2017, the FASB issued an ASU No. 2017-04, Simplifying the Test for Goodwill Impairment that removes Step 2 of the goodwill impairment test, which requires the assessment of fair value of individual assets and liabilities of a reporting unit to measure goodwill impairments. Goodwill impairment will now be the amount by which a reporting unit's carrying value exceeds its fair value. The accounting standard update will be effective for the Company beginning in the first quarter of fiscal 2020 on a prospective basis, and early adoption is permitted. The Company has not yet selected a transition method and is currently evaluating the effect that the updated standard will have on the consolidated financial statements.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will be effective for The Company beginning January 1, 2018 on a prospective basis, and early adoption is permitted. The Company has not yet selected a transition method and is currently evaluating the effect that the updated standard will have on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and warrants are considered to be potential common stock. The computation of diluted earnings (loss) per share does not assume exercise or conversion of securities that would have an anti-dilutive effect.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4"/>
              </w:rPr>
              <w:t>Three months ended June 30,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955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8,638,091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9,112,613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8,702,743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9,154,568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Dilutive common stock equivalents using treasury stock</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w:t>
            </w: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249,424</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8,638,091</w:t>
            </w:r>
          </w:p>
        </w:tc>
        <w:tc>
          <w:tcPr>
            <w:tcW w:w="34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9,362,037</w:t>
            </w:r>
          </w:p>
        </w:tc>
        <w:tc>
          <w:tcPr>
            <w:tcW w:w="1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8,702,743</w:t>
            </w:r>
          </w:p>
        </w:tc>
        <w:tc>
          <w:tcPr>
            <w:tcW w:w="3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9,512,559</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(0.09)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869,838</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869,471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858,845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2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869,838</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277,195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858,845</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277,195</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153"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June 30, 2017 and December 31,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unrealized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unrealized</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r>
      <w:tr>
        <w:trPr>
          <w:trHeight w:val="241"/>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holding 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holding losses</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fair value</w:t>
            </w: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2017</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18,345</w:t>
            </w:r>
          </w:p>
        </w:tc>
      </w:tr>
      <w:tr>
        <w:trPr>
          <w:trHeight w:val="237"/>
        </w:trPr>
        <w:tc>
          <w:tcPr>
            <w:tcW w:w="458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0"/>
                <w:szCs w:val="20"/>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7,535</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7,528</w:t>
            </w:r>
          </w:p>
        </w:tc>
      </w:tr>
      <w:tr>
        <w:trPr>
          <w:trHeight w:val="230"/>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unrealized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unrealized</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Estimated</w:t>
            </w:r>
          </w:p>
        </w:tc>
      </w:tr>
      <w:tr>
        <w:trPr>
          <w:trHeight w:val="241"/>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holding 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holding losses</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fair value</w:t>
            </w: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19,970</w:t>
            </w:r>
          </w:p>
        </w:tc>
      </w:tr>
      <w:tr>
        <w:trPr>
          <w:trHeight w:val="237"/>
        </w:trPr>
        <w:tc>
          <w:tcPr>
            <w:tcW w:w="458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0"/>
                <w:szCs w:val="20"/>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6,463</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6,425</w:t>
            </w:r>
          </w:p>
        </w:tc>
      </w:tr>
      <w:tr>
        <w:trPr>
          <w:trHeight w:val="230"/>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0"/>
              </w:rPr>
              <w:t>cost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2017</w:t>
            </w: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Due within one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6,141</w:t>
            </w:r>
          </w:p>
        </w:tc>
        <w:tc>
          <w:tcPr>
            <w:tcW w:w="34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6,147</w:t>
            </w:r>
          </w:p>
        </w:tc>
        <w:tc>
          <w:tcPr>
            <w:tcW w:w="80" w:type="dxa"/>
            <w:vAlign w:val="bottom"/>
          </w:tcPr>
          <w:p>
            <w:pPr>
              <w:spacing w:after="0"/>
              <w:rPr>
                <w:sz w:val="18"/>
                <w:szCs w:val="18"/>
                <w:color w:val="auto"/>
              </w:rPr>
            </w:pPr>
          </w:p>
        </w:tc>
      </w:tr>
      <w:tr>
        <w:trPr>
          <w:trHeight w:val="25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19,717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80" w:type="dxa"/>
            <w:vAlign w:val="bottom"/>
            <w:shd w:val="clear" w:color="auto" w:fill="CCEEFF"/>
          </w:tcPr>
          <w:p>
            <w:pPr>
              <w:spacing w:after="0"/>
              <w:rPr>
                <w:sz w:val="21"/>
                <w:szCs w:val="21"/>
                <w:color w:val="auto"/>
              </w:rPr>
            </w:pPr>
          </w:p>
        </w:tc>
      </w:tr>
      <w:tr>
        <w:trPr>
          <w:trHeight w:val="217"/>
        </w:trPr>
        <w:tc>
          <w:tcPr>
            <w:tcW w:w="75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available-for-sale securities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25,858</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in an unrealized loss position as of June 30, 2017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0"/>
              </w:rPr>
              <w:t>Less than 12 months</w:t>
            </w:r>
          </w:p>
        </w:tc>
        <w:tc>
          <w:tcPr>
            <w:tcW w:w="100" w:type="dxa"/>
            <w:vAlign w:val="bottom"/>
          </w:tcPr>
          <w:p>
            <w:pPr>
              <w:spacing w:after="0"/>
              <w:rPr>
                <w:sz w:val="20"/>
                <w:szCs w:val="20"/>
                <w:color w:val="auto"/>
              </w:rPr>
            </w:pPr>
          </w:p>
        </w:tc>
        <w:tc>
          <w:tcPr>
            <w:tcW w:w="20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1"/>
              </w:rPr>
              <w:t>More than 12 months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Gross</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unrealized</w:t>
            </w:r>
          </w:p>
        </w:tc>
        <w:tc>
          <w:tcPr>
            <w:tcW w:w="0" w:type="dxa"/>
            <w:vAlign w:val="bottom"/>
          </w:tcPr>
          <w:p>
            <w:pPr>
              <w:spacing w:after="0"/>
              <w:rPr>
                <w:sz w:val="1"/>
                <w:szCs w:val="1"/>
                <w:color w:val="auto"/>
              </w:rPr>
            </w:pPr>
          </w:p>
        </w:tc>
      </w:tr>
      <w:tr>
        <w:trPr>
          <w:trHeight w:val="216"/>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Estimated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holding</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holding</w:t>
            </w: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holding</w:t>
            </w:r>
          </w:p>
        </w:tc>
        <w:tc>
          <w:tcPr>
            <w:tcW w:w="0" w:type="dxa"/>
            <w:vAlign w:val="bottom"/>
          </w:tcPr>
          <w:p>
            <w:pPr>
              <w:spacing w:after="0"/>
              <w:rPr>
                <w:sz w:val="1"/>
                <w:szCs w:val="1"/>
                <w:color w:val="auto"/>
              </w:rPr>
            </w:pPr>
          </w:p>
        </w:tc>
      </w:tr>
      <w:tr>
        <w:trPr>
          <w:trHeight w:val="241"/>
        </w:trPr>
        <w:tc>
          <w:tcPr>
            <w:tcW w:w="4820" w:type="dxa"/>
            <w:vAlign w:val="bottom"/>
            <w:vMerge w:val="continue"/>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fair value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74"/>
              </w:rPr>
              <w:t>losses</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4"/>
              </w:rPr>
              <w:t>losses</w:t>
            </w:r>
          </w:p>
        </w:tc>
        <w:tc>
          <w:tcPr>
            <w:tcW w:w="12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4"/>
              </w:rPr>
              <w:t>losses</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June 30, 2017</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9,933</w:t>
            </w: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10,849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5,159</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w w:val="79"/>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2017 and December 31, 2016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8"/>
              </w:rPr>
              <w:t>Estimated useful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84"/>
              </w:rPr>
              <w:t>lives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4"/>
          </w:tcPr>
          <w:p>
            <w:pPr>
              <w:ind w:left="60"/>
              <w:spacing w:after="0"/>
              <w:rPr>
                <w:sz w:val="20"/>
                <w:szCs w:val="20"/>
                <w:color w:val="auto"/>
              </w:rPr>
            </w:pPr>
            <w:r>
              <w:rPr>
                <w:rFonts w:ascii="Arial" w:cs="Arial" w:eastAsia="Arial" w:hAnsi="Arial"/>
                <w:sz w:val="18"/>
                <w:szCs w:val="18"/>
                <w:b w:val="1"/>
                <w:bCs w:val="1"/>
                <w:color w:val="auto"/>
              </w:rPr>
              <w:t>June 30, 2017</w:t>
            </w:r>
          </w:p>
        </w:tc>
        <w:tc>
          <w:tcPr>
            <w:tcW w:w="160" w:type="dxa"/>
            <w:vAlign w:val="bottom"/>
          </w:tcPr>
          <w:p>
            <w:pPr>
              <w:spacing w:after="0"/>
              <w:rPr>
                <w:sz w:val="24"/>
                <w:szCs w:val="24"/>
                <w:color w:val="auto"/>
              </w:rPr>
            </w:pPr>
          </w:p>
        </w:tc>
        <w:tc>
          <w:tcPr>
            <w:tcW w:w="20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December 31, 2016</w:t>
            </w:r>
          </w:p>
        </w:tc>
      </w:tr>
      <w:tr>
        <w:trPr>
          <w:trHeight w:val="21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1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5"/>
            <w:shd w:val="clear" w:color="auto" w:fill="CCEEFF"/>
          </w:tcPr>
          <w:p>
            <w:pPr>
              <w:jc w:val="center"/>
              <w:ind w:right="460"/>
              <w:spacing w:after="0"/>
              <w:rPr>
                <w:sz w:val="20"/>
                <w:szCs w:val="20"/>
                <w:color w:val="auto"/>
              </w:rPr>
            </w:pPr>
            <w:r>
              <w:rPr>
                <w:rFonts w:ascii="Arial" w:cs="Arial" w:eastAsia="Arial" w:hAnsi="Arial"/>
                <w:sz w:val="18"/>
                <w:szCs w:val="18"/>
                <w:color w:val="auto"/>
                <w:w w:val="89"/>
              </w:rPr>
              <w:t>5 to 7 years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center"/>
              <w:ind w:right="580"/>
              <w:spacing w:after="0"/>
              <w:rPr>
                <w:sz w:val="20"/>
                <w:szCs w:val="20"/>
                <w:color w:val="auto"/>
              </w:rPr>
            </w:pPr>
            <w:r>
              <w:rPr>
                <w:rFonts w:ascii="Arial" w:cs="Arial" w:eastAsia="Arial" w:hAnsi="Arial"/>
                <w:sz w:val="18"/>
                <w:szCs w:val="18"/>
                <w:color w:val="auto"/>
                <w:w w:val="86"/>
              </w:rPr>
              <w:t>10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6,138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6,010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6"/>
            <w:shd w:val="clear" w:color="auto" w:fill="CCEEFF"/>
          </w:tcPr>
          <w:p>
            <w:pPr>
              <w:jc w:val="center"/>
              <w:ind w:right="340"/>
              <w:spacing w:after="0"/>
              <w:rPr>
                <w:sz w:val="20"/>
                <w:szCs w:val="20"/>
                <w:color w:val="auto"/>
              </w:rPr>
            </w:pPr>
            <w:r>
              <w:rPr>
                <w:rFonts w:ascii="Arial" w:cs="Arial" w:eastAsia="Arial" w:hAnsi="Arial"/>
                <w:sz w:val="18"/>
                <w:szCs w:val="18"/>
                <w:color w:val="auto"/>
                <w:w w:val="88"/>
              </w:rPr>
              <w:t>3 to 15 years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4,341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4,341</w:t>
            </w: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5"/>
          </w:tcPr>
          <w:p>
            <w:pPr>
              <w:jc w:val="center"/>
              <w:ind w:right="460"/>
              <w:spacing w:after="0"/>
              <w:rPr>
                <w:sz w:val="20"/>
                <w:szCs w:val="20"/>
                <w:color w:val="auto"/>
              </w:rPr>
            </w:pPr>
            <w:r>
              <w:rPr>
                <w:rFonts w:ascii="Arial" w:cs="Arial" w:eastAsia="Arial" w:hAnsi="Arial"/>
                <w:sz w:val="18"/>
                <w:szCs w:val="18"/>
                <w:color w:val="auto"/>
                <w:w w:val="89"/>
              </w:rPr>
              <w:t>3 to 5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3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1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11,358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(6,021)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8"/>
                <w:szCs w:val="18"/>
                <w:color w:val="auto"/>
              </w:rPr>
              <w:t>(5,553)</w:t>
            </w:r>
          </w:p>
        </w:tc>
      </w:tr>
      <w:tr>
        <w:trPr>
          <w:trHeight w:val="230"/>
        </w:trPr>
        <w:tc>
          <w:tcPr>
            <w:tcW w:w="3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620" w:type="dxa"/>
            <w:vAlign w:val="bottom"/>
            <w:gridSpan w:val="15"/>
          </w:tcPr>
          <w:p>
            <w:pPr>
              <w:spacing w:after="0"/>
              <w:rPr>
                <w:sz w:val="20"/>
                <w:szCs w:val="20"/>
                <w:color w:val="auto"/>
              </w:rPr>
            </w:pPr>
            <w:r>
              <w:rPr>
                <w:rFonts w:ascii="Arial" w:cs="Arial" w:eastAsia="Arial" w:hAnsi="Arial"/>
                <w:sz w:val="18"/>
                <w:szCs w:val="18"/>
                <w:color w:val="auto"/>
                <w:w w:val="90"/>
              </w:rPr>
              <w:t>The amortization of intangible assets for the three months ended June 30, 2017 and 2016 was as follows: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720" w:type="dxa"/>
            <w:vAlign w:val="bottom"/>
          </w:tcPr>
          <w:p>
            <w:pPr>
              <w:spacing w:after="0"/>
              <w:rPr>
                <w:sz w:val="24"/>
                <w:szCs w:val="24"/>
                <w:color w:val="auto"/>
              </w:rPr>
            </w:pPr>
          </w:p>
        </w:tc>
        <w:tc>
          <w:tcPr>
            <w:tcW w:w="3400" w:type="dxa"/>
            <w:vAlign w:val="bottom"/>
            <w:gridSpan w:val="11"/>
          </w:tcPr>
          <w:p>
            <w:pPr>
              <w:ind w:left="48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6"/>
          </w:tcPr>
          <w:p>
            <w:pPr>
              <w:ind w:left="60"/>
              <w:spacing w:after="0"/>
              <w:rPr>
                <w:sz w:val="20"/>
                <w:szCs w:val="20"/>
                <w:color w:val="auto"/>
              </w:rPr>
            </w:pPr>
            <w:r>
              <w:rPr>
                <w:rFonts w:ascii="Arial" w:cs="Arial" w:eastAsia="Arial" w:hAnsi="Arial"/>
                <w:sz w:val="18"/>
                <w:szCs w:val="18"/>
                <w:b w:val="1"/>
                <w:bCs w:val="1"/>
                <w:color w:val="auto"/>
                <w:w w:val="91"/>
              </w:rPr>
              <w:t>Six months ended June 30,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72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48"/>
        </w:trPr>
        <w:tc>
          <w:tcPr>
            <w:tcW w:w="5860" w:type="dxa"/>
            <w:vAlign w:val="bottom"/>
            <w:gridSpan w:val="8"/>
          </w:tcPr>
          <w:p>
            <w:pPr>
              <w:spacing w:after="0"/>
              <w:rPr>
                <w:sz w:val="20"/>
                <w:szCs w:val="20"/>
                <w:color w:val="auto"/>
              </w:rPr>
            </w:pPr>
            <w:r>
              <w:rPr>
                <w:rFonts w:ascii="Arial" w:cs="Arial" w:eastAsia="Arial" w:hAnsi="Arial"/>
                <w:sz w:val="18"/>
                <w:szCs w:val="18"/>
                <w:color w:val="auto"/>
                <w:w w:val="96"/>
              </w:rPr>
              <w:t>The estimated future amortization expense of intangible assets is as follows: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2017 (remainder)</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2018</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2020</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June 30, 2017 and December 31, 2016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ind w:left="100"/>
              <w:spacing w:after="0"/>
              <w:rPr>
                <w:sz w:val="20"/>
                <w:szCs w:val="20"/>
                <w:color w:val="auto"/>
              </w:rPr>
            </w:pPr>
            <w:r>
              <w:rPr>
                <w:rFonts w:ascii="Arial" w:cs="Arial" w:eastAsia="Arial" w:hAnsi="Arial"/>
                <w:sz w:val="18"/>
                <w:szCs w:val="18"/>
                <w:b w:val="1"/>
                <w:bCs w:val="1"/>
                <w:color w:val="auto"/>
              </w:rPr>
              <w:t>As of</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2017</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2016</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2,291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2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9,086</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Borders>
              <w:top w:val="single" w:sz="8" w:color="CCEEFF"/>
              <w:bottom w:val="single" w:sz="8" w:color="CCEEFF"/>
            </w:tcBorders>
          </w:tcPr>
          <w:p>
            <w:pPr>
              <w:spacing w:after="0"/>
              <w:rPr>
                <w:sz w:val="22"/>
                <w:szCs w:val="22"/>
                <w:color w:val="auto"/>
              </w:rPr>
            </w:pPr>
          </w:p>
        </w:tc>
        <w:tc>
          <w:tcPr>
            <w:tcW w:w="21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17,099</w:t>
            </w:r>
          </w:p>
        </w:tc>
        <w:tc>
          <w:tcPr>
            <w:tcW w:w="1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80" w:type="dxa"/>
            <w:vAlign w:val="bottom"/>
            <w:tcBorders>
              <w:top w:val="single" w:sz="8" w:color="CCEEFF"/>
              <w:bottom w:val="single" w:sz="8" w:color="CCEEFF"/>
            </w:tcBorders>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Long-term:</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1,065</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finished goods do not include distributor channel inventories in the amounts of approximately $1,511 and $1,530 as of June 30, 2017 and December 31, 2016, respectively. Distributor channel inventories represent inventories at distributors and other customers where revenue recognition criteria have not yet been achieved.</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loss incurred on valuation of inventory at lower of cost or market value and write-off of obsolete inventory during the three months ended June 30, 2016 was $11. During the three months ended June 30, 2017 loss incurred on valuation of inventory at lower of cost or market value was $55.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1998 Incentive Plan (the “1998 Plan”) was the Company’s primary plan through November 2007. Under this plan shares of common stock were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March 2002, 1,248,250 options were granted that would cliff vest after 6.0 years; however, such vesting was accelerated for 300,494 of these options upon meeting certain earnings per share goals through the fiscal year ended June 30, 2005.</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2007 Equity Incentive Plan (the “2007 Plan”)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Of the options granted subsequent to March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June 30, 2017 had contractual lives of ten years.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1998 Plan, 2,500,000 shares were authorized for grant. As of June 30, 2017, there were 50,000 options outstanding under the 1998 Plan, which includes the cliff vesting and 3 or 4-year vesting options discussed above. All 50,000 of these options were subsequently exercised on July 11, 2017.</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there were 791,171 options outstanding under the 2007 Plan. As of June 30, 2017, the 2007 Plan had 728,556 authorized unissued options, while there were no options remaining that could be granted under the 1998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six months ended June 30,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Number of 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850,232</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105,000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260" w:type="dxa"/>
            <w:vAlign w:val="bottom"/>
            <w:gridSpan w:val="2"/>
          </w:tcPr>
          <w:p>
            <w:pPr>
              <w:jc w:val="right"/>
              <w:ind w:right="240"/>
              <w:spacing w:after="0"/>
              <w:rPr>
                <w:sz w:val="20"/>
                <w:szCs w:val="20"/>
                <w:color w:val="auto"/>
              </w:rPr>
            </w:pPr>
            <w:r>
              <w:rPr>
                <w:rFonts w:ascii="Arial" w:cs="Arial" w:eastAsia="Arial" w:hAnsi="Arial"/>
                <w:sz w:val="18"/>
                <w:szCs w:val="18"/>
                <w:color w:val="auto"/>
              </w:rPr>
              <w:t>(107,042)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2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2260" w:type="dxa"/>
            <w:vAlign w:val="bottom"/>
            <w:gridSpan w:val="2"/>
          </w:tcPr>
          <w:p>
            <w:pPr>
              <w:jc w:val="right"/>
              <w:ind w:right="240"/>
              <w:spacing w:after="0"/>
              <w:rPr>
                <w:sz w:val="20"/>
                <w:szCs w:val="20"/>
                <w:color w:val="auto"/>
              </w:rPr>
            </w:pPr>
            <w:r>
              <w:rPr>
                <w:rFonts w:ascii="Arial" w:cs="Arial" w:eastAsia="Arial" w:hAnsi="Arial"/>
                <w:sz w:val="18"/>
                <w:szCs w:val="18"/>
                <w:color w:val="auto"/>
              </w:rPr>
              <w:t>(5,436)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June 30, 2017</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841,171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end of June 30, 2017</w:t>
            </w: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vMerge w:val="continue"/>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533,598</w:t>
            </w:r>
          </w:p>
        </w:tc>
        <w:tc>
          <w:tcPr>
            <w:tcW w:w="3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the total remaining unrecognized compensation cost related to non-vested stock options, net of forfeitures, was approximately $1,147, which will be recognized over a weighted average period of 2.23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Repurchase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March 11, 2016 to March 17, 2016, the Company offered to repurchase eligible vested options to purchase shares under the 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at an average purchase price of $7.77.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issues shares to employees under the Company’s 2014 Employee Stock Purchase Plan (the “ESPP”). The ESPP was approved by the Company’s shareholders on December 12, 2014. As of June 30, 2017, 471,160 of the originally approved 500,000 shares were available for offerings under the ESPP. Offering periods under the ESPP commence on each January 1 and July 1, and continue for a duration of six months. The ESPP is available to all employees who do not own, or not are deemed to own, shares of stock making up an excess of 5% of the combined voting power of the Company and its subsidiaries. 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482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20"/>
                <w:szCs w:val="2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1040" w:type="dxa"/>
            <w:vAlign w:val="bottom"/>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30"/>
        </w:trPr>
        <w:tc>
          <w:tcPr>
            <w:tcW w:w="48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Board of Directors of the Company authorized the repurchase of up to $10,000 of the Company’s outstanding shares of common stock under a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2017, the Board of Directors of the Company renewed and extended the repurchase program for up to an additional $10,000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Shares Purchased</w:t>
            </w: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as Part of Publicly</w:t>
            </w:r>
          </w:p>
        </w:tc>
        <w:tc>
          <w:tcPr>
            <w:tcW w:w="14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Total Number of</w:t>
            </w:r>
          </w:p>
        </w:tc>
        <w:tc>
          <w:tcPr>
            <w:tcW w:w="260" w:type="dxa"/>
            <w:vAlign w:val="bottom"/>
          </w:tcPr>
          <w:p>
            <w:pPr>
              <w:spacing w:after="0"/>
              <w:rPr>
                <w:sz w:val="18"/>
                <w:szCs w:val="18"/>
                <w:color w:val="auto"/>
              </w:rPr>
            </w:pPr>
          </w:p>
        </w:tc>
        <w:tc>
          <w:tcPr>
            <w:tcW w:w="20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Average Price</w:t>
            </w:r>
          </w:p>
        </w:tc>
        <w:tc>
          <w:tcPr>
            <w:tcW w:w="2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Announced Plans</w:t>
            </w: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the Plans or Programs</w:t>
            </w:r>
          </w:p>
        </w:tc>
      </w:tr>
      <w:tr>
        <w:trPr>
          <w:trHeight w:val="241"/>
        </w:trPr>
        <w:tc>
          <w:tcPr>
            <w:tcW w:w="2540" w:type="dxa"/>
            <w:vAlign w:val="bottom"/>
            <w:gridSpan w:val="2"/>
          </w:tcPr>
          <w:p>
            <w:pPr>
              <w:ind w:left="900"/>
              <w:spacing w:after="0"/>
              <w:rPr>
                <w:sz w:val="20"/>
                <w:szCs w:val="20"/>
                <w:color w:val="auto"/>
              </w:rPr>
            </w:pPr>
            <w:r>
              <w:rPr>
                <w:rFonts w:ascii="Arial" w:cs="Arial" w:eastAsia="Arial" w:hAnsi="Arial"/>
                <w:sz w:val="18"/>
                <w:szCs w:val="18"/>
                <w:b w:val="1"/>
                <w:bCs w:val="1"/>
                <w:color w:val="auto"/>
              </w:rPr>
              <w:t>Period</w:t>
            </w:r>
          </w:p>
        </w:tc>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Shares Purchased</w:t>
            </w:r>
          </w:p>
        </w:tc>
        <w:tc>
          <w:tcPr>
            <w:tcW w:w="260" w:type="dxa"/>
            <w:vAlign w:val="bottom"/>
          </w:tcPr>
          <w:p>
            <w:pPr>
              <w:spacing w:after="0"/>
              <w:rPr>
                <w:sz w:val="20"/>
                <w:szCs w:val="20"/>
                <w:color w:val="auto"/>
              </w:rPr>
            </w:pPr>
          </w:p>
        </w:tc>
        <w:tc>
          <w:tcPr>
            <w:tcW w:w="20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Paid per Share</w:t>
            </w:r>
          </w:p>
        </w:tc>
        <w:tc>
          <w:tcPr>
            <w:tcW w:w="2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or Programs</w:t>
            </w:r>
          </w:p>
        </w:tc>
        <w:tc>
          <w:tcPr>
            <w:tcW w:w="14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 $ millions)</w:t>
            </w:r>
          </w:p>
        </w:tc>
      </w:tr>
      <w:tr>
        <w:trPr>
          <w:trHeight w:val="216"/>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2017</w:t>
            </w:r>
          </w:p>
        </w:tc>
        <w:tc>
          <w:tcPr>
            <w:tcW w:w="2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156,652</w:t>
            </w:r>
          </w:p>
        </w:tc>
        <w:tc>
          <w:tcPr>
            <w:tcW w:w="26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9.93</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156,652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5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2017</w:t>
            </w: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31,826</w:t>
            </w:r>
          </w:p>
        </w:tc>
        <w:tc>
          <w:tcPr>
            <w:tcW w:w="2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9.73</w:t>
            </w:r>
          </w:p>
        </w:tc>
        <w:tc>
          <w:tcPr>
            <w:tcW w:w="2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31,826</w:t>
            </w: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7"/>
        </w:trPr>
        <w:tc>
          <w:tcPr>
            <w:tcW w:w="25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214,866</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320" w:type="dxa"/>
            <w:vAlign w:val="bottom"/>
            <w:tcBorders>
              <w:top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214,866</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2017, the Company declared a stock dividend of $0.07 per share of ClearOne common stock paid May 31, 2017 to shareholders of record as of May 17,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shareholders’ equity during the three and six months ended June 30, 2017 and 2016, respectively: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34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8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7"/>
        </w:trPr>
        <w:tc>
          <w:tcPr>
            <w:tcW w:w="482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880" w:type="dxa"/>
            <w:vAlign w:val="bottom"/>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75,863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repurchased</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(2,282)</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(3,210)</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Options repurchased</w:t>
            </w:r>
          </w:p>
        </w:tc>
        <w:tc>
          <w:tcPr>
            <w:tcW w:w="8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(1,752)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purchase plan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Dividends</w:t>
            </w:r>
          </w:p>
        </w:tc>
        <w:tc>
          <w:tcPr>
            <w:tcW w:w="8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(612)</w:t>
            </w: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(1,051)</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(924)</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Tax benefit - stock option exercise</w:t>
            </w:r>
          </w:p>
        </w:tc>
        <w:tc>
          <w:tcPr>
            <w:tcW w:w="8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or loss on investments, net of tax</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during the period</w:t>
            </w:r>
          </w:p>
        </w:tc>
        <w:tc>
          <w:tcPr>
            <w:tcW w:w="8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w:t>
            </w:r>
          </w:p>
        </w:tc>
        <w:tc>
          <w:tcPr>
            <w:tcW w:w="3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(1,288)</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2,323</w:t>
            </w:r>
          </w:p>
        </w:tc>
        <w:tc>
          <w:tcPr>
            <w:tcW w:w="80" w:type="dxa"/>
            <w:vAlign w:val="bottom"/>
            <w:shd w:val="clear" w:color="auto" w:fill="CCEEFF"/>
          </w:tcPr>
          <w:p>
            <w:pPr>
              <w:spacing w:after="0"/>
              <w:rPr>
                <w:sz w:val="21"/>
                <w:szCs w:val="21"/>
                <w:color w:val="auto"/>
              </w:rPr>
            </w:pPr>
          </w:p>
        </w:tc>
      </w:tr>
      <w:tr>
        <w:trPr>
          <w:trHeight w:val="217"/>
        </w:trPr>
        <w:tc>
          <w:tcPr>
            <w:tcW w:w="48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Balance at end of the period</w:t>
            </w: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72,444</w:t>
            </w: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79,783</w:t>
            </w: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72,444</w:t>
            </w: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79,783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substantial majority of the Company’s financial instruments are valued using quoted prices in active markets or based on other observable inputs. The following table sets forth the fair value of the financial instruments re-measured by the Company as of June 30, 2017 and December 31,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20" w:type="dxa"/>
            <w:vAlign w:val="bottom"/>
            <w:tcBorders>
              <w:top w:val="single" w:sz="8" w:color="CCEEFF"/>
            </w:tcBorders>
            <w:shd w:val="clear" w:color="auto" w:fill="CCEEFF"/>
          </w:tcPr>
          <w:p>
            <w:pPr>
              <w:jc w:val="center"/>
              <w:ind w:right="3670"/>
              <w:spacing w:after="0"/>
              <w:rPr>
                <w:sz w:val="20"/>
                <w:szCs w:val="20"/>
                <w:color w:val="auto"/>
              </w:rPr>
            </w:pPr>
            <w:r>
              <w:rPr>
                <w:rFonts w:ascii="Arial" w:cs="Arial" w:eastAsia="Arial" w:hAnsi="Arial"/>
                <w:sz w:val="18"/>
                <w:szCs w:val="18"/>
                <w:b w:val="1"/>
                <w:bCs w:val="1"/>
                <w:color w:val="auto"/>
                <w:w w:val="90"/>
              </w:rPr>
              <w:t>June 30, 2017</w:t>
            </w: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18,345</w:t>
            </w:r>
          </w:p>
        </w:tc>
        <w:tc>
          <w:tcPr>
            <w:tcW w:w="124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18,345</w:t>
            </w:r>
          </w:p>
        </w:tc>
        <w:tc>
          <w:tcPr>
            <w:tcW w:w="80" w:type="dxa"/>
            <w:vAlign w:val="bottom"/>
          </w:tcPr>
          <w:p>
            <w:pPr>
              <w:spacing w:after="0"/>
              <w:rPr>
                <w:sz w:val="18"/>
                <w:szCs w:val="18"/>
                <w:color w:val="auto"/>
              </w:rPr>
            </w:pPr>
          </w:p>
        </w:tc>
      </w:tr>
      <w:tr>
        <w:trPr>
          <w:trHeight w:val="25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0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7,528</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7,528</w:t>
            </w:r>
          </w:p>
        </w:tc>
        <w:tc>
          <w:tcPr>
            <w:tcW w:w="80" w:type="dxa"/>
            <w:vAlign w:val="bottom"/>
            <w:shd w:val="clear" w:color="auto" w:fill="CCEEFF"/>
          </w:tcPr>
          <w:p>
            <w:pPr>
              <w:spacing w:after="0"/>
              <w:rPr>
                <w:sz w:val="21"/>
                <w:szCs w:val="21"/>
                <w:color w:val="auto"/>
              </w:rPr>
            </w:pPr>
          </w:p>
        </w:tc>
      </w:tr>
      <w:tr>
        <w:trPr>
          <w:trHeight w:val="217"/>
        </w:trPr>
        <w:tc>
          <w:tcPr>
            <w:tcW w:w="4820" w:type="dxa"/>
            <w:vAlign w:val="bottom"/>
            <w:tcBorders>
              <w:top w:val="single" w:sz="8" w:color="CCEEFF"/>
            </w:tcBorders>
          </w:tcPr>
          <w:p>
            <w:pPr>
              <w:jc w:val="center"/>
              <w:ind w:right="3630"/>
              <w:spacing w:after="0"/>
              <w:rPr>
                <w:sz w:val="20"/>
                <w:szCs w:val="20"/>
                <w:color w:val="auto"/>
              </w:rPr>
            </w:pPr>
            <w:r>
              <w:rPr>
                <w:rFonts w:ascii="Arial" w:cs="Arial" w:eastAsia="Arial" w:hAnsi="Arial"/>
                <w:sz w:val="18"/>
                <w:szCs w:val="18"/>
                <w:color w:val="auto"/>
                <w:w w:val="94"/>
              </w:rPr>
              <w:t>Total</w:t>
            </w:r>
          </w:p>
        </w:tc>
        <w:tc>
          <w:tcPr>
            <w:tcW w:w="108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100" w:type="dxa"/>
            <w:vAlign w:val="bottom"/>
          </w:tcPr>
          <w:p>
            <w:pPr>
              <w:jc w:val="right"/>
              <w:ind w:right="57"/>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19,970</w:t>
            </w:r>
          </w:p>
        </w:tc>
        <w:tc>
          <w:tcPr>
            <w:tcW w:w="124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19,970</w:t>
            </w:r>
          </w:p>
        </w:tc>
      </w:tr>
      <w:tr>
        <w:trPr>
          <w:trHeight w:val="25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6,425</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6,425</w:t>
            </w:r>
          </w:p>
        </w:tc>
      </w:tr>
      <w:tr>
        <w:trPr>
          <w:trHeight w:val="217"/>
        </w:trPr>
        <w:tc>
          <w:tcPr>
            <w:tcW w:w="48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26,395</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26,395</w:t>
            </w:r>
          </w:p>
        </w:tc>
        <w:tc>
          <w:tcPr>
            <w:tcW w:w="100" w:type="dxa"/>
            <w:vAlign w:val="bottom"/>
            <w:tcBorders>
              <w:top w:val="single" w:sz="8" w:color="CCEEFF"/>
            </w:tcBorders>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forecasted effective tax benefit rate at June 30, 2017 is 127.0%, a 90% increase from the 37.0% effective tax rate recorded at December 31, 2016. The forecasted effective tax benefit rate of 127.0% excludes jurisdictions for which no benefit from forecasted current year losses is anticipated. Including losses from such jurisdictions results in a forecasted effective tax benefit rate of 46.0%. Our forecasted effective tax rate could fluctuate significantly on a quarterly basis and could change, to the extent that earnings in countries with tax rates that differ from that of the U.S. differ from amounts anticipated at June 30,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a discrete tax expense of $238, the effective tax benefit rate for the quarter ended June 30, 2017 is 11.1%, which is due primarily to losses in certain foreign jurisdictions which cannot be benefited. The discrete tax expense of $238 is primarily attributable to changes in income tax reserves related to research and development tax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7, 2017 the Company announced a quarterly cash dividend for the third quarter of 2017 at $0.07 per share to be paid on September 7, 2017 to shareholders of record as of August 22,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2016.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is a global company that designs, develops and sells conferencing, collaboration, and network streaming &amp;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most of our revenue from professional audio conferencing products by promoting our products in the professional audio 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we were awarded three new patents, one of which was our innovative patent on a system and method involving the combination of echo cancellation, beamforming microphone arrays, and smart beam selection--the technology underpinning the ‘acoustic intelligence’ of our ground-breaking Beamforming Microphone Array. We continued to take the necessary steps to enforce this strategic patent to remedy having to compete against our own patented technology, and to defend the validity of our patents.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2017, our efforts primarily centered on shipping remaining models in our newly introduced next-gen DSP conferencing platform and Beamforming Microphone Array, promoting the transition from our legacy Converge Pro 1 (CP1) platform to the new Converge Pro 2 (CP2) platform.</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Overall revenue declined in the three and six months ended June 30, 2017 when compared to the three and six months ended June 30, 2016 despite a significant increase in revenue from video products. The declines in revenue from professional audio products and unified communications end points more than offset the increase in revenue from video products. Our gross profit margin decreased to 59% and 59% for the three and six months ended June 30, 2017, as compared to 64% and 65% for the three and six months ended June 30, 2016, respectively. Gross profit margin decrease was primarily due to the decrease in the mix of higher margin products and the price reductions associated with transition from CP1 to CP2.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the influx of venture capitalist funded start-ups and private companies keen to win market share even at the expense of mounting financial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global economic conditions continued to be challenging for us in the three months ended June 30, 2017, especially for conditions relating to capital expenditure spending, due to a number of reasons. The decline in oil and commodity prices continued to affect certain countries and the operating budgets of large companies in the oil and gas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audio-visual products market is characterized by intense competition and rapidly evolving technology. Our competitors vary within each product category. Our professional audio communication products, which contribute the most to our revenue, continues to be ahead of the competition despite the reduction in revenues through our transition from the CP1 platform to the next generation CP2 platform. Our strength in this space is largely due to our industry leading conferencing technologies and the full suite of professional microphone products, especially Beamforming Microphone Arrays. Despite our strong leadership position in the professional audio communications products market, we face challenges to revenue growth due to the limited size of the market and pricing pressures from new competitors attracted to the commercial market.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our video products in the overall revenue mix has been improving on the back of a strong growth for our video products in 2016 that has continued in the first and second quarters of 2017. We face intense competition in this market from well-established market leaders as well as emerging players rich with marketing funds. We expect our strategy of combining Spontania, our cloud-based video conferencing product, Collaborate, our appliance based media collaboration product and our high-end audio conferencing technology to provide high growth in revenue in the near future. We believe we are also well positioned to capitalize on the continuing migration away from the traditional hardware based video conferencing systems to software based video conferencing applications.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a portion of our revenue (about 37%) from international operations and expect this trend to continue in the future. Most of our revenue from outside the U.S. is billed in US Dollars and is not exposed to any significant currency risk. In spite of the U.S. dollar losing strength against other currencies, a strong U.S. dollar would make our products less competitive.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quarter-end,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Deferred revenue was approximately $3.8 million as of June 30, 2017, compared to $3.9 million of deferred revenue as of March 31, 2017 and $3.9 million of deferred revenue as of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2017 and 2016</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sets forth certain items from our unaudited condensed consolidated statements of operations (dollars in thousands) for the three and six months ended June 30, 2017 (“2017-Q2”) and 2016 (“2016-Q2”), respectively, together with the percentage of total revenue which each such item represents: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92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0" w:type="dxa"/>
            <w:vAlign w:val="bottom"/>
            <w:gridSpan w:val="18"/>
          </w:tcPr>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gridSpan w:val="8"/>
          </w:tcPr>
          <w:p>
            <w:pPr>
              <w:jc w:val="right"/>
              <w:ind w:right="105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4"/>
                <w:szCs w:val="24"/>
                <w:color w:val="auto"/>
              </w:rPr>
            </w:pPr>
          </w:p>
        </w:tc>
        <w:tc>
          <w:tcPr>
            <w:tcW w:w="3700" w:type="dxa"/>
            <w:vAlign w:val="bottom"/>
            <w:gridSpan w:val="7"/>
          </w:tcPr>
          <w:p>
            <w:pPr>
              <w:jc w:val="right"/>
              <w:ind w:right="9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Change 2017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Change 2017</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44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5"/>
              </w:rPr>
              <w:t>vs. 2016</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5"/>
              </w:rPr>
              <w:t>vs. 2016</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21,989</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4,302</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9,242</w:t>
            </w:r>
          </w:p>
        </w:tc>
        <w:tc>
          <w:tcPr>
            <w:tcW w:w="200" w:type="dxa"/>
            <w:vAlign w:val="bottom"/>
          </w:tcPr>
          <w:p>
            <w:pPr>
              <w:spacing w:after="0"/>
              <w:rPr>
                <w:sz w:val="20"/>
                <w:szCs w:val="20"/>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8,870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7,664</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2,681</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5,387</w:t>
            </w:r>
          </w:p>
        </w:tc>
        <w:tc>
          <w:tcPr>
            <w:tcW w:w="2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5,306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2,096</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4,365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1,567</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4,316</w:t>
            </w:r>
          </w:p>
        </w:tc>
        <w:tc>
          <w:tcPr>
            <w:tcW w:w="2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3,165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1,320</w:t>
            </w:r>
          </w:p>
        </w:tc>
        <w:tc>
          <w:tcPr>
            <w:tcW w:w="34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3,293</w:t>
            </w:r>
          </w:p>
        </w:tc>
        <w:tc>
          <w:tcPr>
            <w:tcW w:w="34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84</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1,404</w:t>
            </w:r>
          </w:p>
        </w:tc>
        <w:tc>
          <w:tcPr>
            <w:tcW w:w="34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3,387</w:t>
            </w:r>
          </w:p>
        </w:tc>
        <w:tc>
          <w:tcPr>
            <w:tcW w:w="34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w w:val="98"/>
              </w:rPr>
              <w:t>Provision for (benefit from) income taxes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449</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0"/>
                <w:szCs w:val="20"/>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1,064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4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2,323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revenue decreased by $1.7 million, or 14%, to $10.3 million in 2017-Q2 compared to $12.0 million in 2016-Q2. The 25% increase in revenue from video products was more than offset by a 17% decline in professional audio conferencing revenue and a 30% decline in revenue from unified communication (UC) end points. For the six months ended June 30, 2017, revenue decreased by $3.0 million, or 12%, to $22.0 million, as compared to $25.0 million for the six months ended June 30, 2016. The 40% increase in revenue from video products was more than offset by a 16% decline in professional audio conferencing revenue and a 26% decline in revenue from unified communication (UC) end points. During the six months ended June 30, 2017, premium audio conferencing products declined the most while media collaboration products increased the most. The decline in revenue from professional audio conferencing products was mostly due to decline in revenue from legacy CP1 products and reductions in CP1 pricing effected in the last quarter of 2016. The share of professional audio communications products (which includes microphone products but not premium products) in our product mix declined from 76% in 2016-Q2 to 73% in 2017-Q2. The increase in revenue from video products was due to the success of Unite camera and favorable reception to the new Collaborate SKUs containing integrated audio solutions. Share of video products in the revenue increased from 11% in 2016-Q2 to 16% in 2017-Q2, while share of UC end points in the revenue declined from 14% in 2016-Q2 to 11% in 2017-Q2.</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2017-Q2, revenue declined in the US, China, South East Asia, Africa and Europe while revenue from Canada and India grew. Asia Pacific including Middle East stayed the same; Europe and Africa declined by 15% and Americas declined by about 17%. The revenue decline was primarily caused by the delay in the transition to our next generation audio platform, CP2, combined with price reduction offered to stimulate customer interest and sales in the legacy CP1 products. Revenue was also negatively affected by less than robust infrastructure and capital equipment spending. We believe we will return to a growth path as key products forming part of the new audio platform have already started shipping in early 2017. However, we anticipate that the growth will depend on the speed at which our customers transition to the new platform and the economic recovery in certain key markets like Europe, Canada and Australia which remains weak.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gross profit for the three months ended June 30, 2017 was approximately $6.1 million or 59% compared to approximately $7.7 million, or 64%, for the three months ended June 30, 2016. Our gross profit for the six months ended June 30, 2017 was approximately $12.7 million, or 59%, compared to approximately $16.1 million, or 65%, for the six months ended June 30, 2016. Gross margin declined due to the following reasons: (1) price reductions made to CP1 products to encourage CP1 sales and (2) decline in higher margin professional audio conferencing products in the mix.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conferencing products. We hold long-term inventory and if we are unable to sell our long-term inventory, our profitability might be affected by inventory write-offs and price mark-downs.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were $7.2 million for the three months ended June 30, 2017 compared to $6.3 million for the three months ended June 30, 2016. Total operating expenses were $14.4 million for the six months ended June 30, 2017 compared to $12.8 million for the six months ended June 30, 2016. The following contains a more detailed discussion of expenses related to sales and marketing, research and product development, general and administrative, and other items.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sales,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S&amp;M expenses for the three months ended June 30, 2017 decreased nominally to $2.6 million from $2.7 million for the three months ended June 30, 2016. S&amp;M expenses for the six months ended June 30, 2017 increased nominally to $5.4 million for the six months ended June 30, 2016 from $5.3 million for the six months ended June 30, 2017.</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R&amp;D expenses were approximately $2.3 million for the three months ended June 30, 2017, as compared to $2.1 million for the three months ended June 30, 2016. The increase was primarily due to increase in employee-related costs, consulting fees and project costs. R&amp;D expenses were approximately $4.7 million for the six months ended June 30, 2017, as compared to $4.4 million for the six months ended June 30, 2016. The increase was primarily due to an increase in employee-related costs and consulting fees.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G&amp;A expenses include employee-related costs, professional service fees, allocations of overhead expenses, litigation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G&amp;A expenses increased approximately 41% to $2.2 million for the three months ended June 30, 2017 compared with approximately $1.6 million in 2016. G&amp;A expenses increased approximately 36% to $4.3 million for the six months ended June 30, 2017 compared with approximately $3.2 million in 2016. The increase in G&amp;A expenses was primarily due to increases in legal expenses and consulting fees partially offset by a decline in executive bonus.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foreign currency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2017, we accrued income taxes at the forecasted effective tax benefit rate of 127.0% as compared to the forecasted effective tax rate of 33.7% used during the six months ended June 30, 2016. The 93.3% increase in the forecasted effective tax rate was primarily due to losses in certain foreign jurisdictions which cannot benefited, which had a greater impact on the effective rate in 2017 due to less forecasted income when compared to 2016. In addition, a discrete tax expense of $238 thousand is primarily attributable to changes in income tax reserves related to research and development tax credits.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our cash and cash equivalents were approximately $3.4 million, a decrease of approximately $8.7 million compared to cash and cash equivalents of approximately $12.1 million as of December 31, 2016. Our working capital was $27.7 million and $30.8 million as of June 30, 2017 and December 31, 2016,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$4.7 million for the six months ended June 30, 2017, an increase of cash used of approximately $7.7 million from $3.0 million of cash provided by operating activities in the six months ended June 30, 2016. The increase was primarily due to an increase in cash outflows due to change in operating assets and liabilities of $4.3 million and a reduction in net income of $3.6 million partially offset by an increase in non-cash charges of $0.3 million.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provided by investing activities was $49 thousand for the six months ended June 30, 2017 compared to net cash flows used by investing activities of $1.2 million during the six months ended June 30, 2016, an increase in cash provided of $1.3 million. The increase was primarily due to an increase in net sales of marketable securities of approximately $1.4 million, partially offset by $0.1 million in purchases of property and equipment and intangibles.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was approximately $4.2 million during the six months ended June 30, 2017 primarily consisted of cash outflows of $3.2 million on repurchase and cancellation of stock, $1.1 million for dividend payments partially offset by $0.1 million proceeds from stock based compensation programs. Net cash used in financing activities was approximately $5.6 million during the six months ended June 30, 2016 primarily consisted of cash outflows of $5.9 million on repurchase and cancellation of stock and stock options, $0.9 million for dividend payments partially offset by $1.2 million proceeds from stock based compensation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 as well as acquisitions that may strategically fit our business and are accretive to our performance. We also intend to use cash to pay quarterly cash dividends and repurchase stock under our repurchase program.</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we had open purchase orders related to our electronics manufacturing service providers of approximately $7.5 million, primarily related to inventory purchases.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2017, we had inventory totaling $18.8 million, of which non-current inventory accounted for $1.7 million. This compares to total inventories of $13.0 million and non-current inventory of $1.7 million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accounting policies are described in our Annual Report on Form 10-K for the year ended December 31, 2016.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Associated Allowances for Revenue Adjustments and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20" w:firstLine="8"/>
        <w:spacing w:after="0" w:line="261" w:lineRule="auto"/>
        <w:tabs>
          <w:tab w:leader="none" w:pos="2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 (in thousands) as of June 30, 2017 and December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June 30, 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2016</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8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1,530</w:t>
            </w:r>
          </w:p>
        </w:tc>
      </w:tr>
      <w:tr>
        <w:trPr>
          <w:trHeight w:val="23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the six months ended June 30, 2017 or 2016 as no impairment indicators existed. However, due to uncertainty in the industrial, technological, and competitive environments in which we operate, we might be required to exit or dispose of the assets acquired through our acquisitions, which could result in an impairment of goodwill and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2016 and determined that based upon available evidence it is more likely than not that certain of our deferred tax assets related to capital loss carryovers, state research and development credits, and foreign net operating loss carryforwards will not be realized and, accordingly, we have recorded a valuation allowance against these deferred tax assets in the amount of $1.4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Lower-of-Cost or Market Adjustments and Reserves for Excess and Obsolete Inventory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ASC Topic 718, we recognize compensation cost net of forfeitures as they occur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released Accounting Standards Update (ASU) No.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updated standard becomes effective for the Company on January 1, 2018. Early adoption is permitted. The Company has not yet selected a transition method and is currently evaluating the effect that the updated standard will have on the consolidated financial statements.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released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released ASU No.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was effective for the Company on January 1, 2017. As a result of the adoption of ASU 2016-09, excess tax benefits or deficiencies related to stock-based compensation are now reflected in the Consolidated Statements of Income as a component of the provision for income taxes, whereas they previously were recognized in additional paid-in capital. In addition, our Consolidated Statements of Cash Flows will now present, on a prospective basis, excess tax benefits as an operating activity. Finally, we have elected to account for forfeitures as they occur, rather than estimate expected forfeitures.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released ASU No. 2016-15, Classification of Certain Cash Receipts and Cash Payments, which addresses eight specific cash flow issues with the objective of reducing the existing diversity in practice. ASU 2016-15 is effective for the Company beginning January 1, 2018 and we are currently evaluating the impact that ASU 2016-15 will have on our consolidated financial statements.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2017, the FASB issued an ASU No. 2017-04, Simplifying the Test for Goodwill Impairment that removes Step 2 of the goodwill impairment test, which requires the assessment of fair value of individual assets and liabilities of a reporting unit to measure goodwill impairments. Goodwill impairment will now be the amount by which a reporting unit's carrying value exceeds its fair value. The accounting standard update will be effective for the Company beginning in the first quarter of fiscal 2020 on a prospective basis, and early adoption is permitted. The Company has not yet selected a transition method and is currently evaluating the effect that the updated standard will have on the consolidated financial statements.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will be effective for The Company beginning January 1, 2018 on a prospective basis, and early adoption is permitted. The Company has not yet selected a transition method and is currently evaluating the effect that the updated standard will have on the consolidated financial statements.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evaluation of the effectiveness of our disclosure controls and procedures (as defined in Rules 13a-15(e) and 15d-15(e) of the Exchange Act) as of June 30, 2017 was performed under the supervision and with the participation of our management, including our Chief Executive Officer and our Principal Financial and Accounting Officer. Based on this evaluation, our management, including our Chief Executive Officer and Principal Financial and Accounting Officer, concluded that our disclosure controls and procedures are effective as of June 30, 2017 to ensure that information required to be disclosed by us in reports we file or submit under the Exchange Act is recorded, processed, summarized and reported as specified in the SEC’s rules and forms.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2017 that materially affected, or that we believe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2017, the Company was awarded a new patent, U.S. Patent No. 9,635,186 (the “’186 Patent”), which relates to a system and method involving the combination of echo cancellation and beamforming microphone arrays. Also on April 25, 2017, the Company filed a lawsuit in the U.S. Federal District Court in the District of Utah against three parties—Shure, Inc. (“Shure”), Biamp Systems Corporation (“Biamp”), and QSC Audio Products, LLC (“QSC,” and together with Shure and Biamp, collectively, the “Defendants”), alleging that the Defendants were jointly and indirectly infringing the newly issued ‘186 Patent (the “Infringement Action”). On that same day, Shure filed a separate action in the U.S. Federal District Court in the Northern District of Illinois (the “Illinois Action”) requesting a declaratory judgment as to the invalidity or non-infringement with respect to the ’186 Patent. The Illinois Action also seeks the same declaratory judgment with respect to another Company patent, United States Patent No. 9,264,553 (the “’553 Patent”), and which has not been asserted by the Company against any defendant and has been submitted to the USPTO for reissue.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May 22, 2017, the U.S. Supreme Court issued its opinion in the </w:t>
      </w:r>
      <w:r>
        <w:rPr>
          <w:rFonts w:ascii="Arial" w:cs="Arial" w:eastAsia="Arial" w:hAnsi="Arial"/>
          <w:sz w:val="17"/>
          <w:szCs w:val="17"/>
          <w:i w:val="1"/>
          <w:iCs w:val="1"/>
          <w:color w:val="auto"/>
        </w:rPr>
        <w:t>TC Heartland LLC v. Kraft Foods Group Brands LLC</w:t>
      </w:r>
      <w:r>
        <w:rPr>
          <w:rFonts w:ascii="Arial" w:cs="Arial" w:eastAsia="Arial" w:hAnsi="Arial"/>
          <w:sz w:val="17"/>
          <w:szCs w:val="17"/>
          <w:color w:val="auto"/>
        </w:rPr>
        <w:t>, No. 16–341. That opinion changed the law on permissible venues for patent litigation from any district in which there was personal jurisdiction over a defendant to only districts in which a defendant was incorporated or had a regular and established place of business. Given that none of the Defendants were incorporated or had a regular and established place of business in the District of Utah, on May 30, 2017, the Company filed an answer to the Illinois Action and counterclaims substantially the same as those in the Company’s Infringement Action, joining Biamp and QSC as counter-defendants with Shure in such counterclaims in the Illinois Action, and on May 31, 2017, the Company voluntarily dismissed the Infringement Action in Utah without prejudice.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parties are proceeding with discovery. On July 14, 2017, Shure filed a petition for </w:t>
      </w:r>
      <w:r>
        <w:rPr>
          <w:rFonts w:ascii="Arial" w:cs="Arial" w:eastAsia="Arial" w:hAnsi="Arial"/>
          <w:sz w:val="17"/>
          <w:szCs w:val="17"/>
          <w:i w:val="1"/>
          <w:iCs w:val="1"/>
          <w:color w:val="auto"/>
        </w:rPr>
        <w:t>inter partes review</w:t>
      </w:r>
      <w:r>
        <w:rPr>
          <w:rFonts w:ascii="Arial" w:cs="Arial" w:eastAsia="Arial" w:hAnsi="Arial"/>
          <w:sz w:val="17"/>
          <w:szCs w:val="17"/>
          <w:color w:val="auto"/>
        </w:rPr>
        <w:t xml:space="preserve"> against the ’553 Patent, and on August 6, 2017, the Company filed a motion seeking a preliminary injunction to enjoin the defendants from continuing to infringe on the Company’s 186 Patent.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continue to vigorously enforce and defend its intellectual property rights in the Illinois Action.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there have been no material developments in the legal proceedings described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firstLine="8"/>
        <w:spacing w:after="0" w:line="276"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March 9, 2016, the Board of Directors of the Company authorized the repurchase of up to $10 million of the Company’s outstanding shares of common stock under a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2017 we acquired the following shares of common stock under the stock repurchase program: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198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Average Price</w:t>
            </w:r>
          </w:p>
        </w:tc>
        <w:tc>
          <w:tcPr>
            <w:tcW w:w="2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178"/>
        </w:trPr>
        <w:tc>
          <w:tcPr>
            <w:tcW w:w="2540" w:type="dxa"/>
            <w:vAlign w:val="bottom"/>
            <w:gridSpan w:val="2"/>
            <w:vMerge w:val="continue"/>
          </w:tcPr>
          <w:p>
            <w:pPr>
              <w:spacing w:after="0"/>
              <w:rPr>
                <w:sz w:val="15"/>
                <w:szCs w:val="15"/>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Purchased</w:t>
            </w:r>
          </w:p>
        </w:tc>
        <w:tc>
          <w:tcPr>
            <w:tcW w:w="300" w:type="dxa"/>
            <w:vAlign w:val="bottom"/>
          </w:tcPr>
          <w:p>
            <w:pPr>
              <w:spacing w:after="0"/>
              <w:rPr>
                <w:sz w:val="15"/>
                <w:szCs w:val="15"/>
                <w:color w:val="auto"/>
              </w:rPr>
            </w:pPr>
          </w:p>
        </w:tc>
        <w:tc>
          <w:tcPr>
            <w:tcW w:w="19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Paid per Share</w:t>
            </w:r>
          </w:p>
        </w:tc>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or Programs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 millions)</w:t>
            </w:r>
          </w:p>
        </w:tc>
        <w:tc>
          <w:tcPr>
            <w:tcW w:w="0" w:type="dxa"/>
            <w:vAlign w:val="bottom"/>
          </w:tcPr>
          <w:p>
            <w:pPr>
              <w:spacing w:after="0"/>
              <w:rPr>
                <w:sz w:val="1"/>
                <w:szCs w:val="1"/>
                <w:color w:val="auto"/>
              </w:rPr>
            </w:pPr>
          </w:p>
        </w:tc>
      </w:tr>
      <w:tr>
        <w:trPr>
          <w:trHeight w:val="216"/>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2017</w:t>
            </w:r>
          </w:p>
        </w:tc>
        <w:tc>
          <w:tcPr>
            <w:tcW w:w="2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156,652</w:t>
            </w:r>
          </w:p>
        </w:tc>
        <w:tc>
          <w:tcPr>
            <w:tcW w:w="30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9.93</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156,652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2017</w:t>
            </w: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31,826</w:t>
            </w:r>
          </w:p>
        </w:tc>
        <w:tc>
          <w:tcPr>
            <w:tcW w:w="3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9.73</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31,826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7"/>
        </w:trPr>
        <w:tc>
          <w:tcPr>
            <w:tcW w:w="25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214,866</w:t>
            </w: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320" w:type="dxa"/>
            <w:vAlign w:val="bottom"/>
            <w:tcBorders>
              <w:top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214,866</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60" w:type="dxa"/>
            <w:vAlign w:val="bottom"/>
          </w:tcPr>
          <w:p>
            <w:pPr>
              <w:ind w:left="180"/>
              <w:spacing w:after="0"/>
              <w:rPr>
                <w:sz w:val="20"/>
                <w:szCs w:val="20"/>
                <w:color w:val="auto"/>
              </w:rPr>
            </w:pPr>
            <w:r>
              <w:rPr>
                <w:rFonts w:ascii="Arial" w:cs="Arial" w:eastAsia="Arial" w:hAnsi="Arial"/>
                <w:sz w:val="18"/>
                <w:szCs w:val="18"/>
                <w:color w:val="auto"/>
                <w:w w:val="90"/>
              </w:rPr>
              <w:t>Section 302</w:t>
            </w:r>
          </w:p>
        </w:tc>
        <w:tc>
          <w:tcPr>
            <w:tcW w:w="95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60" w:type="dxa"/>
            <w:vAlign w:val="bottom"/>
          </w:tcPr>
          <w:p>
            <w:pPr>
              <w:ind w:left="180"/>
              <w:spacing w:after="0"/>
              <w:rPr>
                <w:sz w:val="20"/>
                <w:szCs w:val="20"/>
                <w:color w:val="auto"/>
              </w:rPr>
            </w:pPr>
            <w:r>
              <w:rPr>
                <w:rFonts w:ascii="Arial" w:cs="Arial" w:eastAsia="Arial" w:hAnsi="Arial"/>
                <w:sz w:val="18"/>
                <w:szCs w:val="18"/>
                <w:color w:val="auto"/>
                <w:w w:val="90"/>
              </w:rPr>
              <w:t>Section 302</w:t>
            </w:r>
          </w:p>
        </w:tc>
        <w:tc>
          <w:tcPr>
            <w:tcW w:w="950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60" w:type="dxa"/>
            <w:vAlign w:val="bottom"/>
          </w:tcPr>
          <w:p>
            <w:pPr>
              <w:ind w:left="180"/>
              <w:spacing w:after="0"/>
              <w:rPr>
                <w:sz w:val="20"/>
                <w:szCs w:val="20"/>
                <w:color w:val="auto"/>
              </w:rPr>
            </w:pPr>
            <w:r>
              <w:rPr>
                <w:rFonts w:ascii="Arial" w:cs="Arial" w:eastAsia="Arial" w:hAnsi="Arial"/>
                <w:sz w:val="18"/>
                <w:szCs w:val="18"/>
                <w:color w:val="auto"/>
                <w:w w:val="90"/>
              </w:rPr>
              <w:t>Section 906</w:t>
            </w:r>
          </w:p>
        </w:tc>
        <w:tc>
          <w:tcPr>
            <w:tcW w:w="95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60" w:type="dxa"/>
            <w:vAlign w:val="bottom"/>
          </w:tcPr>
          <w:p>
            <w:pPr>
              <w:ind w:left="180"/>
              <w:spacing w:after="0"/>
              <w:rPr>
                <w:sz w:val="20"/>
                <w:szCs w:val="20"/>
                <w:color w:val="auto"/>
              </w:rPr>
            </w:pPr>
            <w:r>
              <w:rPr>
                <w:rFonts w:ascii="Arial" w:cs="Arial" w:eastAsia="Arial" w:hAnsi="Arial"/>
                <w:sz w:val="18"/>
                <w:szCs w:val="18"/>
                <w:color w:val="auto"/>
                <w:w w:val="90"/>
              </w:rPr>
              <w:t>Section 906</w:t>
            </w:r>
          </w:p>
        </w:tc>
        <w:tc>
          <w:tcPr>
            <w:tcW w:w="950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2"/>
          </w:tcPr>
          <w:p>
            <w:pPr>
              <w:ind w:left="180"/>
              <w:spacing w:after="0"/>
              <w:rPr>
                <w:sz w:val="20"/>
                <w:szCs w:val="20"/>
                <w:color w:val="auto"/>
              </w:rPr>
            </w:pPr>
            <w:r>
              <w:rPr>
                <w:rFonts w:ascii="Arial" w:cs="Arial" w:eastAsia="Arial" w:hAnsi="Arial"/>
                <w:sz w:val="18"/>
                <w:szCs w:val="18"/>
                <w:color w:val="auto"/>
              </w:rPr>
              <w:t>XBRL Instance Document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9"/>
        </w:trPr>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372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68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8040" w:type="dxa"/>
            <w:vAlign w:val="bottom"/>
            <w:gridSpan w:val="2"/>
          </w:tcPr>
          <w:p>
            <w:pPr>
              <w:ind w:left="2340"/>
              <w:spacing w:after="0"/>
              <w:rPr>
                <w:sz w:val="20"/>
                <w:szCs w:val="20"/>
                <w:color w:val="auto"/>
              </w:rPr>
            </w:pPr>
            <w:r>
              <w:rPr>
                <w:rFonts w:ascii="Arial" w:cs="Arial" w:eastAsia="Arial" w:hAnsi="Arial"/>
                <w:sz w:val="18"/>
                <w:szCs w:val="18"/>
                <w:color w:val="auto"/>
              </w:rPr>
              <w:t>ClearOne, Inc.,</w:t>
            </w:r>
          </w:p>
        </w:tc>
      </w:tr>
      <w:tr>
        <w:trPr>
          <w:trHeight w:val="230"/>
        </w:trPr>
        <w:tc>
          <w:tcPr>
            <w:tcW w:w="3380" w:type="dxa"/>
            <w:vAlign w:val="bottom"/>
          </w:tcPr>
          <w:p>
            <w:pPr>
              <w:spacing w:after="0"/>
              <w:rPr>
                <w:sz w:val="20"/>
                <w:szCs w:val="20"/>
                <w:color w:val="auto"/>
              </w:rPr>
            </w:pPr>
          </w:p>
        </w:tc>
        <w:tc>
          <w:tcPr>
            <w:tcW w:w="8040" w:type="dxa"/>
            <w:vAlign w:val="bottom"/>
            <w:gridSpan w:val="2"/>
          </w:tcPr>
          <w:p>
            <w:pPr>
              <w:ind w:left="2340"/>
              <w:spacing w:after="0"/>
              <w:rPr>
                <w:sz w:val="20"/>
                <w:szCs w:val="20"/>
                <w:color w:val="auto"/>
              </w:rPr>
            </w:pPr>
            <w:r>
              <w:rPr>
                <w:rFonts w:ascii="Arial" w:cs="Arial" w:eastAsia="Arial" w:hAnsi="Arial"/>
                <w:sz w:val="18"/>
                <w:szCs w:val="18"/>
                <w:color w:val="auto"/>
              </w:rPr>
              <w:t>(Registrant)</w:t>
            </w:r>
          </w:p>
        </w:tc>
      </w:tr>
      <w:tr>
        <w:trPr>
          <w:trHeight w:val="439"/>
        </w:trPr>
        <w:tc>
          <w:tcPr>
            <w:tcW w:w="3380" w:type="dxa"/>
            <w:vAlign w:val="bottom"/>
          </w:tcPr>
          <w:p>
            <w:pPr>
              <w:spacing w:after="0"/>
              <w:rPr>
                <w:sz w:val="24"/>
                <w:szCs w:val="24"/>
                <w:color w:val="auto"/>
              </w:rPr>
            </w:pPr>
          </w:p>
        </w:tc>
        <w:tc>
          <w:tcPr>
            <w:tcW w:w="8040" w:type="dxa"/>
            <w:vAlign w:val="bottom"/>
            <w:gridSpan w:val="2"/>
          </w:tcPr>
          <w:p>
            <w:pPr>
              <w:ind w:left="2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August 9, 2017</w:t>
            </w:r>
          </w:p>
        </w:tc>
        <w:tc>
          <w:tcPr>
            <w:tcW w:w="2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380" w:type="dxa"/>
            <w:vAlign w:val="bottom"/>
          </w:tcPr>
          <w:p>
            <w:pPr>
              <w:spacing w:after="0"/>
              <w:rPr>
                <w:sz w:val="24"/>
                <w:szCs w:val="24"/>
                <w:color w:val="auto"/>
              </w:rPr>
            </w:pPr>
          </w:p>
        </w:tc>
        <w:tc>
          <w:tcPr>
            <w:tcW w:w="8040" w:type="dxa"/>
            <w:vAlign w:val="bottom"/>
            <w:gridSpan w:val="2"/>
          </w:tcPr>
          <w:p>
            <w:pPr>
              <w:ind w:left="2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August 9, 2017</w:t>
            </w:r>
          </w:p>
        </w:tc>
        <w:tc>
          <w:tcPr>
            <w:tcW w:w="2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33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rPr>
              <w:t>26</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20" w:type="dxa"/>
            <w:vAlign w:val="bottom"/>
          </w:tcPr>
          <w:p>
            <w:pPr>
              <w:spacing w:after="0"/>
              <w:rPr>
                <w:sz w:val="21"/>
                <w:szCs w:val="21"/>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9, 2017</w:t>
            </w: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20" w:type="dxa"/>
            <w:vAlign w:val="bottom"/>
          </w:tcPr>
          <w:p>
            <w:pPr>
              <w:spacing w:after="0"/>
              <w:rPr>
                <w:sz w:val="21"/>
                <w:szCs w:val="21"/>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9, 2017</w:t>
            </w: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3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June 30, 2017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9, 2017</w:t>
            </w: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2017,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4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9, 2017</w:t>
            </w: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3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2019-12-29T05:10:13Z</dcterms:created>
  <dcterms:modified xsi:type="dcterms:W3CDTF">2019-12-29T05:10:13Z</dcterms:modified>
</cp:coreProperties>
</file>