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r>
        <w:rPr>
          <w:rFonts w:ascii="Arial" w:cs="Arial" w:eastAsia="Arial" w:hAnsi="Arial"/>
          <w:sz w:val="18"/>
          <w:szCs w:val="18"/>
          <w:b w:val="1"/>
          <w:bCs w:val="1"/>
          <w:u w:val="single" w:color="auto"/>
          <w:color w:val="auto"/>
        </w:rPr>
        <w:t>January 30, 2008</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61" w:lineRule="exact"/>
        <w:rPr>
          <w:sz w:val="24"/>
          <w:szCs w:val="24"/>
          <w:color w:val="auto"/>
        </w:rPr>
      </w:pPr>
    </w:p>
    <w:p>
      <w:pPr>
        <w:ind w:left="4180"/>
        <w:spacing w:after="0"/>
        <w:tabs>
          <w:tab w:leader="none" w:pos="6500" w:val="left"/>
        </w:tabs>
        <w:rPr>
          <w:sz w:val="20"/>
          <w:szCs w:val="20"/>
          <w:color w:val="auto"/>
        </w:rPr>
      </w:pPr>
      <w:r>
        <w:rPr>
          <w:rFonts w:ascii="Arial" w:cs="Arial" w:eastAsia="Arial" w:hAnsi="Arial"/>
          <w:sz w:val="18"/>
          <w:szCs w:val="18"/>
          <w:b w:val="1"/>
          <w:bCs w:val="1"/>
          <w:color w:val="auto"/>
        </w:rPr>
        <w:t>000-17219</w:t>
      </w:r>
      <w:r>
        <w:rPr>
          <w:sz w:val="20"/>
          <w:szCs w:val="20"/>
          <w:color w:val="auto"/>
        </w:rPr>
        <w:tab/>
      </w:r>
      <w:r>
        <w:rPr>
          <w:rFonts w:ascii="Arial" w:cs="Arial" w:eastAsia="Arial" w:hAnsi="Arial"/>
          <w:sz w:val="16"/>
          <w:szCs w:val="16"/>
          <w:b w:val="1"/>
          <w:bCs w:val="1"/>
          <w:color w:val="auto"/>
        </w:rPr>
        <w:t>87-0398877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 w:lineRule="exact"/>
        <w:rPr>
          <w:sz w:val="24"/>
          <w:szCs w:val="24"/>
          <w:color w:val="auto"/>
        </w:rPr>
      </w:pPr>
    </w:p>
    <w:p>
      <w:pPr>
        <w:ind w:left="3560"/>
        <w:spacing w:after="0"/>
        <w:tabs>
          <w:tab w:leader="none" w:pos="63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6120"/>
        <w:spacing w:after="0"/>
        <w:rPr>
          <w:sz w:val="20"/>
          <w:szCs w:val="20"/>
          <w:color w:val="auto"/>
        </w:rPr>
      </w:pPr>
      <w:r>
        <w:rPr>
          <w:rFonts w:ascii="Arial" w:cs="Arial" w:eastAsia="Arial" w:hAnsi="Arial"/>
          <w:sz w:val="18"/>
          <w:szCs w:val="18"/>
          <w:color w:val="auto"/>
        </w:rPr>
        <w:t>identification number)</w:t>
      </w:r>
    </w:p>
    <w:p>
      <w:pPr>
        <w:spacing w:after="0" w:line="261" w:lineRule="exact"/>
        <w:rPr>
          <w:sz w:val="24"/>
          <w:szCs w:val="24"/>
          <w:color w:val="auto"/>
        </w:rPr>
      </w:pPr>
    </w:p>
    <w:tbl>
      <w:tblPr>
        <w:tblLayout w:type="fixed"/>
        <w:tblInd w:w="3440" w:type="dxa"/>
        <w:tblCellMar>
          <w:top w:w="0" w:type="dxa"/>
          <w:left w:w="0" w:type="dxa"/>
          <w:bottom w:w="0" w:type="dxa"/>
          <w:right w:w="0" w:type="dxa"/>
        </w:tblCellMar>
      </w:tblPr>
      <w:tr>
        <w:trPr>
          <w:trHeight w:val="216"/>
        </w:trPr>
        <w:tc>
          <w:tcPr>
            <w:tcW w:w="3300" w:type="dxa"/>
            <w:vAlign w:val="bottom"/>
          </w:tcPr>
          <w:p>
            <w:pPr>
              <w:ind w:left="460"/>
              <w:spacing w:after="0"/>
              <w:rPr>
                <w:sz w:val="20"/>
                <w:szCs w:val="20"/>
                <w:color w:val="auto"/>
              </w:rPr>
            </w:pPr>
            <w:r>
              <w:rPr>
                <w:rFonts w:ascii="Arial" w:cs="Arial" w:eastAsia="Arial" w:hAnsi="Arial"/>
                <w:sz w:val="18"/>
                <w:szCs w:val="18"/>
                <w:b w:val="1"/>
                <w:bCs w:val="1"/>
                <w:color w:val="auto"/>
              </w:rPr>
              <w:t>5225 Wiley Post Way, Suite 500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2"/>
              </w:rPr>
              <w:t>Salt Lake City, Utah</w:t>
            </w:r>
          </w:p>
        </w:tc>
        <w:tc>
          <w:tcPr>
            <w:tcW w:w="12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84116</w:t>
            </w:r>
          </w:p>
        </w:tc>
      </w:tr>
      <w:tr>
        <w:trPr>
          <w:trHeight w:val="230"/>
        </w:trPr>
        <w:tc>
          <w:tcPr>
            <w:tcW w:w="3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30, 2008, ClearOne Communications, Inc. (the “Company”) issued a press release announcing its financial results for the quarter ended December 31, 2007. The full text of the Company’s press release is furnished herewith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6"/>
              </w:rPr>
              <w:t>Exhibit No.</w:t>
            </w:r>
          </w:p>
        </w:tc>
        <w:tc>
          <w:tcPr>
            <w:tcW w:w="624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Title of Document</w:t>
            </w:r>
          </w:p>
        </w:tc>
        <w:tc>
          <w:tcPr>
            <w:tcW w:w="15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02"/>
        </w:trPr>
        <w:tc>
          <w:tcPr>
            <w:tcW w:w="136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99.1</w:t>
            </w:r>
          </w:p>
        </w:tc>
        <w:tc>
          <w:tcPr>
            <w:tcW w:w="6240" w:type="dxa"/>
            <w:vAlign w:val="bottom"/>
          </w:tcPr>
          <w:p>
            <w:pPr>
              <w:ind w:left="160"/>
              <w:spacing w:after="0" w:line="201" w:lineRule="exact"/>
              <w:rPr>
                <w:sz w:val="20"/>
                <w:szCs w:val="20"/>
                <w:color w:val="auto"/>
              </w:rPr>
            </w:pPr>
            <w:r>
              <w:rPr>
                <w:rFonts w:ascii="Arial" w:cs="Arial" w:eastAsia="Arial" w:hAnsi="Arial"/>
                <w:sz w:val="18"/>
                <w:szCs w:val="18"/>
                <w:color w:val="auto"/>
                <w:w w:val="96"/>
              </w:rPr>
              <w:t>Press Release dated January 30, 2008 captioned “ClearOne Reports Improved</w:t>
            </w:r>
          </w:p>
        </w:tc>
        <w:tc>
          <w:tcPr>
            <w:tcW w:w="15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This Filing</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6240" w:type="dxa"/>
            <w:vAlign w:val="bottom"/>
            <w:vMerge w:val="restart"/>
          </w:tcPr>
          <w:p>
            <w:pPr>
              <w:ind w:left="160"/>
              <w:spacing w:after="0"/>
              <w:rPr>
                <w:sz w:val="20"/>
                <w:szCs w:val="20"/>
                <w:color w:val="auto"/>
              </w:rPr>
            </w:pPr>
            <w:r>
              <w:rPr>
                <w:rFonts w:ascii="Arial" w:cs="Arial" w:eastAsia="Arial" w:hAnsi="Arial"/>
                <w:sz w:val="18"/>
                <w:szCs w:val="18"/>
                <w:color w:val="auto"/>
              </w:rPr>
              <w:t>Performance for Fiscal 2008 Second Quarter”</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624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January 30,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Contacts: ClearOne Communications,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Greg LeClaire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 975-7200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IMPROVED PERFORMANCE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2008 SECOND QUARTER</w:t>
      </w:r>
    </w:p>
    <w:p>
      <w:pPr>
        <w:spacing w:after="0" w:line="23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Salt Lake City, UT – January 30, 2008 – </w:t>
      </w:r>
      <w:r>
        <w:rPr>
          <w:rFonts w:ascii="Arial" w:cs="Arial" w:eastAsia="Arial" w:hAnsi="Arial"/>
          <w:sz w:val="18"/>
          <w:szCs w:val="18"/>
          <w:color w:val="auto"/>
        </w:rPr>
        <w:t>ClearOne Communications, Inc. (NASDAQ: CLRO) today reported solid growth in sales and earnings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fiscal 2008 ended December 31, 2007.</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 for the fiscal 2008 second quarter increased 7% to $10.8 million from $10.1 million in the same quarter of last year. Gross profit grew 21% to $6.4 million, or 59% of revenues, from $5.2 million, or 52% of revenues, for the prior year period. Operating income rose to $1.9 million from $915,000 in the same quarter last year. Net income advanced to $1.8 million, or $0.16 per diluted share, from $1.1 million, or $0.09 per diluted share, a year ago.</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 share repurchase plan announced in August 2007, the company purchased approximately 181,000 shares of its common stock during the fiscal 2008 second quarter and 88,000 shares in the fiscal first quarter.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improved performance primarily reflected increased sales of our professional audio conferencing products, which carry our highest margins,” said Zee Hakimoglu, president, chief executive officer and chairman of ClearOne. “Gross profit in the quarter also benefited from lower inventory obsolescence reserve requirements and lower unfavorable manufacturing variances than in last year’s second quarter. These factors, combined with the reduced number of shares outstanding, contributed to the 80% increase in our earnings per share.”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first six months of fiscal 2008, revenue increased to $20.2 million from $19.5 million in the same period of fiscal 2007. Gross profit grew to $11.5 million from $10.3 million for the prior year period. Operating income was $809,000 compared with operating income of $1.2 million in the same period last year. Net income was $858,000, or $0.08 per diluted share, compared with net income for the prior year period of $1.8 million, or $0.15 per diluted share.</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results for the first half of fiscal 2008 include the establishment of a $1.9 million accrual for a contingent liability. The company accrued $1.8 million in its first quarter and an additional $115,000 in its second quarter of fiscal 2008, representing the probable amount that as of the date of the financial statements could be reasonably estimated of its liability, through trial, associated with the advancement of funds related to indemnification agreements with two former officers. The company has been advised that the trial date has been moved to April 21, 2008.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the company had cash, cash equivalents, and marketable securities of $22.7 million and no 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80"/>
              <w:spacing w:after="0"/>
              <w:rPr>
                <w:sz w:val="20"/>
                <w:szCs w:val="20"/>
                <w:color w:val="auto"/>
              </w:rPr>
            </w:pPr>
            <w:r>
              <w:rPr>
                <w:rFonts w:ascii="Arial" w:cs="Arial" w:eastAsia="Arial" w:hAnsi="Arial"/>
                <w:sz w:val="18"/>
                <w:szCs w:val="18"/>
                <w:color w:val="auto"/>
              </w:rPr>
              <w:t>of $60 and $54, respectively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41,604</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10,771,165 and 10,861,920 shares issued and outstanding, respectively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(16,592)</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850" w:right="1379" w:bottom="1440" w:gutter="0" w:footer="0" w:header="0"/>
        </w:sectPr>
      </w:pPr>
    </w:p>
    <w:bookmarkStart w:id="4" w:name="page5"/>
    <w:bookmarkEnd w:id="4"/>
    <w:p>
      <w:pPr>
        <w:jc w:val="center"/>
        <w:ind w:right="16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rPr>
              <w:t>Six Months Ended</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5"/>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4"/>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5"/>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4"/>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8,714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9,176</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6,373</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3,707</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160"/>
              <w:spacing w:after="0" w:line="201" w:lineRule="exact"/>
              <w:rPr>
                <w:sz w:val="20"/>
                <w:szCs w:val="20"/>
                <w:color w:val="auto"/>
              </w:rPr>
            </w:pPr>
            <w:r>
              <w:rPr>
                <w:rFonts w:ascii="Arial" w:cs="Arial" w:eastAsia="Arial" w:hAnsi="Arial"/>
                <w:sz w:val="18"/>
                <w:szCs w:val="18"/>
                <w:color w:val="auto"/>
              </w:rPr>
              <w:t>Research and product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3,934</w:t>
            </w: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Total operating expenses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4,454</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CCEEFF"/>
            </w:tcBorders>
          </w:tcPr>
          <w:p>
            <w:pPr>
              <w:ind w:left="320"/>
              <w:spacing w:after="0" w:line="201" w:lineRule="exact"/>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(expense), net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Income (loss) from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continuing operations before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benefit from</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CCEEFF"/>
            </w:tcBorders>
          </w:tcPr>
          <w:p>
            <w:pPr>
              <w:ind w:left="160"/>
              <w:spacing w:after="0" w:line="201" w:lineRule="exact"/>
              <w:rPr>
                <w:sz w:val="20"/>
                <w:szCs w:val="20"/>
                <w:color w:val="auto"/>
              </w:rPr>
            </w:pPr>
            <w:r>
              <w:rPr>
                <w:rFonts w:ascii="Arial" w:cs="Arial" w:eastAsia="Arial" w:hAnsi="Arial"/>
                <w:sz w:val="18"/>
                <w:szCs w:val="18"/>
                <w:color w:val="auto"/>
              </w:rPr>
              <w:t>Income (loss) from</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Income from discontinued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1,782</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Basic earnings per common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Diluted earnings per common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10,840,193</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11,922,641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10,900,725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12,053,745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Diluted weighted average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10,941,491</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11,957,706</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11,012,239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12,100,794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2019-12-13T18:12:27Z</dcterms:created>
  <dcterms:modified xsi:type="dcterms:W3CDTF">2019-12-13T18:12:27Z</dcterms:modified>
</cp:coreProperties>
</file>