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30, 2025 (December 23, 2025)</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ClearOne,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7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001-33660</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228"/>
        </w:trPr>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80" w:type="dxa"/>
            <w:vAlign w:val="bottom"/>
          </w:tcPr>
          <w:p>
            <w:pPr>
              <w:spacing w:after="0"/>
              <w:rPr>
                <w:sz w:val="19"/>
                <w:szCs w:val="19"/>
                <w:color w:val="auto"/>
              </w:rPr>
            </w:pPr>
          </w:p>
        </w:tc>
        <w:tc>
          <w:tcPr>
            <w:tcW w:w="22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(Commission File Number)</w:t>
            </w:r>
          </w:p>
        </w:tc>
        <w:tc>
          <w:tcPr>
            <w:tcW w:w="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7640" w:type="dxa"/>
            <w:vAlign w:val="bottom"/>
            <w:gridSpan w:val="8"/>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28"/>
        </w:trPr>
        <w:tc>
          <w:tcPr>
            <w:tcW w:w="7440" w:type="dxa"/>
            <w:vAlign w:val="bottom"/>
            <w:tcBorders>
              <w:top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 (801) 975-7200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7640" w:type="dxa"/>
            <w:vAlign w:val="bottom"/>
            <w:gridSpan w:val="8"/>
          </w:tcPr>
          <w:p>
            <w:pPr>
              <w:jc w:val="center"/>
              <w:ind w:left="35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 under the Exchange Act (17 CFR 240.13e-4©)</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1060" w:type="dxa"/>
        <w:tblCellMar>
          <w:top w:w="0" w:type="dxa"/>
          <w:left w:w="0" w:type="dxa"/>
          <w:bottom w:w="0" w:type="dxa"/>
          <w:right w:w="0" w:type="dxa"/>
        </w:tblCellMar>
      </w:tblPr>
      <w:tr>
        <w:trPr>
          <w:trHeight w:val="207"/>
        </w:trPr>
        <w:tc>
          <w:tcPr>
            <w:tcW w:w="20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72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440" w:type="dxa"/>
            <w:vAlign w:val="bottom"/>
          </w:tcPr>
          <w:p>
            <w:pPr>
              <w:spacing w:after="0"/>
              <w:rPr>
                <w:sz w:val="18"/>
                <w:szCs w:val="18"/>
                <w:color w:val="auto"/>
              </w:rPr>
            </w:pPr>
          </w:p>
        </w:tc>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7"/>
        </w:trPr>
        <w:tc>
          <w:tcPr>
            <w:tcW w:w="322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w w:val="99"/>
              </w:rPr>
              <w:t>Common Stock, $0.001</w:t>
            </w:r>
          </w:p>
        </w:tc>
        <w:tc>
          <w:tcPr>
            <w:tcW w:w="280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color w:val="auto"/>
                <w:w w:val="99"/>
              </w:rPr>
              <w:t>CLRO</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98" w:lineRule="exact"/>
        <w:rPr>
          <w:sz w:val="24"/>
          <w:szCs w:val="24"/>
          <w:color w:val="auto"/>
        </w:rPr>
      </w:pPr>
    </w:p>
    <w:p>
      <w:pPr>
        <w:ind w:right="5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1020" w:firstLine="98"/>
        <w:spacing w:after="0" w:line="255"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85" w:lineRule="exact"/>
        <w:rPr>
          <w:sz w:val="20"/>
          <w:szCs w:val="20"/>
          <w:color w:val="auto"/>
        </w:rPr>
      </w:pPr>
    </w:p>
    <w:p>
      <w:pPr>
        <w:sectPr>
          <w:pgSz w:w="11900" w:h="16838" w:orient="portrait"/>
          <w:cols w:equalWidth="0" w:num="2">
            <w:col w:w="720" w:space="580"/>
            <w:col w:w="9940"/>
          </w:cols>
          <w:pgMar w:left="320" w:top="522" w:right="339" w:bottom="1440" w:gutter="0" w:footer="0" w:header="0"/>
        </w:sect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December 23, 2025, ClearOne, Inc. (the “Company”) entered into separation and release agreements (each, a “Separation Agreement” an collectively, the “Separation Agreements”) with each of Derek L. Graham and Simon Brewer terminating their previous at-will employment with the Company effective as of December 31, 2025 and simultaneously entered into new employment agreements with each of Messrs. Graham and Brewer (each, an “Employment Agreement” and collectively, the “Employment Agreements”). The Separation Agreements and Employment Agreements were approved by the Company’s Board of Directors.</w:t>
      </w:r>
    </w:p>
    <w:p>
      <w:pPr>
        <w:spacing w:after="0" w:line="183"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Mr. Graham’s Separation Agreement provides for a lump sum severance payment equal to twelve (12) weeks of base salary, or $53,077. Mr. Brewer’s Separation Agreement provides for a nominal severance payment of $1.00. Each separation agreement contains customary confidentiality, non-disparagement, cooperation, and release provisions.</w:t>
      </w:r>
    </w:p>
    <w:p>
      <w:pPr>
        <w:spacing w:after="0" w:line="176"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Mr. Graham’s new Employment Agreement with the Company provides that he will serve as the Company’s Chief Executive Officer effective as of the first business day of 2026 on January 2, 2026. Under the term’s of Mr. Graham’s new Employment Agreement, he will receive a monthly base salary of $12,500 and is eligible for a retention bonus of $15,000 upon completion of the fixed term, subject to the terms and conditions of the agreement.</w:t>
      </w:r>
    </w:p>
    <w:p>
      <w:pPr>
        <w:spacing w:after="0" w:line="176"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Mr. Brewer’s new Employment Agreement with the Company provides that he will serve as the Company’s Chief Financial Officer effective as of January 1, 2026. Under the terms of Mr. Brewer’s new Employment Agreement, Mr. Brewer will receive a sign-on bonus of $75,000, an annual base salary of $300,000 and is eligible for a retention bonus of $60,000 upon completion of a strategic transaction resulting in a change in control, merger or sale of all of substantially all of the assets of the Company.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was no interruption in the Company’s executive leadership or day-to-day operations as a result of these actions.</w:t>
      </w:r>
    </w:p>
    <w:p>
      <w:pPr>
        <w:spacing w:after="0" w:line="22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foregoing summaries of the Separation Agreements and Employment Agreements do not purport to be complete and are qualified in their entirety by the full text of the Separation Agreements and Employment Agreements, which are filed as Exhibits 10.1 through 10.4 to this Current Report on Form 8-K and are incorporated herein by reference.</w:t>
      </w:r>
    </w:p>
    <w:p>
      <w:pPr>
        <w:spacing w:after="0" w:line="158"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16" w:lineRule="exact"/>
        <w:rPr>
          <w:sz w:val="20"/>
          <w:szCs w:val="20"/>
          <w:color w:val="auto"/>
        </w:rPr>
      </w:pPr>
    </w:p>
    <w:p>
      <w:pPr>
        <w:jc w:val="both"/>
        <w:ind w:left="140" w:right="140" w:firstLine="513"/>
        <w:spacing w:after="0" w:line="266" w:lineRule="auto"/>
        <w:rPr>
          <w:sz w:val="20"/>
          <w:szCs w:val="20"/>
          <w:color w:val="auto"/>
        </w:rPr>
      </w:pPr>
      <w:r>
        <w:rPr>
          <w:rFonts w:ascii="Times New Roman" w:cs="Times New Roman" w:eastAsia="Times New Roman" w:hAnsi="Times New Roman"/>
          <w:sz w:val="18"/>
          <w:szCs w:val="18"/>
          <w:color w:val="auto"/>
        </w:rPr>
        <w:t>On December 29, 2025, the Company held its 2025 annual meeting of shareholders (the “Annual Meeting”) at which shareholders voted on the two proposals listed below. The final voting results with respect to each proposal are also set forth below. As of December 11, 2025, the record date for the Annual Meeting, there were 2,237,912 shares of common stock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type w:val="continuous"/>
        </w:sectPr>
      </w:pPr>
    </w:p>
    <w:bookmarkStart w:id="2" w:name="page3"/>
    <w:bookmarkEnd w:id="2"/>
    <w:p>
      <w:pPr>
        <w:ind w:left="140" w:right="140" w:firstLine="3"/>
        <w:spacing w:after="0" w:line="282" w:lineRule="auto"/>
        <w:tabs>
          <w:tab w:leader="none" w:pos="37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Directors: All five directors were re-elected to serve terms expiring at the 2026 annual meeting of shareholders or until their successors are duly elected and qualified.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Nominee</w:t>
            </w:r>
          </w:p>
        </w:tc>
        <w:tc>
          <w:tcPr>
            <w:tcW w:w="39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Votes For</w:t>
            </w:r>
          </w:p>
        </w:tc>
        <w:tc>
          <w:tcPr>
            <w:tcW w:w="34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Votes withheld</w:t>
            </w:r>
          </w:p>
        </w:tc>
      </w:tr>
      <w:tr>
        <w:trPr>
          <w:trHeight w:val="205"/>
        </w:trPr>
        <w:tc>
          <w:tcPr>
            <w:tcW w:w="3280" w:type="dxa"/>
            <w:vAlign w:val="bottom"/>
            <w:tcBorders>
              <w:top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Eric L. Robinson</w:t>
            </w:r>
          </w:p>
        </w:tc>
        <w:tc>
          <w:tcPr>
            <w:tcW w:w="340" w:type="dxa"/>
            <w:vAlign w:val="bottom"/>
          </w:tcPr>
          <w:p>
            <w:pPr>
              <w:spacing w:after="0"/>
              <w:rPr>
                <w:sz w:val="17"/>
                <w:szCs w:val="17"/>
                <w:color w:val="auto"/>
              </w:rPr>
            </w:pPr>
          </w:p>
        </w:tc>
        <w:tc>
          <w:tcPr>
            <w:tcW w:w="3480" w:type="dxa"/>
            <w:vAlign w:val="bottom"/>
            <w:tcBorders>
              <w:top w:val="single" w:sz="8" w:color="auto"/>
            </w:tcBorders>
          </w:tcPr>
          <w:p>
            <w:pPr>
              <w:jc w:val="right"/>
              <w:ind w:right="1170"/>
              <w:spacing w:after="0" w:line="205" w:lineRule="exact"/>
              <w:rPr>
                <w:sz w:val="20"/>
                <w:szCs w:val="20"/>
                <w:color w:val="auto"/>
              </w:rPr>
            </w:pPr>
            <w:r>
              <w:rPr>
                <w:rFonts w:ascii="Times New Roman" w:cs="Times New Roman" w:eastAsia="Times New Roman" w:hAnsi="Times New Roman"/>
                <w:sz w:val="18"/>
                <w:szCs w:val="18"/>
                <w:color w:val="auto"/>
              </w:rPr>
              <w:t>1,314,191</w:t>
            </w:r>
          </w:p>
        </w:tc>
        <w:tc>
          <w:tcPr>
            <w:tcW w:w="460" w:type="dxa"/>
            <w:vAlign w:val="bottom"/>
          </w:tcPr>
          <w:p>
            <w:pPr>
              <w:spacing w:after="0"/>
              <w:rPr>
                <w:sz w:val="17"/>
                <w:szCs w:val="17"/>
                <w:color w:val="auto"/>
              </w:rPr>
            </w:pPr>
          </w:p>
        </w:tc>
        <w:tc>
          <w:tcPr>
            <w:tcW w:w="3460" w:type="dxa"/>
            <w:vAlign w:val="bottom"/>
            <w:tcBorders>
              <w:top w:val="single" w:sz="8" w:color="auto"/>
            </w:tcBorders>
          </w:tcPr>
          <w:p>
            <w:pPr>
              <w:jc w:val="center"/>
              <w:ind w:left="130"/>
              <w:spacing w:after="0" w:line="205" w:lineRule="exact"/>
              <w:rPr>
                <w:sz w:val="20"/>
                <w:szCs w:val="20"/>
                <w:color w:val="auto"/>
              </w:rPr>
            </w:pPr>
            <w:r>
              <w:rPr>
                <w:rFonts w:ascii="Times New Roman" w:cs="Times New Roman" w:eastAsia="Times New Roman" w:hAnsi="Times New Roman"/>
                <w:sz w:val="18"/>
                <w:szCs w:val="18"/>
                <w:color w:val="auto"/>
                <w:w w:val="98"/>
              </w:rPr>
              <w:t>5,505</w:t>
            </w:r>
          </w:p>
        </w:tc>
      </w:tr>
      <w:tr>
        <w:trPr>
          <w:trHeight w:val="229"/>
        </w:trPr>
        <w:tc>
          <w:tcPr>
            <w:tcW w:w="36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Eric Boehnke</w:t>
            </w:r>
          </w:p>
        </w:tc>
        <w:tc>
          <w:tcPr>
            <w:tcW w:w="348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1,308,783</w:t>
            </w:r>
          </w:p>
        </w:tc>
        <w:tc>
          <w:tcPr>
            <w:tcW w:w="460" w:type="dxa"/>
            <w:vAlign w:val="bottom"/>
          </w:tcPr>
          <w:p>
            <w:pPr>
              <w:spacing w:after="0"/>
              <w:rPr>
                <w:sz w:val="19"/>
                <w:szCs w:val="19"/>
                <w:color w:val="auto"/>
              </w:rPr>
            </w:pPr>
          </w:p>
        </w:tc>
        <w:tc>
          <w:tcPr>
            <w:tcW w:w="34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10,913</w:t>
            </w:r>
          </w:p>
        </w:tc>
      </w:tr>
      <w:tr>
        <w:trPr>
          <w:trHeight w:val="230"/>
        </w:trPr>
        <w:tc>
          <w:tcPr>
            <w:tcW w:w="36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Lisa B. Higley</w:t>
            </w:r>
          </w:p>
        </w:tc>
        <w:tc>
          <w:tcPr>
            <w:tcW w:w="348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1,313,880</w:t>
            </w:r>
          </w:p>
        </w:tc>
        <w:tc>
          <w:tcPr>
            <w:tcW w:w="460" w:type="dxa"/>
            <w:vAlign w:val="bottom"/>
          </w:tcPr>
          <w:p>
            <w:pPr>
              <w:spacing w:after="0"/>
              <w:rPr>
                <w:sz w:val="19"/>
                <w:szCs w:val="19"/>
                <w:color w:val="auto"/>
              </w:rPr>
            </w:pPr>
          </w:p>
        </w:tc>
        <w:tc>
          <w:tcPr>
            <w:tcW w:w="34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5,816</w:t>
            </w:r>
          </w:p>
        </w:tc>
      </w:tr>
      <w:tr>
        <w:trPr>
          <w:trHeight w:val="229"/>
        </w:trPr>
        <w:tc>
          <w:tcPr>
            <w:tcW w:w="36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Youngsun Park</w:t>
            </w:r>
          </w:p>
        </w:tc>
        <w:tc>
          <w:tcPr>
            <w:tcW w:w="348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1,311,463</w:t>
            </w:r>
          </w:p>
        </w:tc>
        <w:tc>
          <w:tcPr>
            <w:tcW w:w="460" w:type="dxa"/>
            <w:vAlign w:val="bottom"/>
          </w:tcPr>
          <w:p>
            <w:pPr>
              <w:spacing w:after="0"/>
              <w:rPr>
                <w:sz w:val="19"/>
                <w:szCs w:val="19"/>
                <w:color w:val="auto"/>
              </w:rPr>
            </w:pPr>
          </w:p>
        </w:tc>
        <w:tc>
          <w:tcPr>
            <w:tcW w:w="34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8,233</w:t>
            </w:r>
          </w:p>
        </w:tc>
      </w:tr>
      <w:tr>
        <w:trPr>
          <w:trHeight w:val="234"/>
        </w:trPr>
        <w:tc>
          <w:tcPr>
            <w:tcW w:w="36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Bruce Whaley</w:t>
            </w:r>
          </w:p>
        </w:tc>
        <w:tc>
          <w:tcPr>
            <w:tcW w:w="348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1,314,345</w:t>
            </w:r>
          </w:p>
        </w:tc>
        <w:tc>
          <w:tcPr>
            <w:tcW w:w="460" w:type="dxa"/>
            <w:vAlign w:val="bottom"/>
          </w:tcPr>
          <w:p>
            <w:pPr>
              <w:spacing w:after="0"/>
              <w:rPr>
                <w:sz w:val="20"/>
                <w:szCs w:val="20"/>
                <w:color w:val="auto"/>
              </w:rPr>
            </w:pPr>
          </w:p>
        </w:tc>
        <w:tc>
          <w:tcPr>
            <w:tcW w:w="34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5,351</w:t>
            </w:r>
          </w:p>
        </w:tc>
      </w:tr>
    </w:tbl>
    <w:p>
      <w:pPr>
        <w:spacing w:after="0" w:line="130" w:lineRule="exact"/>
        <w:rPr>
          <w:sz w:val="20"/>
          <w:szCs w:val="20"/>
          <w:color w:val="auto"/>
        </w:rPr>
      </w:pPr>
    </w:p>
    <w:p>
      <w:pPr>
        <w:ind w:left="140" w:right="140" w:firstLine="48"/>
        <w:spacing w:after="0" w:line="282" w:lineRule="auto"/>
        <w:tabs>
          <w:tab w:leader="none" w:pos="36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Vote on the compensation of the Company’s named executive officers: Shareholders approved the compensation of the Company’s named executive officers.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1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Votes For</w:t>
            </w:r>
          </w:p>
        </w:tc>
        <w:tc>
          <w:tcPr>
            <w:tcW w:w="3820" w:type="dxa"/>
            <w:vAlign w:val="bottom"/>
            <w:gridSpan w:val="7"/>
          </w:tcPr>
          <w:p>
            <w:pPr>
              <w:ind w:left="460"/>
              <w:spacing w:after="0"/>
              <w:rPr>
                <w:sz w:val="20"/>
                <w:szCs w:val="20"/>
                <w:color w:val="auto"/>
              </w:rPr>
            </w:pPr>
            <w:r>
              <w:rPr>
                <w:rFonts w:ascii="Times New Roman" w:cs="Times New Roman" w:eastAsia="Times New Roman" w:hAnsi="Times New Roman"/>
                <w:sz w:val="18"/>
                <w:szCs w:val="18"/>
                <w:color w:val="auto"/>
              </w:rPr>
              <w:t>Votes Against</w:t>
            </w:r>
          </w:p>
        </w:tc>
        <w:tc>
          <w:tcPr>
            <w:tcW w:w="296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Votes Abstained</w:t>
            </w:r>
          </w:p>
        </w:tc>
      </w:tr>
      <w:tr>
        <w:trPr>
          <w:trHeight w:val="228"/>
        </w:trPr>
        <w:tc>
          <w:tcPr>
            <w:tcW w:w="3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0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1,203,662</w:t>
            </w:r>
          </w:p>
        </w:tc>
        <w:tc>
          <w:tcPr>
            <w:tcW w:w="34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680" w:type="dxa"/>
            <w:vAlign w:val="bottom"/>
            <w:tcBorders>
              <w:top w:val="single" w:sz="8" w:color="auto"/>
            </w:tcBorders>
          </w:tcPr>
          <w:p>
            <w:pPr>
              <w:jc w:val="right"/>
              <w:ind w:right="147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960" w:type="dxa"/>
            <w:vAlign w:val="bottom"/>
            <w:tcBorders>
              <w:top w:val="single" w:sz="8" w:color="auto"/>
            </w:tcBorders>
          </w:tcPr>
          <w:p>
            <w:pPr>
              <w:jc w:val="right"/>
              <w:ind w:right="1590"/>
              <w:spacing w:after="0"/>
              <w:rPr>
                <w:sz w:val="20"/>
                <w:szCs w:val="20"/>
                <w:color w:val="auto"/>
              </w:rPr>
            </w:pPr>
            <w:r>
              <w:rPr>
                <w:rFonts w:ascii="Times New Roman" w:cs="Times New Roman" w:eastAsia="Times New Roman" w:hAnsi="Times New Roman"/>
                <w:sz w:val="18"/>
                <w:szCs w:val="18"/>
                <w:color w:val="auto"/>
              </w:rPr>
              <w:t>0</w:t>
            </w:r>
          </w:p>
        </w:tc>
      </w:tr>
      <w:tr>
        <w:trPr>
          <w:trHeight w:val="333"/>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318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2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364"/>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364"/>
        </w:trPr>
        <w:tc>
          <w:tcPr>
            <w:tcW w:w="1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7"/>
          </w:tcPr>
          <w:p>
            <w:pPr>
              <w:ind w:left="1580"/>
              <w:spacing w:after="0"/>
              <w:rPr>
                <w:sz w:val="20"/>
                <w:szCs w:val="20"/>
                <w:color w:val="auto"/>
              </w:rPr>
            </w:pPr>
            <w:r>
              <w:rPr>
                <w:rFonts w:ascii="Times New Roman" w:cs="Times New Roman" w:eastAsia="Times New Roman" w:hAnsi="Times New Roman"/>
                <w:sz w:val="18"/>
                <w:szCs w:val="18"/>
                <w:b w:val="1"/>
                <w:bCs w:val="1"/>
                <w:color w:val="auto"/>
              </w:rPr>
              <w:t>Exhibit Title</w:t>
            </w:r>
          </w:p>
        </w:tc>
        <w:tc>
          <w:tcPr>
            <w:tcW w:w="2960" w:type="dxa"/>
            <w:vAlign w:val="bottom"/>
            <w:tcBorders>
              <w:bottom w:val="single" w:sz="8" w:color="auto"/>
            </w:tcBorders>
          </w:tcPr>
          <w:p>
            <w:pPr>
              <w:spacing w:after="0"/>
              <w:rPr>
                <w:sz w:val="24"/>
                <w:szCs w:val="24"/>
                <w:color w:val="auto"/>
              </w:rPr>
            </w:pPr>
          </w:p>
        </w:tc>
      </w:tr>
      <w:tr>
        <w:trPr>
          <w:trHeight w:val="169"/>
        </w:trPr>
        <w:tc>
          <w:tcPr>
            <w:tcW w:w="3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60" w:type="dxa"/>
            <w:vAlign w:val="bottom"/>
            <w:gridSpan w:val="10"/>
          </w:tcPr>
          <w:p>
            <w:pPr>
              <w:spacing w:after="0" w:line="169" w:lineRule="exact"/>
              <w:rPr>
                <w:sz w:val="20"/>
                <w:szCs w:val="20"/>
                <w:color w:val="auto"/>
              </w:rPr>
            </w:pPr>
            <w:r>
              <w:rPr>
                <w:rFonts w:ascii="Times New Roman" w:cs="Times New Roman" w:eastAsia="Times New Roman" w:hAnsi="Times New Roman"/>
                <w:sz w:val="18"/>
                <w:szCs w:val="18"/>
                <w:color w:val="0000EE"/>
              </w:rPr>
              <w:t>Separation Agreement by and between ClearOne, Inc. and Derek L. Graham.</w:t>
            </w:r>
          </w:p>
        </w:tc>
        <w:tc>
          <w:tcPr>
            <w:tcW w:w="2960" w:type="dxa"/>
            <w:vAlign w:val="bottom"/>
          </w:tcPr>
          <w:p>
            <w:pPr>
              <w:spacing w:after="0"/>
              <w:rPr>
                <w:sz w:val="14"/>
                <w:szCs w:val="14"/>
                <w:color w:val="auto"/>
              </w:rPr>
            </w:pPr>
          </w:p>
        </w:tc>
      </w:tr>
      <w:tr>
        <w:trPr>
          <w:trHeight w:val="196"/>
        </w:trPr>
        <w:tc>
          <w:tcPr>
            <w:tcW w:w="3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2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Separation Agreement by and between ClearOne, Inc. and Simon Brewer.</w:t>
            </w:r>
          </w:p>
        </w:tc>
        <w:tc>
          <w:tcPr>
            <w:tcW w:w="220" w:type="dxa"/>
            <w:vAlign w:val="bottom"/>
            <w:tcBorders>
              <w:top w:val="single" w:sz="8" w:color="0000EE"/>
            </w:tcBorders>
            <w:gridSpan w:val="3"/>
          </w:tcPr>
          <w:p>
            <w:pPr>
              <w:spacing w:after="0"/>
              <w:rPr>
                <w:sz w:val="17"/>
                <w:szCs w:val="17"/>
                <w:color w:val="auto"/>
              </w:rPr>
            </w:pPr>
          </w:p>
        </w:tc>
        <w:tc>
          <w:tcPr>
            <w:tcW w:w="920" w:type="dxa"/>
            <w:vAlign w:val="bottom"/>
            <w:gridSpan w:val="3"/>
          </w:tcPr>
          <w:p>
            <w:pPr>
              <w:spacing w:after="0"/>
              <w:rPr>
                <w:sz w:val="17"/>
                <w:szCs w:val="17"/>
                <w:color w:val="auto"/>
              </w:rPr>
            </w:pPr>
          </w:p>
        </w:tc>
        <w:tc>
          <w:tcPr>
            <w:tcW w:w="2960" w:type="dxa"/>
            <w:vAlign w:val="bottom"/>
          </w:tcPr>
          <w:p>
            <w:pPr>
              <w:spacing w:after="0"/>
              <w:rPr>
                <w:sz w:val="17"/>
                <w:szCs w:val="17"/>
                <w:color w:val="auto"/>
              </w:rPr>
            </w:pPr>
          </w:p>
        </w:tc>
      </w:tr>
      <w:tr>
        <w:trPr>
          <w:trHeight w:val="21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3</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Employment Agreement by and between ClearOne, Inc. and Derek L. Graham.</w:t>
            </w:r>
          </w:p>
        </w:tc>
        <w:tc>
          <w:tcPr>
            <w:tcW w:w="2960" w:type="dxa"/>
            <w:vAlign w:val="bottom"/>
          </w:tcPr>
          <w:p>
            <w:pPr>
              <w:spacing w:after="0"/>
              <w:rPr>
                <w:sz w:val="18"/>
                <w:szCs w:val="18"/>
                <w:color w:val="auto"/>
              </w:rPr>
            </w:pPr>
          </w:p>
        </w:tc>
      </w:tr>
      <w:tr>
        <w:trPr>
          <w:trHeight w:val="209"/>
        </w:trPr>
        <w:tc>
          <w:tcPr>
            <w:tcW w:w="3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4</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8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Employment Agreement by and between ClearOne, Inc. and Simon Brewer.</w:t>
            </w:r>
          </w:p>
        </w:tc>
        <w:tc>
          <w:tcPr>
            <w:tcW w:w="220" w:type="dxa"/>
            <w:vAlign w:val="bottom"/>
            <w:tcBorders>
              <w:top w:val="single" w:sz="8" w:color="0000EE"/>
            </w:tcBorders>
            <w:gridSpan w:val="2"/>
          </w:tcPr>
          <w:p>
            <w:pPr>
              <w:spacing w:after="0"/>
              <w:rPr>
                <w:sz w:val="18"/>
                <w:szCs w:val="18"/>
                <w:color w:val="auto"/>
              </w:rPr>
            </w:pPr>
          </w:p>
        </w:tc>
        <w:tc>
          <w:tcPr>
            <w:tcW w:w="760" w:type="dxa"/>
            <w:vAlign w:val="bottom"/>
            <w:gridSpan w:val="2"/>
          </w:tcPr>
          <w:p>
            <w:pPr>
              <w:spacing w:after="0"/>
              <w:rPr>
                <w:sz w:val="18"/>
                <w:szCs w:val="18"/>
                <w:color w:val="auto"/>
              </w:rPr>
            </w:pPr>
          </w:p>
        </w:tc>
        <w:tc>
          <w:tcPr>
            <w:tcW w:w="2960" w:type="dxa"/>
            <w:vAlign w:val="bottom"/>
          </w:tcPr>
          <w:p>
            <w:pPr>
              <w:spacing w:after="0"/>
              <w:rPr>
                <w:sz w:val="18"/>
                <w:szCs w:val="18"/>
                <w:color w:val="auto"/>
              </w:rPr>
            </w:pPr>
          </w:p>
        </w:tc>
      </w:tr>
      <w:tr>
        <w:trPr>
          <w:trHeight w:val="250"/>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104.1</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c>
          <w:tcPr>
            <w:tcW w:w="2960" w:type="dxa"/>
            <w:vAlign w:val="bottom"/>
          </w:tcPr>
          <w:p>
            <w:pPr>
              <w:spacing w:after="0"/>
              <w:rPr>
                <w:sz w:val="21"/>
                <w:szCs w:val="21"/>
                <w:color w:val="auto"/>
              </w:rPr>
            </w:pPr>
          </w:p>
        </w:tc>
      </w:tr>
      <w:tr>
        <w:trPr>
          <w:trHeight w:val="318"/>
        </w:trPr>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80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CLEARONE, INC.</w:t>
            </w:r>
          </w:p>
        </w:tc>
      </w:tr>
      <w:tr>
        <w:trPr>
          <w:trHeight w:val="459"/>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30, 2025</w:t>
            </w:r>
          </w:p>
        </w:tc>
        <w:tc>
          <w:tcPr>
            <w:tcW w:w="780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i w:val="1"/>
                <w:iCs w:val="1"/>
                <w:color w:val="auto"/>
              </w:rPr>
              <w:t>/s/ Derek Graham</w:t>
            </w:r>
          </w:p>
        </w:tc>
      </w:tr>
      <w:tr>
        <w:trPr>
          <w:trHeight w:val="228"/>
        </w:trPr>
        <w:tc>
          <w:tcPr>
            <w:tcW w:w="34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5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Derek Graham</w:t>
            </w:r>
          </w:p>
        </w:tc>
      </w:tr>
      <w:tr>
        <w:trPr>
          <w:trHeight w:val="441"/>
        </w:trPr>
        <w:tc>
          <w:tcPr>
            <w:tcW w:w="34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33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u w:val="single" w:color="auto"/>
          <w:color w:val="auto"/>
        </w:rPr>
        <w:t>CONFIDENTIAL SEPARATION AGREEMENT AND GENERAL RELEASE</w:t>
      </w:r>
    </w:p>
    <w:p>
      <w:pPr>
        <w:spacing w:after="0" w:line="185" w:lineRule="exact"/>
        <w:rPr>
          <w:sz w:val="20"/>
          <w:szCs w:val="20"/>
          <w:color w:val="auto"/>
        </w:rPr>
      </w:pPr>
    </w:p>
    <w:p>
      <w:pPr>
        <w:ind w:right="480" w:firstLine="648"/>
        <w:spacing w:after="0" w:line="286" w:lineRule="auto"/>
        <w:rPr>
          <w:sz w:val="20"/>
          <w:szCs w:val="20"/>
          <w:color w:val="auto"/>
        </w:rPr>
      </w:pPr>
      <w:r>
        <w:rPr>
          <w:rFonts w:ascii="Times New Roman" w:cs="Times New Roman" w:eastAsia="Times New Roman" w:hAnsi="Times New Roman"/>
          <w:sz w:val="18"/>
          <w:szCs w:val="18"/>
          <w:color w:val="auto"/>
        </w:rPr>
        <w:t xml:space="preserve">This Confidential Separation Agreement and General Release (“Agreement”) is made and entered into by </w:t>
      </w:r>
      <w:r>
        <w:rPr>
          <w:rFonts w:ascii="Times New Roman" w:cs="Times New Roman" w:eastAsia="Times New Roman" w:hAnsi="Times New Roman"/>
          <w:sz w:val="18"/>
          <w:szCs w:val="18"/>
          <w:b w:val="1"/>
          <w:bCs w:val="1"/>
          <w:color w:val="auto"/>
        </w:rPr>
        <w:t>CLEARONE, INC.</w:t>
      </w:r>
      <w:r>
        <w:rPr>
          <w:rFonts w:ascii="Times New Roman" w:cs="Times New Roman" w:eastAsia="Times New Roman" w:hAnsi="Times New Roman"/>
          <w:sz w:val="18"/>
          <w:szCs w:val="18"/>
          <w:color w:val="auto"/>
        </w:rPr>
        <w:t xml:space="preserve"> (the “Company”) and </w:t>
      </w:r>
      <w:r>
        <w:rPr>
          <w:rFonts w:ascii="Times New Roman" w:cs="Times New Roman" w:eastAsia="Times New Roman" w:hAnsi="Times New Roman"/>
          <w:sz w:val="18"/>
          <w:szCs w:val="18"/>
          <w:b w:val="1"/>
          <w:bCs w:val="1"/>
          <w:color w:val="auto"/>
        </w:rPr>
        <w:t>DEREK L. GRAHAM</w:t>
      </w:r>
      <w:r>
        <w:rPr>
          <w:rFonts w:ascii="Times New Roman" w:cs="Times New Roman" w:eastAsia="Times New Roman" w:hAnsi="Times New Roman"/>
          <w:sz w:val="18"/>
          <w:szCs w:val="18"/>
          <w:color w:val="auto"/>
        </w:rPr>
        <w:t xml:space="preserve"> (“Employee”).</w:t>
      </w:r>
    </w:p>
    <w:p>
      <w:pPr>
        <w:spacing w:after="0" w:line="128" w:lineRule="exact"/>
        <w:rPr>
          <w:sz w:val="20"/>
          <w:szCs w:val="20"/>
          <w:color w:val="auto"/>
        </w:rPr>
      </w:pPr>
    </w:p>
    <w:p>
      <w:pPr>
        <w:ind w:right="7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Company and Employee mutually desire to set forth the terms and conditions of the termination of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with the Company;</w:t>
      </w:r>
    </w:p>
    <w:p>
      <w:pPr>
        <w:spacing w:after="0" w:line="1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Employee is hereby advised to consult with an attorney before signing this Agreement since it is a legal document,</w:t>
      </w:r>
    </w:p>
    <w:p>
      <w:pPr>
        <w:spacing w:after="0" w:line="185"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ow</w:t>
      </w:r>
      <w:r>
        <w:rPr>
          <w:rFonts w:ascii="Times New Roman" w:cs="Times New Roman" w:eastAsia="Times New Roman" w:hAnsi="Times New Roman"/>
          <w:sz w:val="18"/>
          <w:szCs w:val="18"/>
          <w:b w:val="1"/>
          <w:bCs w:val="1"/>
          <w:color w:val="auto"/>
        </w:rPr>
        <w:t xml:space="preserve">, THEREFORE </w:t>
      </w:r>
      <w:r>
        <w:rPr>
          <w:rFonts w:ascii="Times New Roman" w:cs="Times New Roman" w:eastAsia="Times New Roman" w:hAnsi="Times New Roman"/>
          <w:sz w:val="18"/>
          <w:szCs w:val="18"/>
          <w:color w:val="auto"/>
        </w:rPr>
        <w:t>, in consideration of the mutual covenants and agreements set forth below, the Company and Employee do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 as follows:</w:t>
      </w:r>
    </w:p>
    <w:p>
      <w:pPr>
        <w:spacing w:after="0" w:line="114" w:lineRule="exact"/>
        <w:rPr>
          <w:sz w:val="20"/>
          <w:szCs w:val="20"/>
          <w:color w:val="auto"/>
        </w:rPr>
      </w:pPr>
    </w:p>
    <w:p>
      <w:pPr>
        <w:jc w:val="both"/>
        <w:ind w:right="120" w:firstLine="644"/>
        <w:spacing w:after="0" w:line="259" w:lineRule="auto"/>
        <w:tabs>
          <w:tab w:leader="none" w:pos="131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Separation Date</w:t>
      </w:r>
      <w:r>
        <w:rPr>
          <w:rFonts w:ascii="Times New Roman" w:cs="Times New Roman" w:eastAsia="Times New Roman" w:hAnsi="Times New Roman"/>
          <w:sz w:val="18"/>
          <w:szCs w:val="18"/>
          <w:color w:val="auto"/>
        </w:rPr>
        <w:t>. Employee’s last day of employment with the Company is</w:t>
      </w:r>
      <w:r>
        <w:rPr>
          <w:rFonts w:ascii="Times New Roman" w:cs="Times New Roman" w:eastAsia="Times New Roman" w:hAnsi="Times New Roman"/>
          <w:sz w:val="18"/>
          <w:szCs w:val="18"/>
          <w:b w:val="1"/>
          <w:bCs w:val="1"/>
          <w:color w:val="auto"/>
        </w:rPr>
        <w:t xml:space="preserve"> Wednesday, December 31, 2025 </w:t>
      </w:r>
      <w:r>
        <w:rPr>
          <w:rFonts w:ascii="Times New Roman" w:cs="Times New Roman" w:eastAsia="Times New Roman" w:hAnsi="Times New Roman"/>
          <w:sz w:val="18"/>
          <w:szCs w:val="18"/>
          <w:color w:val="auto"/>
        </w:rPr>
        <w:t>(the “Separation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The Company and Employee agree that s/he has been or will be paid his/her regular base salary through the Separation Date. Employee’s participation in the Company’s medical, dental, and vision plans (if s/he has elected to participate) will end on December 31, 2025. All other benefits cease as of the Separation Date. Since the Company intends to terminate its medical, dental, and vision plans effective December 31, 2025, continuation through Utah’s mini-COBRA law will not be possible.</w:t>
      </w:r>
    </w:p>
    <w:p>
      <w:pPr>
        <w:spacing w:after="0" w:line="152" w:lineRule="exact"/>
        <w:rPr>
          <w:rFonts w:ascii="Times New Roman" w:cs="Times New Roman" w:eastAsia="Times New Roman" w:hAnsi="Times New Roman"/>
          <w:sz w:val="18"/>
          <w:szCs w:val="18"/>
          <w:color w:val="auto"/>
        </w:rPr>
      </w:pPr>
    </w:p>
    <w:p>
      <w:pPr>
        <w:ind w:right="220" w:firstLine="644"/>
        <w:spacing w:after="0" w:line="286" w:lineRule="auto"/>
        <w:tabs>
          <w:tab w:leader="none" w:pos="128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Lump Sum Severance Payment</w:t>
      </w:r>
      <w:r>
        <w:rPr>
          <w:rFonts w:ascii="Times New Roman" w:cs="Times New Roman" w:eastAsia="Times New Roman" w:hAnsi="Times New Roman"/>
          <w:sz w:val="18"/>
          <w:szCs w:val="18"/>
          <w:color w:val="auto"/>
        </w:rPr>
        <w:t>. In exchange for agreeing to and complying with the terms of this Agreement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release it contains), Employee will receive the following payment from the Company:</w:t>
      </w:r>
    </w:p>
    <w:p>
      <w:pPr>
        <w:spacing w:after="0" w:line="118" w:lineRule="exact"/>
        <w:rPr>
          <w:rFonts w:ascii="Times New Roman" w:cs="Times New Roman" w:eastAsia="Times New Roman" w:hAnsi="Times New Roman"/>
          <w:sz w:val="18"/>
          <w:szCs w:val="18"/>
          <w:color w:val="auto"/>
        </w:rPr>
      </w:pPr>
    </w:p>
    <w:p>
      <w:pPr>
        <w:ind w:right="60" w:firstLine="1292"/>
        <w:spacing w:after="0" w:line="261" w:lineRule="auto"/>
        <w:tabs>
          <w:tab w:leader="none" w:pos="198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pay severance to Employee in an amount equal to twelve (12) weeks of Employee’s base salary, less lawful deductions such as income tax withholdings, Social Security/FICA, and Medicare (the “Lump Sum Severance Payment”). The Lump Sum Severance Payment shall be paid on or after December 31, 2025 and following the Effective Date of this Agreement (as defined in paragraph 13(g) below).</w:t>
      </w:r>
    </w:p>
    <w:p>
      <w:pPr>
        <w:spacing w:after="0" w:line="139" w:lineRule="exact"/>
        <w:rPr>
          <w:rFonts w:ascii="Times New Roman" w:cs="Times New Roman" w:eastAsia="Times New Roman" w:hAnsi="Times New Roman"/>
          <w:sz w:val="18"/>
          <w:szCs w:val="18"/>
          <w:color w:val="auto"/>
        </w:rPr>
      </w:pPr>
    </w:p>
    <w:p>
      <w:pPr>
        <w:jc w:val="both"/>
        <w:ind w:right="160" w:firstLine="1292"/>
        <w:spacing w:after="0" w:line="266" w:lineRule="auto"/>
        <w:tabs>
          <w:tab w:leader="none" w:pos="199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payments and benefits specifically set forth in paragraph 1 and this paragraph 2, Employee agrees that Company and its affiliates do not owe Employee any further payments, compensation, bonuses, benefits, stock options, severance, commissions, or any other remuneration of any kind whatsoever.</w:t>
      </w:r>
    </w:p>
    <w:p>
      <w:pPr>
        <w:spacing w:after="0" w:line="20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81915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5" w:name="page6"/>
    <w:bookmarkEnd w:id="5"/>
    <w:p>
      <w:pPr>
        <w:ind w:left="-460" w:firstLine="644"/>
        <w:spacing w:after="0" w:line="251" w:lineRule="auto"/>
        <w:tabs>
          <w:tab w:leader="none" w:pos="7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General Release of All Claims</w:t>
      </w:r>
      <w:r>
        <w:rPr>
          <w:rFonts w:ascii="Times New Roman" w:cs="Times New Roman" w:eastAsia="Times New Roman" w:hAnsi="Times New Roman"/>
          <w:sz w:val="18"/>
          <w:szCs w:val="18"/>
          <w:color w:val="auto"/>
        </w:rPr>
        <w:t>. In exchange for the payments set forth in paragraph 2 above, Employee knowingly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voluntarily releases and forever discharges Company and its parent and affiliated companies, and each of their current and former officers, shareholders, directors, employees, members, attorneys, insurers, and agents thereof, both individually and in their business capacities (collectively, the “Releasees”), of and from any and all claims, known and unknown, which the Employee has or may have against any of the Releasees based on any conduct occurring from the beginning of the world up to and including the date on which Employee signs this Agreement, including, but not limited to, any alleged claim pursuant to the Age Discrimination in Employment Act, the Americans With Disabilities Act, the Civil Rights Act of 1866 (42 U.S.C. § 1981), the Employee Retirement Income Security Act, the Equal Pay Act, the Fair Credit Reporting Act, the Family and Medical Leave Act, the National Labor Relations Act, the Occupational Safety and Health Act, the Older Worker Benefit Protection Act, the Rehabilitation Act, the Sarbanes-Oxley Act, Title VII of the Civil Rights Act of 1964, the Workers Adjustment and Retraining Notification Act, the Florida AIDS Act, the Florida Civil Rights Act, the Florida Equal Pay Law, the Florida False Claims Law, the Florida Genetic Testing Law, the Florida Military Leave Law, the Florida Sickle Cell Discrimination Law, the Florida Wage Discrimination Law, the Florida Wage Payment Laws, the Florida Whistleblower Law, the Florida Worker’s Compensation Retaliation Law, the Illinois Biometric Information Privacy Act, the Illinois Employment Contract Act, the Illinois Equal Pay Act, the Illinois Family Bereavement Leave Act, the Illinois Health and Safety Act, the Illinois Human Rights Act, the Illinois Labor Dispute Act, the Illinois One Day Rest in Seven Act, the Illinois Paid Leave for All Workers Act, the Illinois Right to Privacy in the Workplace Act, the Illinois Union Employee Health and Benefits Protection Act, the Illinois Whistleblower Act, the Illinois Worker Adjustment and Retraining Notification Act, the Illinois Victims’ Economic Security and Safety Act, the Illinois Whistleblower Act, the Pennsylvania Human Relations Act, the Pennsylvania Labor and Wage Payment Laws, the Utah Antidiscrimination Act, and/or any other federal, state, city, local or other anti-discrimination, fair employment practices, labor, employment, employee benefits, or other law, rule, or regulation. Notwithstanding the foregoing, the Company acknowledges and recognizes that nothing in this Agreement prohibits Employee from filing a charge or complaint with any federal, state, or local fair employment practices agency or from participating in any investigation by any governmental agency. In the event that Employee receives any money or thing of value related to any of the claims released above as a consequence of the filing of such a charge or complaint on Employee’s behalf or otherwise, Employee agrees to and shall promptly pay or turn over any such money or thing of value to the Company unless prohibited by law.</w:t>
      </w:r>
    </w:p>
    <w:p>
      <w:pPr>
        <w:spacing w:after="0" w:line="110" w:lineRule="exact"/>
        <w:rPr>
          <w:rFonts w:ascii="Times New Roman" w:cs="Times New Roman" w:eastAsia="Times New Roman" w:hAnsi="Times New Roman"/>
          <w:sz w:val="18"/>
          <w:szCs w:val="18"/>
          <w:color w:val="auto"/>
        </w:rPr>
      </w:pPr>
    </w:p>
    <w:p>
      <w:pPr>
        <w:ind w:left="-460" w:right="100" w:firstLine="644"/>
        <w:spacing w:after="0" w:line="271" w:lineRule="auto"/>
        <w:tabs>
          <w:tab w:leader="none" w:pos="88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California</w:t>
      </w:r>
      <w:r>
        <w:rPr>
          <w:rFonts w:ascii="Times New Roman" w:cs="Times New Roman" w:eastAsia="Times New Roman" w:hAnsi="Times New Roman"/>
          <w:sz w:val="18"/>
          <w:szCs w:val="18"/>
          <w:color w:val="auto"/>
        </w:rPr>
        <w:t>. If during employment with the Company, Employee lived or worked in California, Employee is releasing all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Section 1542 of the California Civil Code, which reads as follows:</w:t>
      </w:r>
    </w:p>
    <w:p>
      <w:pPr>
        <w:spacing w:after="0" w:line="90" w:lineRule="exact"/>
        <w:rPr>
          <w:sz w:val="20"/>
          <w:szCs w:val="20"/>
          <w:color w:val="auto"/>
        </w:rPr>
      </w:pPr>
    </w:p>
    <w:p>
      <w:pPr>
        <w:ind w:left="180" w:right="60"/>
        <w:spacing w:after="0" w:line="261" w:lineRule="auto"/>
        <w:rPr>
          <w:sz w:val="20"/>
          <w:szCs w:val="20"/>
          <w:color w:val="auto"/>
        </w:rPr>
      </w:pPr>
      <w:r>
        <w:rPr>
          <w:rFonts w:ascii="Times New Roman" w:cs="Times New Roman" w:eastAsia="Times New Roman" w:hAnsi="Times New Roman"/>
          <w:sz w:val="18"/>
          <w:szCs w:val="18"/>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08" w:lineRule="exact"/>
        <w:rPr>
          <w:sz w:val="20"/>
          <w:szCs w:val="20"/>
          <w:color w:val="auto"/>
        </w:rPr>
      </w:pPr>
    </w:p>
    <w:p>
      <w:pPr>
        <w:ind w:left="-460" w:right="20" w:firstLine="644"/>
        <w:spacing w:after="0" w:line="254" w:lineRule="auto"/>
        <w:tabs>
          <w:tab w:leader="none" w:pos="85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Confidentiality</w:t>
      </w:r>
      <w:r>
        <w:rPr>
          <w:rFonts w:ascii="Times New Roman" w:cs="Times New Roman" w:eastAsia="Times New Roman" w:hAnsi="Times New Roman"/>
          <w:sz w:val="18"/>
          <w:szCs w:val="18"/>
          <w:color w:val="auto"/>
        </w:rPr>
        <w:t>. Employee acknowledges and agrees that he is still bound by the Company’s Confidentiality, Restrictive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Covenants and Intellectual Property Agreement. Employee further agrees that this Agreement, any and all matters concerning Employee’s separation from the Company, and all of the Company’s confidential information will be maintained in confidence and will not be disclosed to any person or entity. Notwithstanding the foregoing, Employee may reveal the relevant terms of this Agreement to his spouse, tax advisor, and/or an attorney with whom Employee chooses to consult regarding Employee’s consideration of this Agreement, or as may be required by any governmental agency.</w:t>
      </w:r>
    </w:p>
    <w:p>
      <w:pPr>
        <w:spacing w:after="0" w:line="10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81915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482" w:right="339" w:bottom="1440" w:gutter="0" w:footer="0" w:header="0"/>
        </w:sectPr>
      </w:pPr>
    </w:p>
    <w:bookmarkStart w:id="6" w:name="page7"/>
    <w:bookmarkEnd w:id="6"/>
    <w:p>
      <w:pPr>
        <w:ind w:left="-460" w:right="80" w:firstLine="644"/>
        <w:spacing w:after="0" w:line="257"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Return of Property; Deletion of Work-Related Electronic Files from Personal Devices</w:t>
      </w:r>
      <w:r>
        <w:rPr>
          <w:rFonts w:ascii="Times New Roman" w:cs="Times New Roman" w:eastAsia="Times New Roman" w:hAnsi="Times New Roman"/>
          <w:sz w:val="18"/>
          <w:szCs w:val="18"/>
          <w:color w:val="auto"/>
        </w:rPr>
        <w:t>. If not already done,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agrees that he will promptly return to Company any and all laptops, iPads, cellular phones, ClearOne demo products, credit cards, calling cards, marketing materials, files, e-mails, data, confidential information, or other property of Company, without deleting any data or applications therefrom and without retaining any copies or extracts thereof. To the extent that Employee has any work-related files, e-mails, data, or information in electronic form on Employee’s personal devices (or accessible therefrom), Employee further agrees to delete all such files, e-mails, data, and information.</w:t>
      </w:r>
    </w:p>
    <w:p>
      <w:pPr>
        <w:spacing w:after="0" w:line="114" w:lineRule="exact"/>
        <w:rPr>
          <w:rFonts w:ascii="Times New Roman" w:cs="Times New Roman" w:eastAsia="Times New Roman" w:hAnsi="Times New Roman"/>
          <w:sz w:val="18"/>
          <w:szCs w:val="18"/>
          <w:color w:val="auto"/>
        </w:rPr>
      </w:pPr>
    </w:p>
    <w:p>
      <w:pPr>
        <w:ind w:left="820" w:hanging="63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Employee’s Future Conduct and Obligations</w:t>
      </w:r>
      <w:r>
        <w:rPr>
          <w:rFonts w:ascii="Times New Roman" w:cs="Times New Roman" w:eastAsia="Times New Roman" w:hAnsi="Times New Roman"/>
          <w:sz w:val="18"/>
          <w:szCs w:val="18"/>
          <w:color w:val="auto"/>
        </w:rPr>
        <w:t>.</w:t>
      </w:r>
    </w:p>
    <w:p>
      <w:pPr>
        <w:spacing w:after="0" w:line="148" w:lineRule="exact"/>
        <w:rPr>
          <w:rFonts w:ascii="Times New Roman" w:cs="Times New Roman" w:eastAsia="Times New Roman" w:hAnsi="Times New Roman"/>
          <w:sz w:val="18"/>
          <w:szCs w:val="18"/>
          <w:color w:val="auto"/>
        </w:rPr>
      </w:pPr>
    </w:p>
    <w:p>
      <w:pPr>
        <w:ind w:left="-460" w:right="400" w:firstLine="1292"/>
        <w:spacing w:after="0" w:line="282" w:lineRule="auto"/>
        <w:tabs>
          <w:tab w:leader="none" w:pos="155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and agrees that he is still bound by any confidentiality or non-disclosure agreement that Employee signed prior to or during Employee’s employment with the Company and/or any predecessor thereof.</w:t>
      </w:r>
    </w:p>
    <w:p>
      <w:pPr>
        <w:spacing w:after="0" w:line="94" w:lineRule="exact"/>
        <w:rPr>
          <w:rFonts w:ascii="Times New Roman" w:cs="Times New Roman" w:eastAsia="Times New Roman" w:hAnsi="Times New Roman"/>
          <w:sz w:val="18"/>
          <w:szCs w:val="18"/>
          <w:color w:val="auto"/>
        </w:rPr>
      </w:pPr>
    </w:p>
    <w:p>
      <w:pPr>
        <w:ind w:left="-460" w:right="140" w:firstLine="1292"/>
        <w:spacing w:after="0" w:line="266" w:lineRule="auto"/>
        <w:tabs>
          <w:tab w:leader="none" w:pos="153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Employee agrees that he will not at any time engage in any form of conduct, or make any statements or representations, that disparage or otherwise impair the reputation, goodwill, or commercial interests of the Company, its management, officers, employees, stockholders, and/or affiliates.</w:t>
      </w:r>
    </w:p>
    <w:p>
      <w:pPr>
        <w:spacing w:after="0" w:line="94" w:lineRule="exact"/>
        <w:rPr>
          <w:rFonts w:ascii="Times New Roman" w:cs="Times New Roman" w:eastAsia="Times New Roman" w:hAnsi="Times New Roman"/>
          <w:sz w:val="18"/>
          <w:szCs w:val="18"/>
          <w:color w:val="auto"/>
        </w:rPr>
      </w:pPr>
    </w:p>
    <w:p>
      <w:pPr>
        <w:ind w:left="-460" w:right="40" w:firstLine="1292"/>
        <w:spacing w:after="0" w:line="261" w:lineRule="auto"/>
        <w:tabs>
          <w:tab w:leader="none" w:pos="155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Employee agrees to cooperate with Company reasonably responding to questions relating to issues concerning his employment with the Company and by making himself reasonably available to meet with the Company or its representatives to discuss any litigation, arbitration, governmental investigation, internal company investigation, or other proceeding or matter with respect to which he may have relevant information.</w:t>
      </w:r>
    </w:p>
    <w:p>
      <w:pPr>
        <w:spacing w:after="0" w:line="108" w:lineRule="exact"/>
        <w:rPr>
          <w:rFonts w:ascii="Times New Roman" w:cs="Times New Roman" w:eastAsia="Times New Roman" w:hAnsi="Times New Roman"/>
          <w:sz w:val="18"/>
          <w:szCs w:val="18"/>
          <w:color w:val="auto"/>
        </w:rPr>
      </w:pPr>
    </w:p>
    <w:p>
      <w:pPr>
        <w:ind w:left="-460" w:right="220" w:firstLine="644"/>
        <w:spacing w:after="0" w:line="268" w:lineRule="auto"/>
        <w:tabs>
          <w:tab w:leader="none" w:pos="82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Non-Admission</w:t>
      </w:r>
      <w:r>
        <w:rPr>
          <w:rFonts w:ascii="Times New Roman" w:cs="Times New Roman" w:eastAsia="Times New Roman" w:hAnsi="Times New Roman"/>
          <w:sz w:val="18"/>
          <w:szCs w:val="18"/>
          <w:color w:val="auto"/>
        </w:rPr>
        <w:t>. The making of this Agreement is not intended, and shall not be construed, as an admission that either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has violated any federal, state, or local law, ordinance or regulation, breached any contract (express or implied), or committed any wrong whatsoever.</w:t>
      </w:r>
    </w:p>
    <w:p>
      <w:pPr>
        <w:spacing w:after="0" w:line="103" w:lineRule="exact"/>
        <w:rPr>
          <w:rFonts w:ascii="Times New Roman" w:cs="Times New Roman" w:eastAsia="Times New Roman" w:hAnsi="Times New Roman"/>
          <w:sz w:val="18"/>
          <w:szCs w:val="18"/>
          <w:color w:val="auto"/>
        </w:rPr>
      </w:pPr>
    </w:p>
    <w:p>
      <w:pPr>
        <w:ind w:left="-460" w:firstLine="644"/>
        <w:spacing w:after="0" w:line="268" w:lineRule="auto"/>
        <w:tabs>
          <w:tab w:leader="none" w:pos="82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Employee shall promptly notify Company of any change in Employee’s residence address. Any notice to be given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hereunder may be delivered (a) in the case of the Company, by e-mail to Teri Lee at </w:t>
      </w:r>
      <w:r>
        <w:rPr>
          <w:rFonts w:ascii="Times New Roman" w:cs="Times New Roman" w:eastAsia="Times New Roman" w:hAnsi="Times New Roman"/>
          <w:sz w:val="18"/>
          <w:szCs w:val="18"/>
          <w:u w:val="single" w:color="auto"/>
          <w:color w:val="auto"/>
        </w:rPr>
        <w:t>Teri.Lee@ClearOne.com</w:t>
      </w:r>
      <w:r>
        <w:rPr>
          <w:rFonts w:ascii="Times New Roman" w:cs="Times New Roman" w:eastAsia="Times New Roman" w:hAnsi="Times New Roman"/>
          <w:sz w:val="18"/>
          <w:szCs w:val="18"/>
          <w:color w:val="auto"/>
        </w:rPr>
        <w:t>, and (b) in the case of the Employee, either to him/her personally or by first class mail to his/her last known residence address.</w:t>
      </w:r>
    </w:p>
    <w:p>
      <w:pPr>
        <w:spacing w:after="0" w:line="89" w:lineRule="exact"/>
        <w:rPr>
          <w:rFonts w:ascii="Times New Roman" w:cs="Times New Roman" w:eastAsia="Times New Roman" w:hAnsi="Times New Roman"/>
          <w:sz w:val="18"/>
          <w:szCs w:val="18"/>
          <w:color w:val="auto"/>
        </w:rPr>
      </w:pPr>
    </w:p>
    <w:p>
      <w:pPr>
        <w:ind w:left="-460" w:firstLine="644"/>
        <w:spacing w:after="0" w:line="262" w:lineRule="auto"/>
        <w:tabs>
          <w:tab w:leader="none" w:pos="82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Certain Forfeitures in Event of Breach</w:t>
      </w:r>
      <w:r>
        <w:rPr>
          <w:rFonts w:ascii="Times New Roman" w:cs="Times New Roman" w:eastAsia="Times New Roman" w:hAnsi="Times New Roman"/>
          <w:sz w:val="18"/>
          <w:szCs w:val="18"/>
          <w:color w:val="auto"/>
        </w:rPr>
        <w:t>. Employee acknowledges and agrees that, notwithstanding any other provision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in the event the Employee breaches any obligation under this Agreement, Employee will forfeit his right to receive the payments provided for in paragraph 2 of this Agreement (except for $100) and, to the extent that such payments have already been paid to the Employee, the Company shall have the right to recover such payments from the Employee.</w:t>
      </w:r>
    </w:p>
    <w:p>
      <w:pPr>
        <w:spacing w:after="0" w:line="135" w:lineRule="exact"/>
        <w:rPr>
          <w:rFonts w:ascii="Times New Roman" w:cs="Times New Roman" w:eastAsia="Times New Roman" w:hAnsi="Times New Roman"/>
          <w:sz w:val="18"/>
          <w:szCs w:val="18"/>
          <w:color w:val="auto"/>
        </w:rPr>
      </w:pPr>
    </w:p>
    <w:p>
      <w:pPr>
        <w:ind w:left="-460" w:right="40" w:firstLine="644"/>
        <w:spacing w:after="0" w:line="268" w:lineRule="auto"/>
        <w:tabs>
          <w:tab w:leader="none" w:pos="8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shall be governed and construed in accordance with the laws of the State of Utah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giving effect to the principles of conflicts of laws thereof and the parties shall be subject to the personal jurisdiction and venue of federal and state courts located in Salt Lake City, Utah, in connection with any actions brought under this Agreement.</w:t>
      </w:r>
    </w:p>
    <w:p>
      <w:pPr>
        <w:spacing w:after="0" w:line="103" w:lineRule="exact"/>
        <w:rPr>
          <w:rFonts w:ascii="Times New Roman" w:cs="Times New Roman" w:eastAsia="Times New Roman" w:hAnsi="Times New Roman"/>
          <w:sz w:val="18"/>
          <w:szCs w:val="18"/>
          <w:color w:val="auto"/>
        </w:rPr>
      </w:pPr>
    </w:p>
    <w:p>
      <w:pPr>
        <w:ind w:left="-460" w:firstLine="644"/>
        <w:spacing w:after="0" w:line="262" w:lineRule="auto"/>
        <w:tabs>
          <w:tab w:leader="none" w:pos="82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sets forth the entire agreement between the parties hereto, and fully supersedes and replaces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prior agreements or understandings between the parties with respect to Employee’s separation. Employee acknowledges that he has not relied on any representations, promises, or agreements of any kind made to him in connection with his decision to accept this Agreement, except for those set forth in this Agreement.</w:t>
      </w:r>
    </w:p>
    <w:p>
      <w:pPr>
        <w:spacing w:after="0" w:line="14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549" w:right="359" w:bottom="1440" w:gutter="0" w:footer="0" w:header="0"/>
        </w:sectPr>
      </w:pPr>
    </w:p>
    <w:bookmarkStart w:id="7" w:name="page8"/>
    <w:bookmarkEnd w:id="7"/>
    <w:p>
      <w:pPr>
        <w:ind w:left="1300" w:hanging="656"/>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Meaning of Signing This Agreement</w:t>
      </w:r>
      <w:r>
        <w:rPr>
          <w:rFonts w:ascii="Times New Roman" w:cs="Times New Roman" w:eastAsia="Times New Roman" w:hAnsi="Times New Roman"/>
          <w:sz w:val="18"/>
          <w:szCs w:val="18"/>
          <w:color w:val="auto"/>
        </w:rPr>
        <w:t>. By signing this Agreement, Employee expressly acknowledges and agrees that:</w:t>
      </w:r>
    </w:p>
    <w:p>
      <w:pPr>
        <w:spacing w:after="0" w:line="188" w:lineRule="exact"/>
        <w:rPr>
          <w:rFonts w:ascii="Times New Roman" w:cs="Times New Roman" w:eastAsia="Times New Roman" w:hAnsi="Times New Roman"/>
          <w:sz w:val="18"/>
          <w:szCs w:val="18"/>
          <w:color w:val="auto"/>
        </w:rPr>
      </w:pPr>
    </w:p>
    <w:p>
      <w:pPr>
        <w:ind w:left="2020" w:hanging="728"/>
        <w:spacing w:after="0"/>
        <w:tabs>
          <w:tab w:leader="none" w:pos="2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has carefully read this Agreement and fully understand what it means;</w:t>
      </w:r>
    </w:p>
    <w:p>
      <w:pPr>
        <w:spacing w:after="0" w:line="184" w:lineRule="exact"/>
        <w:rPr>
          <w:rFonts w:ascii="Times New Roman" w:cs="Times New Roman" w:eastAsia="Times New Roman" w:hAnsi="Times New Roman"/>
          <w:sz w:val="18"/>
          <w:szCs w:val="18"/>
          <w:color w:val="auto"/>
        </w:rPr>
      </w:pPr>
    </w:p>
    <w:p>
      <w:pPr>
        <w:ind w:left="2000" w:hanging="708"/>
        <w:spacing w:after="0"/>
        <w:tabs>
          <w:tab w:leader="none" w:pos="20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have been advised in writing to discuss this Agreement with an attorney before signing it.</w:t>
      </w:r>
    </w:p>
    <w:p>
      <w:pPr>
        <w:spacing w:after="0" w:line="198" w:lineRule="exact"/>
        <w:rPr>
          <w:rFonts w:ascii="Times New Roman" w:cs="Times New Roman" w:eastAsia="Times New Roman" w:hAnsi="Times New Roman"/>
          <w:sz w:val="18"/>
          <w:szCs w:val="18"/>
          <w:color w:val="auto"/>
        </w:rPr>
      </w:pPr>
    </w:p>
    <w:p>
      <w:pPr>
        <w:ind w:left="2020" w:hanging="728"/>
        <w:spacing w:after="0"/>
        <w:tabs>
          <w:tab w:leader="none" w:pos="2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has been given at least forty-five (45) calendar days to consider this Agreement;</w:t>
      </w:r>
    </w:p>
    <w:p>
      <w:pPr>
        <w:spacing w:after="0" w:line="184" w:lineRule="exact"/>
        <w:rPr>
          <w:rFonts w:ascii="Times New Roman" w:cs="Times New Roman" w:eastAsia="Times New Roman" w:hAnsi="Times New Roman"/>
          <w:sz w:val="18"/>
          <w:szCs w:val="18"/>
          <w:color w:val="auto"/>
        </w:rPr>
      </w:pPr>
    </w:p>
    <w:p>
      <w:pPr>
        <w:ind w:firstLine="1292"/>
        <w:spacing w:after="0" w:line="282" w:lineRule="auto"/>
        <w:tabs>
          <w:tab w:leader="none" w:pos="199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has been given a list of the job titles and ages of all U.S. employees eligible for this separation program and the job titles and ages of all U.S. employees who are not eligible for this program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Appendix A);</w:t>
      </w:r>
    </w:p>
    <w:p>
      <w:pPr>
        <w:spacing w:after="0" w:line="121" w:lineRule="exact"/>
        <w:rPr>
          <w:rFonts w:ascii="Times New Roman" w:cs="Times New Roman" w:eastAsia="Times New Roman" w:hAnsi="Times New Roman"/>
          <w:sz w:val="18"/>
          <w:szCs w:val="18"/>
          <w:color w:val="auto"/>
        </w:rPr>
      </w:pPr>
    </w:p>
    <w:p>
      <w:pPr>
        <w:ind w:right="60" w:firstLine="1292"/>
        <w:spacing w:after="0" w:line="282" w:lineRule="auto"/>
        <w:tabs>
          <w:tab w:leader="none" w:pos="201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has agreed to this Agreement knowingly and voluntarily, was not subject to any undue influence or duress, and is competent to execute this document;</w:t>
      </w:r>
    </w:p>
    <w:p>
      <w:pPr>
        <w:spacing w:after="0" w:line="134" w:lineRule="exact"/>
        <w:rPr>
          <w:rFonts w:ascii="Times New Roman" w:cs="Times New Roman" w:eastAsia="Times New Roman" w:hAnsi="Times New Roman"/>
          <w:sz w:val="18"/>
          <w:szCs w:val="18"/>
          <w:color w:val="auto"/>
        </w:rPr>
      </w:pPr>
    </w:p>
    <w:p>
      <w:pPr>
        <w:ind w:right="100" w:firstLine="1292"/>
        <w:spacing w:after="0" w:line="282" w:lineRule="auto"/>
        <w:tabs>
          <w:tab w:leader="none" w:pos="203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Employee may revoke his/her acceptance of this Agreement within seven (7) days after signing it by sending written Notice of Revocation to Teri Lee by e-mail at </w:t>
      </w:r>
      <w:r>
        <w:rPr>
          <w:rFonts w:ascii="Times New Roman" w:cs="Times New Roman" w:eastAsia="Times New Roman" w:hAnsi="Times New Roman"/>
          <w:sz w:val="18"/>
          <w:szCs w:val="18"/>
          <w:u w:val="single" w:color="auto"/>
          <w:color w:val="auto"/>
        </w:rPr>
        <w:t>Teri.Lee@ClearOne.com</w:t>
      </w:r>
      <w:r>
        <w:rPr>
          <w:rFonts w:ascii="Times New Roman" w:cs="Times New Roman" w:eastAsia="Times New Roman" w:hAnsi="Times New Roman"/>
          <w:sz w:val="18"/>
          <w:szCs w:val="18"/>
          <w:color w:val="auto"/>
        </w:rPr>
        <w:t>; and</w:t>
      </w:r>
    </w:p>
    <w:p>
      <w:pPr>
        <w:spacing w:after="0" w:line="121" w:lineRule="exact"/>
        <w:rPr>
          <w:rFonts w:ascii="Times New Roman" w:cs="Times New Roman" w:eastAsia="Times New Roman" w:hAnsi="Times New Roman"/>
          <w:sz w:val="18"/>
          <w:szCs w:val="18"/>
          <w:color w:val="auto"/>
        </w:rPr>
      </w:pPr>
    </w:p>
    <w:p>
      <w:pPr>
        <w:ind w:right="120" w:firstLine="1292"/>
        <w:spacing w:after="0" w:line="282" w:lineRule="auto"/>
        <w:tabs>
          <w:tab w:leader="none" w:pos="199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becomes effective and enforceable if it has not been revoked on the eighth (8th) day after Employee signs this Agreement (such date being the “Effective Date”).</w:t>
      </w:r>
    </w:p>
    <w:p>
      <w:pPr>
        <w:spacing w:after="0" w:line="117" w:lineRule="exact"/>
        <w:rPr>
          <w:rFonts w:ascii="Times New Roman" w:cs="Times New Roman" w:eastAsia="Times New Roman" w:hAnsi="Times New Roman"/>
          <w:sz w:val="18"/>
          <w:szCs w:val="18"/>
          <w:color w:val="auto"/>
        </w:rPr>
      </w:pPr>
    </w:p>
    <w:p>
      <w:pPr>
        <w:ind w:right="100" w:firstLine="644"/>
        <w:spacing w:after="0" w:line="268" w:lineRule="auto"/>
        <w:tabs>
          <w:tab w:leader="none" w:pos="131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Return of Signed Agreement</w:t>
      </w:r>
      <w:r>
        <w:rPr>
          <w:rFonts w:ascii="Times New Roman" w:cs="Times New Roman" w:eastAsia="Times New Roman" w:hAnsi="Times New Roman"/>
          <w:sz w:val="18"/>
          <w:szCs w:val="18"/>
          <w:color w:val="auto"/>
        </w:rPr>
        <w:t>. Employee may accept this Agreement by signing and dating the Agreement and returning it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email to Teri Lee at </w:t>
      </w:r>
      <w:r>
        <w:rPr>
          <w:rFonts w:ascii="Times New Roman" w:cs="Times New Roman" w:eastAsia="Times New Roman" w:hAnsi="Times New Roman"/>
          <w:sz w:val="18"/>
          <w:szCs w:val="18"/>
          <w:u w:val="single" w:color="auto"/>
          <w:color w:val="auto"/>
        </w:rPr>
        <w:t>Teri.Lee@ClearOne.com</w:t>
      </w:r>
      <w:r>
        <w:rPr>
          <w:rFonts w:ascii="Times New Roman" w:cs="Times New Roman" w:eastAsia="Times New Roman" w:hAnsi="Times New Roman"/>
          <w:sz w:val="18"/>
          <w:szCs w:val="18"/>
          <w:color w:val="auto"/>
        </w:rPr>
        <w:t xml:space="preserve"> within forty-five (45) days after receiving it. If Employee does not sign and return this Agreement within said 45 days, this Agreement shall be deemed automatically null and void.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parties knowingly and voluntarily sign this Confidential Separation Agreement and General Release as of the date(s) set forth below:</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268" w:lineRule="exact"/>
        <w:rPr>
          <w:sz w:val="20"/>
          <w:szCs w:val="20"/>
          <w:color w:val="auto"/>
        </w:rPr>
      </w:pPr>
    </w:p>
    <w:p>
      <w:pPr>
        <w:ind w:left="40"/>
        <w:spacing w:after="0"/>
        <w:tabs>
          <w:tab w:leader="none" w:pos="520" w:val="left"/>
          <w:tab w:leader="none" w:pos="6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Eric L.Robinson</w:t>
      </w:r>
      <w:r>
        <w:rPr>
          <w:sz w:val="20"/>
          <w:szCs w:val="20"/>
          <w:color w:val="auto"/>
        </w:rPr>
        <w:tab/>
      </w:r>
      <w:r>
        <w:rPr>
          <w:rFonts w:ascii="Times New Roman" w:cs="Times New Roman" w:eastAsia="Times New Roman" w:hAnsi="Times New Roman"/>
          <w:sz w:val="18"/>
          <w:szCs w:val="18"/>
          <w:color w:val="auto"/>
        </w:rPr>
        <w:t>Dated: Dec 23,2025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27305</wp:posOffset>
            </wp:positionV>
            <wp:extent cx="60521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52185" cy="8255"/>
                    </a:xfrm>
                    <a:prstGeom prst="rect">
                      <a:avLst/>
                    </a:prstGeom>
                    <a:noFill/>
                  </pic:spPr>
                </pic:pic>
              </a:graphicData>
            </a:graphic>
          </wp:anchor>
        </w:drawing>
      </w:r>
    </w:p>
    <w:p>
      <w:pPr>
        <w:spacing w:after="0" w:line="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Eric L. Robinson</w:t>
      </w:r>
    </w:p>
    <w:p>
      <w:pPr>
        <w:spacing w:after="0" w:line="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2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DEREK L. GRAHAM</w:t>
      </w:r>
    </w:p>
    <w:p>
      <w:pPr>
        <w:spacing w:after="0" w:line="268" w:lineRule="exact"/>
        <w:rPr>
          <w:sz w:val="20"/>
          <w:szCs w:val="20"/>
          <w:color w:val="auto"/>
        </w:rPr>
      </w:pPr>
    </w:p>
    <w:p>
      <w:pPr>
        <w:ind w:left="40"/>
        <w:spacing w:after="0"/>
        <w:tabs>
          <w:tab w:leader="none" w:pos="540" w:val="left"/>
          <w:tab w:leader="none" w:pos="6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Derek L .Graham</w:t>
      </w:r>
      <w:r>
        <w:rPr>
          <w:sz w:val="20"/>
          <w:szCs w:val="20"/>
          <w:color w:val="auto"/>
        </w:rPr>
        <w:tab/>
      </w:r>
      <w:r>
        <w:rPr>
          <w:rFonts w:ascii="Times New Roman" w:cs="Times New Roman" w:eastAsia="Times New Roman" w:hAnsi="Times New Roman"/>
          <w:sz w:val="18"/>
          <w:szCs w:val="18"/>
          <w:color w:val="auto"/>
        </w:rPr>
        <w:t>Dated: Dec 23,2025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27305</wp:posOffset>
            </wp:positionV>
            <wp:extent cx="60432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43295" cy="8255"/>
                    </a:xfrm>
                    <a:prstGeom prst="rect">
                      <a:avLst/>
                    </a:prstGeom>
                    <a:noFill/>
                  </pic:spPr>
                </pic:pic>
              </a:graphicData>
            </a:graphic>
          </wp:anchor>
        </w:drawing>
      </w:r>
    </w:p>
    <w:p>
      <w:pPr>
        <w:spacing w:after="0" w:line="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Derek L. Graham</w:t>
      </w:r>
    </w:p>
    <w:p>
      <w:pPr>
        <w:spacing w:after="0" w:line="32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980" w:top="563" w:right="399" w:bottom="1440" w:gutter="0" w:footer="0" w:header="0"/>
        </w:sectPr>
      </w:pPr>
    </w:p>
    <w:bookmarkStart w:id="8" w:name="page9"/>
    <w:bookmarkEnd w:id="8"/>
    <w:p>
      <w:pPr>
        <w:ind w:left="5500"/>
        <w:spacing w:after="0"/>
        <w:rPr>
          <w:sz w:val="20"/>
          <w:szCs w:val="20"/>
          <w:color w:val="auto"/>
        </w:rPr>
      </w:pPr>
      <w:r>
        <w:rPr>
          <w:rFonts w:ascii="Times New Roman" w:cs="Times New Roman" w:eastAsia="Times New Roman" w:hAnsi="Times New Roman"/>
          <w:sz w:val="18"/>
          <w:szCs w:val="18"/>
          <w:b w:val="1"/>
          <w:bCs w:val="1"/>
          <w:u w:val="single" w:color="auto"/>
          <w:color w:val="auto"/>
        </w:rPr>
        <w:t>Appendix A</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Eligible Class – All U.S. employees identified below currently employed by ClearOne, Inc.:</w:t>
      </w:r>
    </w:p>
    <w:p>
      <w:pPr>
        <w:spacing w:after="0" w:line="131" w:lineRule="exact"/>
        <w:rPr>
          <w:sz w:val="20"/>
          <w:szCs w:val="20"/>
          <w:color w:val="auto"/>
        </w:rPr>
      </w:pPr>
    </w:p>
    <w:p>
      <w:pPr>
        <w:ind w:left="660" w:right="20" w:hanging="4"/>
        <w:spacing w:after="0" w:line="261" w:lineRule="auto"/>
        <w:tabs>
          <w:tab w:leader="none" w:pos="9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whose positions were or are being eliminated in June or November/December 2025, (2) who continue to satisfactorily perform their duties in good faith as requested until their Separation Date, (3) who do not commit any terminable offenses, (4) who comply with all conditions set forth in the Confidential Separation Agreement and General Release (such as returning Company property), and (5) who sign, date, and return the Confidential Separation Agreement and General Release within 45 days of receiving it and do not revoke it within 7 days of signing it.</w:t>
      </w:r>
    </w:p>
    <w:p>
      <w:pPr>
        <w:spacing w:after="0" w:line="99" w:lineRule="exact"/>
        <w:rPr>
          <w:sz w:val="20"/>
          <w:szCs w:val="20"/>
          <w:color w:val="auto"/>
        </w:rPr>
      </w:pPr>
    </w:p>
    <w:p>
      <w:pPr>
        <w:jc w:val="both"/>
        <w:ind w:left="660" w:right="620"/>
        <w:spacing w:after="0" w:line="266" w:lineRule="auto"/>
        <w:rPr>
          <w:sz w:val="20"/>
          <w:szCs w:val="20"/>
          <w:color w:val="auto"/>
        </w:rPr>
      </w:pPr>
      <w:r>
        <w:rPr>
          <w:rFonts w:ascii="Times New Roman" w:cs="Times New Roman" w:eastAsia="Times New Roman" w:hAnsi="Times New Roman"/>
          <w:sz w:val="18"/>
          <w:szCs w:val="18"/>
          <w:color w:val="auto"/>
        </w:rPr>
        <w:t>The information set forth below is intended to inform eligible U.S. employees as to the job titles and ages of all individuals eligible for the ClearOne Severance Program and the job titles and ages (as of Dec. 31, 2025) of all U.S. employees who are not currently eligible for the program:</w:t>
      </w:r>
    </w:p>
    <w:p>
      <w:pPr>
        <w:spacing w:after="0" w:line="77"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76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List of U.S. Employees Eligible for the November/December ClearOne Severance Program:</w:t>
            </w:r>
          </w:p>
        </w:tc>
        <w:tc>
          <w:tcPr>
            <w:tcW w:w="880" w:type="dxa"/>
            <w:vAlign w:val="bottom"/>
          </w:tcPr>
          <w:p>
            <w:pPr>
              <w:spacing w:after="0"/>
              <w:rPr>
                <w:sz w:val="20"/>
                <w:szCs w:val="20"/>
                <w:color w:val="auto"/>
              </w:rPr>
            </w:pPr>
          </w:p>
        </w:tc>
      </w:tr>
      <w:tr>
        <w:trPr>
          <w:trHeight w:val="270"/>
        </w:trPr>
        <w:tc>
          <w:tcPr>
            <w:tcW w:w="4080" w:type="dxa"/>
            <w:vAlign w:val="bottom"/>
          </w:tcPr>
          <w:p>
            <w:pPr>
              <w:spacing w:after="0"/>
              <w:rPr>
                <w:sz w:val="23"/>
                <w:szCs w:val="23"/>
                <w:color w:val="auto"/>
              </w:rPr>
            </w:pPr>
          </w:p>
        </w:tc>
        <w:tc>
          <w:tcPr>
            <w:tcW w:w="3520" w:type="dxa"/>
            <w:vAlign w:val="bottom"/>
            <w:gridSpan w:val="4"/>
          </w:tcPr>
          <w:p>
            <w:pPr>
              <w:jc w:val="center"/>
              <w:ind w:right="2860"/>
              <w:spacing w:after="0"/>
              <w:rPr>
                <w:sz w:val="20"/>
                <w:szCs w:val="20"/>
                <w:color w:val="auto"/>
              </w:rPr>
            </w:pPr>
            <w:r>
              <w:rPr>
                <w:rFonts w:ascii="Times New Roman" w:cs="Times New Roman" w:eastAsia="Times New Roman" w:hAnsi="Times New Roman"/>
                <w:sz w:val="18"/>
                <w:szCs w:val="18"/>
                <w:b w:val="1"/>
                <w:bCs w:val="1"/>
                <w:color w:val="auto"/>
                <w:w w:val="96"/>
              </w:rPr>
              <w:t>Job Title</w:t>
            </w:r>
          </w:p>
        </w:tc>
        <w:tc>
          <w:tcPr>
            <w:tcW w:w="88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3"/>
              </w:rPr>
              <w:t>Age</w:t>
            </w:r>
          </w:p>
        </w:tc>
      </w:tr>
      <w:tr>
        <w:trPr>
          <w:trHeight w:val="20"/>
        </w:trPr>
        <w:tc>
          <w:tcPr>
            <w:tcW w:w="40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59"/>
        </w:trPr>
        <w:tc>
          <w:tcPr>
            <w:tcW w:w="7600" w:type="dxa"/>
            <w:vAlign w:val="bottom"/>
            <w:gridSpan w:val="5"/>
          </w:tcPr>
          <w:p>
            <w:pPr>
              <w:jc w:val="center"/>
              <w:ind w:left="1110"/>
              <w:spacing w:after="0"/>
              <w:rPr>
                <w:sz w:val="20"/>
                <w:szCs w:val="20"/>
                <w:color w:val="auto"/>
              </w:rPr>
            </w:pPr>
            <w:r>
              <w:rPr>
                <w:rFonts w:ascii="Times New Roman" w:cs="Times New Roman" w:eastAsia="Times New Roman" w:hAnsi="Times New Roman"/>
                <w:sz w:val="18"/>
                <w:szCs w:val="18"/>
                <w:color w:val="auto"/>
                <w:w w:val="98"/>
              </w:rPr>
              <w:t>VP of Sales</w:t>
            </w:r>
          </w:p>
        </w:tc>
        <w:tc>
          <w:tcPr>
            <w:tcW w:w="8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65</w:t>
            </w:r>
          </w:p>
        </w:tc>
      </w:tr>
      <w:tr>
        <w:trPr>
          <w:trHeight w:val="229"/>
        </w:trPr>
        <w:tc>
          <w:tcPr>
            <w:tcW w:w="7600" w:type="dxa"/>
            <w:vAlign w:val="bottom"/>
            <w:gridSpan w:val="5"/>
          </w:tcPr>
          <w:p>
            <w:pPr>
              <w:jc w:val="center"/>
              <w:ind w:left="1130"/>
              <w:spacing w:after="0"/>
              <w:rPr>
                <w:sz w:val="20"/>
                <w:szCs w:val="20"/>
                <w:color w:val="auto"/>
              </w:rPr>
            </w:pPr>
            <w:r>
              <w:rPr>
                <w:rFonts w:ascii="Times New Roman" w:cs="Times New Roman" w:eastAsia="Times New Roman" w:hAnsi="Times New Roman"/>
                <w:sz w:val="18"/>
                <w:szCs w:val="18"/>
                <w:color w:val="auto"/>
              </w:rPr>
              <w:t>HR Manager</w:t>
            </w:r>
          </w:p>
        </w:tc>
        <w:tc>
          <w:tcPr>
            <w:tcW w:w="8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63</w:t>
            </w:r>
          </w:p>
        </w:tc>
      </w:tr>
      <w:tr>
        <w:trPr>
          <w:trHeight w:val="229"/>
        </w:trPr>
        <w:tc>
          <w:tcPr>
            <w:tcW w:w="7600" w:type="dxa"/>
            <w:vAlign w:val="bottom"/>
            <w:gridSpan w:val="5"/>
          </w:tcPr>
          <w:p>
            <w:pPr>
              <w:jc w:val="center"/>
              <w:ind w:left="1130"/>
              <w:spacing w:after="0"/>
              <w:rPr>
                <w:sz w:val="20"/>
                <w:szCs w:val="20"/>
                <w:color w:val="auto"/>
              </w:rPr>
            </w:pPr>
            <w:r>
              <w:rPr>
                <w:rFonts w:ascii="Times New Roman" w:cs="Times New Roman" w:eastAsia="Times New Roman" w:hAnsi="Times New Roman"/>
                <w:sz w:val="18"/>
                <w:szCs w:val="18"/>
                <w:color w:val="auto"/>
                <w:w w:val="99"/>
              </w:rPr>
              <w:t>Senior Accountant</w:t>
            </w:r>
          </w:p>
        </w:tc>
        <w:tc>
          <w:tcPr>
            <w:tcW w:w="8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63</w:t>
            </w:r>
          </w:p>
        </w:tc>
      </w:tr>
      <w:tr>
        <w:trPr>
          <w:trHeight w:val="230"/>
        </w:trPr>
        <w:tc>
          <w:tcPr>
            <w:tcW w:w="7600" w:type="dxa"/>
            <w:vAlign w:val="bottom"/>
            <w:gridSpan w:val="5"/>
          </w:tcPr>
          <w:p>
            <w:pPr>
              <w:jc w:val="center"/>
              <w:ind w:left="1130"/>
              <w:spacing w:after="0"/>
              <w:rPr>
                <w:sz w:val="20"/>
                <w:szCs w:val="20"/>
                <w:color w:val="auto"/>
              </w:rPr>
            </w:pPr>
            <w:r>
              <w:rPr>
                <w:rFonts w:ascii="Times New Roman" w:cs="Times New Roman" w:eastAsia="Times New Roman" w:hAnsi="Times New Roman"/>
                <w:sz w:val="18"/>
                <w:szCs w:val="18"/>
                <w:color w:val="auto"/>
                <w:w w:val="98"/>
              </w:rPr>
              <w:t>Sr Director Financial Reporting</w:t>
            </w:r>
          </w:p>
        </w:tc>
        <w:tc>
          <w:tcPr>
            <w:tcW w:w="8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59</w:t>
            </w:r>
          </w:p>
        </w:tc>
      </w:tr>
      <w:tr>
        <w:trPr>
          <w:trHeight w:val="234"/>
        </w:trPr>
        <w:tc>
          <w:tcPr>
            <w:tcW w:w="7600" w:type="dxa"/>
            <w:vAlign w:val="bottom"/>
            <w:gridSpan w:val="5"/>
          </w:tcPr>
          <w:p>
            <w:pPr>
              <w:jc w:val="center"/>
              <w:ind w:left="1130"/>
              <w:spacing w:after="0"/>
              <w:rPr>
                <w:sz w:val="20"/>
                <w:szCs w:val="20"/>
                <w:color w:val="auto"/>
              </w:rPr>
            </w:pPr>
            <w:r>
              <w:rPr>
                <w:rFonts w:ascii="Times New Roman" w:cs="Times New Roman" w:eastAsia="Times New Roman" w:hAnsi="Times New Roman"/>
                <w:sz w:val="18"/>
                <w:szCs w:val="18"/>
                <w:color w:val="auto"/>
                <w:w w:val="98"/>
              </w:rPr>
              <w:t>Chief Executive Officer</w:t>
            </w:r>
          </w:p>
        </w:tc>
        <w:tc>
          <w:tcPr>
            <w:tcW w:w="8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58</w:t>
            </w:r>
          </w:p>
        </w:tc>
      </w:tr>
      <w:tr>
        <w:trPr>
          <w:trHeight w:val="238"/>
        </w:trPr>
        <w:tc>
          <w:tcPr>
            <w:tcW w:w="7600" w:type="dxa"/>
            <w:vAlign w:val="bottom"/>
            <w:gridSpan w:val="5"/>
          </w:tcPr>
          <w:p>
            <w:pPr>
              <w:jc w:val="center"/>
              <w:ind w:left="1130"/>
              <w:spacing w:after="0"/>
              <w:rPr>
                <w:sz w:val="20"/>
                <w:szCs w:val="20"/>
                <w:color w:val="auto"/>
              </w:rPr>
            </w:pPr>
            <w:r>
              <w:rPr>
                <w:rFonts w:ascii="Times New Roman" w:cs="Times New Roman" w:eastAsia="Times New Roman" w:hAnsi="Times New Roman"/>
                <w:sz w:val="18"/>
                <w:szCs w:val="18"/>
                <w:color w:val="auto"/>
                <w:w w:val="98"/>
              </w:rPr>
              <w:t>Accountant</w:t>
            </w:r>
          </w:p>
        </w:tc>
        <w:tc>
          <w:tcPr>
            <w:tcW w:w="8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53</w:t>
            </w:r>
          </w:p>
        </w:tc>
      </w:tr>
      <w:tr>
        <w:trPr>
          <w:trHeight w:val="234"/>
        </w:trPr>
        <w:tc>
          <w:tcPr>
            <w:tcW w:w="7600" w:type="dxa"/>
            <w:vAlign w:val="bottom"/>
            <w:gridSpan w:val="5"/>
          </w:tcPr>
          <w:p>
            <w:pPr>
              <w:jc w:val="center"/>
              <w:ind w:left="1130"/>
              <w:spacing w:after="0"/>
              <w:rPr>
                <w:sz w:val="20"/>
                <w:szCs w:val="20"/>
                <w:color w:val="auto"/>
              </w:rPr>
            </w:pPr>
            <w:r>
              <w:rPr>
                <w:rFonts w:ascii="Times New Roman" w:cs="Times New Roman" w:eastAsia="Times New Roman" w:hAnsi="Times New Roman"/>
                <w:sz w:val="18"/>
                <w:szCs w:val="18"/>
                <w:color w:val="auto"/>
                <w:w w:val="99"/>
              </w:rPr>
              <w:t>Technical Support Representative</w:t>
            </w:r>
          </w:p>
        </w:tc>
        <w:tc>
          <w:tcPr>
            <w:tcW w:w="8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50</w:t>
            </w:r>
          </w:p>
        </w:tc>
      </w:tr>
      <w:tr>
        <w:trPr>
          <w:trHeight w:val="243"/>
        </w:trPr>
        <w:tc>
          <w:tcPr>
            <w:tcW w:w="7600" w:type="dxa"/>
            <w:vAlign w:val="bottom"/>
            <w:gridSpan w:val="5"/>
          </w:tcPr>
          <w:p>
            <w:pPr>
              <w:jc w:val="center"/>
              <w:ind w:left="1130"/>
              <w:spacing w:after="0"/>
              <w:rPr>
                <w:sz w:val="20"/>
                <w:szCs w:val="20"/>
                <w:color w:val="auto"/>
              </w:rPr>
            </w:pPr>
            <w:r>
              <w:rPr>
                <w:rFonts w:ascii="Times New Roman" w:cs="Times New Roman" w:eastAsia="Times New Roman" w:hAnsi="Times New Roman"/>
                <w:sz w:val="18"/>
                <w:szCs w:val="18"/>
                <w:color w:val="auto"/>
                <w:w w:val="99"/>
              </w:rPr>
              <w:t>VP Operations</w:t>
            </w:r>
          </w:p>
        </w:tc>
        <w:tc>
          <w:tcPr>
            <w:tcW w:w="8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49</w:t>
            </w:r>
          </w:p>
        </w:tc>
      </w:tr>
      <w:tr>
        <w:trPr>
          <w:trHeight w:val="238"/>
        </w:trPr>
        <w:tc>
          <w:tcPr>
            <w:tcW w:w="7600" w:type="dxa"/>
            <w:vAlign w:val="bottom"/>
            <w:gridSpan w:val="5"/>
          </w:tcPr>
          <w:p>
            <w:pPr>
              <w:jc w:val="center"/>
              <w:ind w:left="1130"/>
              <w:spacing w:after="0"/>
              <w:rPr>
                <w:sz w:val="20"/>
                <w:szCs w:val="20"/>
                <w:color w:val="auto"/>
              </w:rPr>
            </w:pPr>
            <w:r>
              <w:rPr>
                <w:rFonts w:ascii="Times New Roman" w:cs="Times New Roman" w:eastAsia="Times New Roman" w:hAnsi="Times New Roman"/>
                <w:sz w:val="18"/>
                <w:szCs w:val="18"/>
                <w:color w:val="auto"/>
              </w:rPr>
              <w:t>Director of IT</w:t>
            </w:r>
          </w:p>
        </w:tc>
        <w:tc>
          <w:tcPr>
            <w:tcW w:w="8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49</w:t>
            </w:r>
          </w:p>
        </w:tc>
      </w:tr>
      <w:tr>
        <w:trPr>
          <w:trHeight w:val="234"/>
        </w:trPr>
        <w:tc>
          <w:tcPr>
            <w:tcW w:w="7600" w:type="dxa"/>
            <w:vAlign w:val="bottom"/>
            <w:gridSpan w:val="5"/>
          </w:tcPr>
          <w:p>
            <w:pPr>
              <w:jc w:val="center"/>
              <w:ind w:left="1130"/>
              <w:spacing w:after="0"/>
              <w:rPr>
                <w:sz w:val="20"/>
                <w:szCs w:val="20"/>
                <w:color w:val="auto"/>
              </w:rPr>
            </w:pPr>
            <w:r>
              <w:rPr>
                <w:rFonts w:ascii="Times New Roman" w:cs="Times New Roman" w:eastAsia="Times New Roman" w:hAnsi="Times New Roman"/>
                <w:sz w:val="18"/>
                <w:szCs w:val="18"/>
                <w:color w:val="auto"/>
                <w:w w:val="99"/>
              </w:rPr>
              <w:t>BPS Supervisor</w:t>
            </w:r>
          </w:p>
        </w:tc>
        <w:tc>
          <w:tcPr>
            <w:tcW w:w="8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45</w:t>
            </w:r>
          </w:p>
        </w:tc>
      </w:tr>
      <w:tr>
        <w:trPr>
          <w:trHeight w:val="243"/>
        </w:trPr>
        <w:tc>
          <w:tcPr>
            <w:tcW w:w="7600" w:type="dxa"/>
            <w:vAlign w:val="bottom"/>
            <w:gridSpan w:val="5"/>
          </w:tcPr>
          <w:p>
            <w:pPr>
              <w:jc w:val="center"/>
              <w:ind w:left="1130"/>
              <w:spacing w:after="0"/>
              <w:rPr>
                <w:sz w:val="20"/>
                <w:szCs w:val="20"/>
                <w:color w:val="auto"/>
              </w:rPr>
            </w:pPr>
            <w:r>
              <w:rPr>
                <w:rFonts w:ascii="Times New Roman" w:cs="Times New Roman" w:eastAsia="Times New Roman" w:hAnsi="Times New Roman"/>
                <w:sz w:val="18"/>
                <w:szCs w:val="18"/>
                <w:color w:val="auto"/>
                <w:w w:val="98"/>
              </w:rPr>
              <w:t>Shipping Specialist</w:t>
            </w:r>
          </w:p>
        </w:tc>
        <w:tc>
          <w:tcPr>
            <w:tcW w:w="8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28</w:t>
            </w:r>
          </w:p>
        </w:tc>
      </w:tr>
    </w:tbl>
    <w:p>
      <w:pPr>
        <w:spacing w:after="0" w:line="167"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916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List of U.S. Employees who were Eligible for the June ClearOne Severance Program:</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338"/>
        </w:trPr>
        <w:tc>
          <w:tcPr>
            <w:tcW w:w="13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Job Title</w:t>
            </w:r>
          </w:p>
        </w:tc>
        <w:tc>
          <w:tcPr>
            <w:tcW w:w="1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40" w:type="dxa"/>
            <w:vAlign w:val="bottom"/>
            <w:gridSpan w:val="2"/>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w w:val="99"/>
              </w:rPr>
              <w:t>Job Title</w:t>
            </w:r>
          </w:p>
        </w:tc>
        <w:tc>
          <w:tcPr>
            <w:tcW w:w="92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Age</w:t>
            </w:r>
          </w:p>
        </w:tc>
      </w:tr>
      <w:tr>
        <w:trPr>
          <w:trHeight w:val="20"/>
        </w:trPr>
        <w:tc>
          <w:tcPr>
            <w:tcW w:w="1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r>
      <w:tr>
        <w:trPr>
          <w:trHeight w:val="245"/>
        </w:trPr>
        <w:tc>
          <w:tcPr>
            <w:tcW w:w="35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Advisory FW Engineer</w:t>
            </w:r>
          </w:p>
        </w:tc>
        <w:tc>
          <w:tcPr>
            <w:tcW w:w="96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74</w:t>
            </w:r>
          </w:p>
        </w:tc>
        <w:tc>
          <w:tcPr>
            <w:tcW w:w="660" w:type="dxa"/>
            <w:vAlign w:val="bottom"/>
          </w:tcPr>
          <w:p>
            <w:pPr>
              <w:spacing w:after="0"/>
              <w:rPr>
                <w:sz w:val="21"/>
                <w:szCs w:val="21"/>
                <w:color w:val="auto"/>
              </w:rPr>
            </w:pPr>
          </w:p>
        </w:tc>
        <w:tc>
          <w:tcPr>
            <w:tcW w:w="398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Sr Operations Specialist</w:t>
            </w:r>
          </w:p>
        </w:tc>
        <w:tc>
          <w:tcPr>
            <w:tcW w:w="92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9"/>
              </w:rPr>
              <w:t>58</w:t>
            </w:r>
          </w:p>
        </w:tc>
      </w:tr>
      <w:tr>
        <w:trPr>
          <w:trHeight w:val="230"/>
        </w:trPr>
        <w:tc>
          <w:tcPr>
            <w:tcW w:w="35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Quality Assurance Engineer</w:t>
            </w:r>
          </w:p>
        </w:tc>
        <w:tc>
          <w:tcPr>
            <w:tcW w:w="96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68</w:t>
            </w:r>
          </w:p>
        </w:tc>
        <w:tc>
          <w:tcPr>
            <w:tcW w:w="660" w:type="dxa"/>
            <w:vAlign w:val="bottom"/>
          </w:tcPr>
          <w:p>
            <w:pPr>
              <w:spacing w:after="0"/>
              <w:rPr>
                <w:sz w:val="19"/>
                <w:szCs w:val="19"/>
                <w:color w:val="auto"/>
              </w:rPr>
            </w:pPr>
          </w:p>
        </w:tc>
        <w:tc>
          <w:tcPr>
            <w:tcW w:w="39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Sr Director UC/Collaboration</w:t>
            </w:r>
          </w:p>
        </w:tc>
        <w:tc>
          <w:tcPr>
            <w:tcW w:w="92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9"/>
              </w:rPr>
              <w:t>57</w:t>
            </w:r>
          </w:p>
        </w:tc>
      </w:tr>
      <w:tr>
        <w:trPr>
          <w:trHeight w:val="230"/>
        </w:trPr>
        <w:tc>
          <w:tcPr>
            <w:tcW w:w="35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Principal DSP Research Engineer</w:t>
            </w:r>
          </w:p>
        </w:tc>
        <w:tc>
          <w:tcPr>
            <w:tcW w:w="96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67</w:t>
            </w:r>
          </w:p>
        </w:tc>
        <w:tc>
          <w:tcPr>
            <w:tcW w:w="660" w:type="dxa"/>
            <w:vAlign w:val="bottom"/>
          </w:tcPr>
          <w:p>
            <w:pPr>
              <w:spacing w:after="0"/>
              <w:rPr>
                <w:sz w:val="19"/>
                <w:szCs w:val="19"/>
                <w:color w:val="auto"/>
              </w:rPr>
            </w:pPr>
          </w:p>
        </w:tc>
        <w:tc>
          <w:tcPr>
            <w:tcW w:w="39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Senior Design Engineer</w:t>
            </w:r>
          </w:p>
        </w:tc>
        <w:tc>
          <w:tcPr>
            <w:tcW w:w="92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9"/>
              </w:rPr>
              <w:t>56</w:t>
            </w:r>
          </w:p>
        </w:tc>
      </w:tr>
      <w:tr>
        <w:trPr>
          <w:trHeight w:val="229"/>
        </w:trPr>
        <w:tc>
          <w:tcPr>
            <w:tcW w:w="35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Regional Sales Director</w:t>
            </w:r>
          </w:p>
        </w:tc>
        <w:tc>
          <w:tcPr>
            <w:tcW w:w="96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66</w:t>
            </w:r>
          </w:p>
        </w:tc>
        <w:tc>
          <w:tcPr>
            <w:tcW w:w="660" w:type="dxa"/>
            <w:vAlign w:val="bottom"/>
          </w:tcPr>
          <w:p>
            <w:pPr>
              <w:spacing w:after="0"/>
              <w:rPr>
                <w:sz w:val="19"/>
                <w:szCs w:val="19"/>
                <w:color w:val="auto"/>
              </w:rPr>
            </w:pPr>
          </w:p>
        </w:tc>
        <w:tc>
          <w:tcPr>
            <w:tcW w:w="39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Advisory DSP Engineer</w:t>
            </w:r>
          </w:p>
        </w:tc>
        <w:tc>
          <w:tcPr>
            <w:tcW w:w="92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9"/>
              </w:rPr>
              <w:t>54</w:t>
            </w:r>
          </w:p>
        </w:tc>
      </w:tr>
      <w:tr>
        <w:trPr>
          <w:trHeight w:val="230"/>
        </w:trPr>
        <w:tc>
          <w:tcPr>
            <w:tcW w:w="35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7"/>
              </w:rPr>
              <w:t>Vice President APAC</w:t>
            </w:r>
          </w:p>
        </w:tc>
        <w:tc>
          <w:tcPr>
            <w:tcW w:w="96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66</w:t>
            </w:r>
          </w:p>
        </w:tc>
        <w:tc>
          <w:tcPr>
            <w:tcW w:w="660" w:type="dxa"/>
            <w:vAlign w:val="bottom"/>
          </w:tcPr>
          <w:p>
            <w:pPr>
              <w:spacing w:after="0"/>
              <w:rPr>
                <w:sz w:val="19"/>
                <w:szCs w:val="19"/>
                <w:color w:val="auto"/>
              </w:rPr>
            </w:pPr>
          </w:p>
        </w:tc>
        <w:tc>
          <w:tcPr>
            <w:tcW w:w="39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Technical Manager, SW Engineering</w:t>
            </w:r>
          </w:p>
        </w:tc>
        <w:tc>
          <w:tcPr>
            <w:tcW w:w="92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9"/>
              </w:rPr>
              <w:t>54</w:t>
            </w:r>
          </w:p>
        </w:tc>
      </w:tr>
      <w:tr>
        <w:trPr>
          <w:trHeight w:val="230"/>
        </w:trPr>
        <w:tc>
          <w:tcPr>
            <w:tcW w:w="35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Technical Training Supervisor</w:t>
            </w:r>
          </w:p>
        </w:tc>
        <w:tc>
          <w:tcPr>
            <w:tcW w:w="96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65</w:t>
            </w:r>
          </w:p>
        </w:tc>
        <w:tc>
          <w:tcPr>
            <w:tcW w:w="660" w:type="dxa"/>
            <w:vAlign w:val="bottom"/>
          </w:tcPr>
          <w:p>
            <w:pPr>
              <w:spacing w:after="0"/>
              <w:rPr>
                <w:sz w:val="19"/>
                <w:szCs w:val="19"/>
                <w:color w:val="auto"/>
              </w:rPr>
            </w:pPr>
          </w:p>
        </w:tc>
        <w:tc>
          <w:tcPr>
            <w:tcW w:w="398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Senior QA Engineer</w:t>
            </w:r>
          </w:p>
        </w:tc>
        <w:tc>
          <w:tcPr>
            <w:tcW w:w="92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9"/>
              </w:rPr>
              <w:t>49</w:t>
            </w:r>
          </w:p>
        </w:tc>
      </w:tr>
      <w:tr>
        <w:trPr>
          <w:trHeight w:val="230"/>
        </w:trPr>
        <w:tc>
          <w:tcPr>
            <w:tcW w:w="35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Supervisor Quality Assurance</w:t>
            </w:r>
          </w:p>
        </w:tc>
        <w:tc>
          <w:tcPr>
            <w:tcW w:w="96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65</w:t>
            </w:r>
          </w:p>
        </w:tc>
        <w:tc>
          <w:tcPr>
            <w:tcW w:w="660" w:type="dxa"/>
            <w:vAlign w:val="bottom"/>
          </w:tcPr>
          <w:p>
            <w:pPr>
              <w:spacing w:after="0"/>
              <w:rPr>
                <w:sz w:val="19"/>
                <w:szCs w:val="19"/>
                <w:color w:val="auto"/>
              </w:rPr>
            </w:pPr>
          </w:p>
        </w:tc>
        <w:tc>
          <w:tcPr>
            <w:tcW w:w="39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8"/>
              </w:rPr>
              <w:t>SR Technical Manager, Wireless Mic</w:t>
            </w:r>
          </w:p>
        </w:tc>
        <w:tc>
          <w:tcPr>
            <w:tcW w:w="92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9"/>
              </w:rPr>
              <w:t>48</w:t>
            </w:r>
          </w:p>
        </w:tc>
      </w:tr>
      <w:tr>
        <w:trPr>
          <w:trHeight w:val="229"/>
        </w:trPr>
        <w:tc>
          <w:tcPr>
            <w:tcW w:w="35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Regional Sales Manager</w:t>
            </w:r>
          </w:p>
        </w:tc>
        <w:tc>
          <w:tcPr>
            <w:tcW w:w="96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61</w:t>
            </w:r>
          </w:p>
        </w:tc>
        <w:tc>
          <w:tcPr>
            <w:tcW w:w="6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240" w:type="dxa"/>
            <w:vAlign w:val="bottom"/>
            <w:gridSpan w:val="2"/>
          </w:tcPr>
          <w:p>
            <w:pPr>
              <w:jc w:val="center"/>
              <w:ind w:right="1540"/>
              <w:spacing w:after="0"/>
              <w:rPr>
                <w:sz w:val="20"/>
                <w:szCs w:val="20"/>
                <w:color w:val="auto"/>
              </w:rPr>
            </w:pPr>
            <w:r>
              <w:rPr>
                <w:rFonts w:ascii="Times New Roman" w:cs="Times New Roman" w:eastAsia="Times New Roman" w:hAnsi="Times New Roman"/>
                <w:sz w:val="18"/>
                <w:szCs w:val="18"/>
                <w:color w:val="auto"/>
              </w:rPr>
              <w:t>Engineer</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35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RMA Coordinator</w:t>
            </w:r>
          </w:p>
        </w:tc>
        <w:tc>
          <w:tcPr>
            <w:tcW w:w="96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61</w:t>
            </w:r>
          </w:p>
        </w:tc>
        <w:tc>
          <w:tcPr>
            <w:tcW w:w="660" w:type="dxa"/>
            <w:vAlign w:val="bottom"/>
          </w:tcPr>
          <w:p>
            <w:pPr>
              <w:spacing w:after="0"/>
              <w:rPr>
                <w:sz w:val="19"/>
                <w:szCs w:val="19"/>
                <w:color w:val="auto"/>
              </w:rPr>
            </w:pPr>
          </w:p>
        </w:tc>
        <w:tc>
          <w:tcPr>
            <w:tcW w:w="398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Pro AV Systems Engineer</w:t>
            </w:r>
          </w:p>
        </w:tc>
        <w:tc>
          <w:tcPr>
            <w:tcW w:w="92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9"/>
              </w:rPr>
              <w:t>47</w:t>
            </w:r>
          </w:p>
        </w:tc>
      </w:tr>
      <w:tr>
        <w:trPr>
          <w:trHeight w:val="230"/>
        </w:trPr>
        <w:tc>
          <w:tcPr>
            <w:tcW w:w="35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Principal Advisory HW Engineer</w:t>
            </w:r>
          </w:p>
        </w:tc>
        <w:tc>
          <w:tcPr>
            <w:tcW w:w="96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59</w:t>
            </w:r>
          </w:p>
        </w:tc>
        <w:tc>
          <w:tcPr>
            <w:tcW w:w="660" w:type="dxa"/>
            <w:vAlign w:val="bottom"/>
          </w:tcPr>
          <w:p>
            <w:pPr>
              <w:spacing w:after="0"/>
              <w:rPr>
                <w:sz w:val="19"/>
                <w:szCs w:val="19"/>
                <w:color w:val="auto"/>
              </w:rPr>
            </w:pPr>
          </w:p>
        </w:tc>
        <w:tc>
          <w:tcPr>
            <w:tcW w:w="39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Technical Trainer</w:t>
            </w:r>
          </w:p>
        </w:tc>
        <w:tc>
          <w:tcPr>
            <w:tcW w:w="92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9"/>
              </w:rPr>
              <w:t>47</w:t>
            </w:r>
          </w:p>
        </w:tc>
      </w:tr>
      <w:tr>
        <w:trPr>
          <w:trHeight w:val="230"/>
        </w:trPr>
        <w:tc>
          <w:tcPr>
            <w:tcW w:w="35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8"/>
              </w:rPr>
              <w:t>VP Audio Technologies</w:t>
            </w:r>
          </w:p>
        </w:tc>
        <w:tc>
          <w:tcPr>
            <w:tcW w:w="96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58</w:t>
            </w:r>
          </w:p>
        </w:tc>
        <w:tc>
          <w:tcPr>
            <w:tcW w:w="660" w:type="dxa"/>
            <w:vAlign w:val="bottom"/>
          </w:tcPr>
          <w:p>
            <w:pPr>
              <w:spacing w:after="0"/>
              <w:rPr>
                <w:sz w:val="19"/>
                <w:szCs w:val="19"/>
                <w:color w:val="auto"/>
              </w:rPr>
            </w:pPr>
          </w:p>
        </w:tc>
        <w:tc>
          <w:tcPr>
            <w:tcW w:w="39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Manager of QAE &amp; Tech Support</w:t>
            </w:r>
          </w:p>
        </w:tc>
        <w:tc>
          <w:tcPr>
            <w:tcW w:w="92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9"/>
              </w:rPr>
              <w:t>44</w:t>
            </w:r>
          </w:p>
        </w:tc>
      </w:tr>
      <w:tr>
        <w:trPr>
          <w:trHeight w:val="234"/>
        </w:trPr>
        <w:tc>
          <w:tcPr>
            <w:tcW w:w="35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Advisory SW Engineer</w:t>
            </w:r>
          </w:p>
        </w:tc>
        <w:tc>
          <w:tcPr>
            <w:tcW w:w="96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58</w:t>
            </w:r>
          </w:p>
        </w:tc>
        <w:tc>
          <w:tcPr>
            <w:tcW w:w="660" w:type="dxa"/>
            <w:vAlign w:val="bottom"/>
          </w:tcPr>
          <w:p>
            <w:pPr>
              <w:spacing w:after="0"/>
              <w:rPr>
                <w:sz w:val="20"/>
                <w:szCs w:val="20"/>
                <w:color w:val="auto"/>
              </w:rPr>
            </w:pPr>
          </w:p>
        </w:tc>
        <w:tc>
          <w:tcPr>
            <w:tcW w:w="39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Inside Sales Representative</w:t>
            </w:r>
          </w:p>
        </w:tc>
        <w:tc>
          <w:tcPr>
            <w:tcW w:w="92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9"/>
              </w:rPr>
              <w:t>33</w:t>
            </w:r>
          </w:p>
        </w:tc>
      </w:tr>
    </w:tbl>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60" w:type="dxa"/>
            <w:vAlign w:val="bottom"/>
            <w:gridSpan w:val="7"/>
          </w:tcPr>
          <w:p>
            <w:pPr>
              <w:jc w:val="right"/>
              <w:ind w:right="1340"/>
              <w:spacing w:after="0"/>
              <w:rPr>
                <w:sz w:val="20"/>
                <w:szCs w:val="20"/>
                <w:color w:val="auto"/>
              </w:rPr>
            </w:pPr>
            <w:r>
              <w:rPr>
                <w:rFonts w:ascii="Times New Roman" w:cs="Times New Roman" w:eastAsia="Times New Roman" w:hAnsi="Times New Roman"/>
                <w:sz w:val="18"/>
                <w:szCs w:val="18"/>
                <w:b w:val="1"/>
                <w:bCs w:val="1"/>
                <w:color w:val="auto"/>
              </w:rPr>
              <w:t>List of U.S. Employees NOT Eligible for the ClearOne Severance Program:</w:t>
            </w: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24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040" w:type="dxa"/>
            <w:vAlign w:val="bottom"/>
          </w:tcPr>
          <w:p>
            <w:pPr>
              <w:spacing w:after="0"/>
              <w:rPr>
                <w:sz w:val="24"/>
                <w:szCs w:val="24"/>
                <w:color w:val="auto"/>
              </w:rPr>
            </w:pPr>
          </w:p>
        </w:tc>
        <w:tc>
          <w:tcPr>
            <w:tcW w:w="2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Job Title</w:t>
            </w:r>
          </w:p>
        </w:tc>
        <w:tc>
          <w:tcPr>
            <w:tcW w:w="3480" w:type="dxa"/>
            <w:vAlign w:val="bottom"/>
          </w:tcPr>
          <w:p>
            <w:pPr>
              <w:jc w:val="right"/>
              <w:ind w:right="1770"/>
              <w:spacing w:after="0"/>
              <w:rPr>
                <w:sz w:val="20"/>
                <w:szCs w:val="20"/>
                <w:color w:val="auto"/>
              </w:rPr>
            </w:pPr>
            <w:r>
              <w:rPr>
                <w:rFonts w:ascii="Times New Roman" w:cs="Times New Roman" w:eastAsia="Times New Roman" w:hAnsi="Times New Roman"/>
                <w:sz w:val="18"/>
                <w:szCs w:val="18"/>
                <w:b w:val="1"/>
                <w:bCs w:val="1"/>
                <w:color w:val="auto"/>
              </w:rPr>
              <w:t>Age</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40" w:type="dxa"/>
            <w:vAlign w:val="bottom"/>
            <w:vMerge w:val="restart"/>
          </w:tcPr>
          <w:p>
            <w:pPr>
              <w:ind w:left="1540"/>
              <w:spacing w:after="0"/>
              <w:rPr>
                <w:sz w:val="20"/>
                <w:szCs w:val="20"/>
                <w:color w:val="auto"/>
              </w:rPr>
            </w:pPr>
            <w:r>
              <w:rPr>
                <w:rFonts w:ascii="Times New Roman" w:cs="Times New Roman" w:eastAsia="Times New Roman" w:hAnsi="Times New Roman"/>
                <w:sz w:val="18"/>
                <w:szCs w:val="18"/>
                <w:color w:val="auto"/>
              </w:rPr>
              <w:t>Chief</w:t>
            </w: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80" w:type="dxa"/>
            <w:vAlign w:val="bottom"/>
            <w:vMerge w:val="restart"/>
          </w:tcPr>
          <w:p>
            <w:pPr>
              <w:jc w:val="right"/>
              <w:ind w:right="179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line="20" w:lineRule="exact"/>
              <w:rPr>
                <w:sz w:val="1"/>
                <w:szCs w:val="1"/>
                <w:color w:val="auto"/>
              </w:rPr>
            </w:pPr>
          </w:p>
        </w:tc>
      </w:tr>
      <w:tr>
        <w:trPr>
          <w:trHeight w:val="228"/>
        </w:trPr>
        <w:tc>
          <w:tcPr>
            <w:tcW w:w="2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40" w:type="dxa"/>
            <w:vAlign w:val="bottom"/>
            <w:vMerge w:val="continue"/>
          </w:tcPr>
          <w:p>
            <w:pPr>
              <w:spacing w:after="0"/>
              <w:rPr>
                <w:sz w:val="19"/>
                <w:szCs w:val="19"/>
                <w:color w:val="auto"/>
              </w:rPr>
            </w:pPr>
          </w:p>
        </w:tc>
        <w:tc>
          <w:tcPr>
            <w:tcW w:w="2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Financial Officer</w:t>
            </w:r>
          </w:p>
        </w:tc>
        <w:tc>
          <w:tcPr>
            <w:tcW w:w="3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7760" w:type="dxa"/>
            <w:vAlign w:val="bottom"/>
            <w:gridSpan w:val="7"/>
          </w:tcPr>
          <w:p>
            <w:pPr>
              <w:jc w:val="right"/>
              <w:ind w:right="2100"/>
              <w:spacing w:after="0"/>
              <w:rPr>
                <w:sz w:val="20"/>
                <w:szCs w:val="20"/>
                <w:color w:val="auto"/>
              </w:rPr>
            </w:pPr>
            <w:r>
              <w:rPr>
                <w:rFonts w:ascii="Times New Roman" w:cs="Times New Roman" w:eastAsia="Times New Roman" w:hAnsi="Times New Roman"/>
                <w:sz w:val="18"/>
                <w:szCs w:val="18"/>
                <w:color w:val="auto"/>
              </w:rPr>
              <w:t>5</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4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3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3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u w:val="single" w:color="auto"/>
          <w:color w:val="auto"/>
        </w:rPr>
        <w:t>CONFIDENTIAL SEPARATION AGREEMENT AND GENERAL RELEASE</w:t>
      </w:r>
    </w:p>
    <w:p>
      <w:pPr>
        <w:spacing w:after="0" w:line="162" w:lineRule="exact"/>
        <w:rPr>
          <w:sz w:val="20"/>
          <w:szCs w:val="20"/>
          <w:color w:val="auto"/>
        </w:rPr>
      </w:pPr>
    </w:p>
    <w:p>
      <w:pPr>
        <w:ind w:right="480" w:firstLine="648"/>
        <w:spacing w:after="0" w:line="286" w:lineRule="auto"/>
        <w:rPr>
          <w:sz w:val="20"/>
          <w:szCs w:val="20"/>
          <w:color w:val="auto"/>
        </w:rPr>
      </w:pPr>
      <w:r>
        <w:rPr>
          <w:rFonts w:ascii="Times New Roman" w:cs="Times New Roman" w:eastAsia="Times New Roman" w:hAnsi="Times New Roman"/>
          <w:sz w:val="18"/>
          <w:szCs w:val="18"/>
          <w:color w:val="auto"/>
        </w:rPr>
        <w:t xml:space="preserve">This Confidential Separation Agreement and General Release (“Agreement”) is made and entered into by </w:t>
      </w:r>
      <w:r>
        <w:rPr>
          <w:rFonts w:ascii="Times New Roman" w:cs="Times New Roman" w:eastAsia="Times New Roman" w:hAnsi="Times New Roman"/>
          <w:sz w:val="18"/>
          <w:szCs w:val="18"/>
          <w:b w:val="1"/>
          <w:bCs w:val="1"/>
          <w:color w:val="auto"/>
        </w:rPr>
        <w:t>CLEARONE, INC.</w:t>
      </w:r>
      <w:r>
        <w:rPr>
          <w:rFonts w:ascii="Times New Roman" w:cs="Times New Roman" w:eastAsia="Times New Roman" w:hAnsi="Times New Roman"/>
          <w:sz w:val="18"/>
          <w:szCs w:val="18"/>
          <w:color w:val="auto"/>
        </w:rPr>
        <w:t xml:space="preserve"> (the “Company”) and </w:t>
      </w:r>
      <w:r>
        <w:rPr>
          <w:rFonts w:ascii="Times New Roman" w:cs="Times New Roman" w:eastAsia="Times New Roman" w:hAnsi="Times New Roman"/>
          <w:sz w:val="18"/>
          <w:szCs w:val="18"/>
          <w:b w:val="1"/>
          <w:bCs w:val="1"/>
          <w:color w:val="auto"/>
        </w:rPr>
        <w:t>SIMON BREWER</w:t>
      </w:r>
      <w:r>
        <w:rPr>
          <w:rFonts w:ascii="Times New Roman" w:cs="Times New Roman" w:eastAsia="Times New Roman" w:hAnsi="Times New Roman"/>
          <w:sz w:val="18"/>
          <w:szCs w:val="18"/>
          <w:color w:val="auto"/>
        </w:rPr>
        <w:t xml:space="preserve"> (“Employee”).</w:t>
      </w:r>
    </w:p>
    <w:p>
      <w:pPr>
        <w:spacing w:after="0" w:line="128" w:lineRule="exact"/>
        <w:rPr>
          <w:sz w:val="20"/>
          <w:szCs w:val="20"/>
          <w:color w:val="auto"/>
        </w:rPr>
      </w:pPr>
    </w:p>
    <w:p>
      <w:pPr>
        <w:ind w:right="7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Company and Employee mutually desire to set forth the terms and conditions of the termination of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with the Company;</w:t>
      </w:r>
    </w:p>
    <w:p>
      <w:pPr>
        <w:spacing w:after="0" w:line="1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Employee is hereby advised to consult with an attorney before signing this Agreement since it is a legal document,</w:t>
      </w:r>
    </w:p>
    <w:p>
      <w:pPr>
        <w:spacing w:after="0" w:line="185"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ow</w:t>
      </w:r>
      <w:r>
        <w:rPr>
          <w:rFonts w:ascii="Times New Roman" w:cs="Times New Roman" w:eastAsia="Times New Roman" w:hAnsi="Times New Roman"/>
          <w:sz w:val="18"/>
          <w:szCs w:val="18"/>
          <w:b w:val="1"/>
          <w:bCs w:val="1"/>
          <w:color w:val="auto"/>
        </w:rPr>
        <w:t xml:space="preserve">, THEREFORE </w:t>
      </w:r>
      <w:r>
        <w:rPr>
          <w:rFonts w:ascii="Times New Roman" w:cs="Times New Roman" w:eastAsia="Times New Roman" w:hAnsi="Times New Roman"/>
          <w:sz w:val="18"/>
          <w:szCs w:val="18"/>
          <w:color w:val="auto"/>
        </w:rPr>
        <w:t>, in consideration of the mutual covenants and agreements set forth below, the Company and Employee do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 as follows:</w:t>
      </w:r>
    </w:p>
    <w:p>
      <w:pPr>
        <w:spacing w:after="0" w:line="128" w:lineRule="exact"/>
        <w:rPr>
          <w:sz w:val="20"/>
          <w:szCs w:val="20"/>
          <w:color w:val="auto"/>
        </w:rPr>
      </w:pPr>
    </w:p>
    <w:p>
      <w:pPr>
        <w:jc w:val="both"/>
        <w:ind w:right="100" w:firstLine="644"/>
        <w:spacing w:after="0" w:line="255" w:lineRule="auto"/>
        <w:tabs>
          <w:tab w:leader="none" w:pos="134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Separation Date</w:t>
      </w:r>
      <w:r>
        <w:rPr>
          <w:rFonts w:ascii="Times New Roman" w:cs="Times New Roman" w:eastAsia="Times New Roman" w:hAnsi="Times New Roman"/>
          <w:sz w:val="18"/>
          <w:szCs w:val="18"/>
          <w:color w:val="auto"/>
        </w:rPr>
        <w:t>. Employee’s last day of employment with the Company is</w:t>
      </w:r>
      <w:r>
        <w:rPr>
          <w:rFonts w:ascii="Times New Roman" w:cs="Times New Roman" w:eastAsia="Times New Roman" w:hAnsi="Times New Roman"/>
          <w:sz w:val="18"/>
          <w:szCs w:val="18"/>
          <w:b w:val="1"/>
          <w:bCs w:val="1"/>
          <w:color w:val="auto"/>
        </w:rPr>
        <w:t xml:space="preserve"> Wednesday, December 31, 2025 </w:t>
      </w:r>
      <w:r>
        <w:rPr>
          <w:rFonts w:ascii="Times New Roman" w:cs="Times New Roman" w:eastAsia="Times New Roman" w:hAnsi="Times New Roman"/>
          <w:sz w:val="18"/>
          <w:szCs w:val="18"/>
          <w:color w:val="auto"/>
        </w:rPr>
        <w:t>(the “Separation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The Company and Employee agree that s/he has been or will be paid his/her regular base salary through the Separation Date. Employee’s participation in the Company’s medical, dental, and vision plans (if s/he has elected to participate) will end on December 31, 2025. All other benefits cease as of the Separation Date. Since the Company intends to terminate its medical, dental, and vision plans effective December 31, 2025, continuation through Utah’s mini-COBRA law will not be possible.</w:t>
      </w:r>
    </w:p>
    <w:p>
      <w:pPr>
        <w:spacing w:after="0" w:line="155" w:lineRule="exact"/>
        <w:rPr>
          <w:rFonts w:ascii="Times New Roman" w:cs="Times New Roman" w:eastAsia="Times New Roman" w:hAnsi="Times New Roman"/>
          <w:sz w:val="18"/>
          <w:szCs w:val="18"/>
          <w:color w:val="auto"/>
        </w:rPr>
      </w:pPr>
    </w:p>
    <w:p>
      <w:pPr>
        <w:ind w:right="220" w:firstLine="644"/>
        <w:spacing w:after="0" w:line="286" w:lineRule="auto"/>
        <w:tabs>
          <w:tab w:leader="none" w:pos="128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Lump Sum Severance Payment</w:t>
      </w:r>
      <w:r>
        <w:rPr>
          <w:rFonts w:ascii="Times New Roman" w:cs="Times New Roman" w:eastAsia="Times New Roman" w:hAnsi="Times New Roman"/>
          <w:sz w:val="18"/>
          <w:szCs w:val="18"/>
          <w:color w:val="auto"/>
        </w:rPr>
        <w:t>. In exchange for agreeing to and complying with the terms of this Agreement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release it contains), Employee will receive the following payment from the Company:</w:t>
      </w:r>
    </w:p>
    <w:p>
      <w:pPr>
        <w:spacing w:after="0" w:line="118" w:lineRule="exact"/>
        <w:rPr>
          <w:rFonts w:ascii="Times New Roman" w:cs="Times New Roman" w:eastAsia="Times New Roman" w:hAnsi="Times New Roman"/>
          <w:sz w:val="18"/>
          <w:szCs w:val="18"/>
          <w:color w:val="auto"/>
        </w:rPr>
      </w:pPr>
    </w:p>
    <w:p>
      <w:pPr>
        <w:jc w:val="both"/>
        <w:ind w:right="180" w:firstLine="1292"/>
        <w:spacing w:after="0" w:line="266" w:lineRule="auto"/>
        <w:tabs>
          <w:tab w:leader="none" w:pos="201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pay severance to Employee in an amount equal to $1.00, net of lawful deductions such as income tax withholdings, Social Security/FICA, and Medicare (the “Lump Sum Severance Payment”). The Lump Sum Severance Payment shall be paid on or after December 31, 2025 and following the Effective Date of this Agreement (as defined in paragraph 13(g) below).</w:t>
      </w:r>
    </w:p>
    <w:p>
      <w:pPr>
        <w:spacing w:after="0" w:line="135" w:lineRule="exact"/>
        <w:rPr>
          <w:rFonts w:ascii="Times New Roman" w:cs="Times New Roman" w:eastAsia="Times New Roman" w:hAnsi="Times New Roman"/>
          <w:sz w:val="18"/>
          <w:szCs w:val="18"/>
          <w:color w:val="auto"/>
        </w:rPr>
      </w:pPr>
    </w:p>
    <w:p>
      <w:pPr>
        <w:jc w:val="both"/>
        <w:ind w:right="160" w:firstLine="1292"/>
        <w:spacing w:after="0" w:line="266" w:lineRule="auto"/>
        <w:tabs>
          <w:tab w:leader="none" w:pos="199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payments and benefits specifically set forth in paragraph 1 and this paragraph 2, Employee agrees that Company and its affiliates do not owe Employee any further payments, compensation, bonuses, benefits, stock options, severance, commissions, or any other remuneration of any kind whatsoever.</w:t>
      </w:r>
    </w:p>
    <w:p>
      <w:pPr>
        <w:spacing w:after="0" w:line="20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81915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10" w:name="page11"/>
    <w:bookmarkEnd w:id="10"/>
    <w:p>
      <w:pPr>
        <w:ind w:left="-460" w:firstLine="644"/>
        <w:spacing w:after="0" w:line="252" w:lineRule="auto"/>
        <w:tabs>
          <w:tab w:leader="none" w:pos="7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General Release of All Claims</w:t>
      </w:r>
      <w:r>
        <w:rPr>
          <w:rFonts w:ascii="Times New Roman" w:cs="Times New Roman" w:eastAsia="Times New Roman" w:hAnsi="Times New Roman"/>
          <w:sz w:val="18"/>
          <w:szCs w:val="18"/>
          <w:color w:val="auto"/>
        </w:rPr>
        <w:t>. In exchange for the payments set forth in paragraph 2 above, Employee knowingly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voluntarily releases and forever discharges Company and its parent and affiliated companies, and each of their current and former officers, shareholders, directors, employees, members, attorneys, insurers, and agents thereof, both individually and in their business capacities (collectively, the “Releasees”), of and from any and all claims, known and unknown, which the Employee has or may have against any of the Releasees based on any conduct occurring from the beginning of the world up to and including the date on which Employee signs this Agreement, including, but not limited to, any alleged claim pursuant to the Age Discrimination in Employment Act, the Americans With Disabilities Act, the Civil Rights Act of 1866 (42 U.S.C. § 1981), the Employee Retirement Income Security Act, the Equal Pay Act, the Fair Credit Reporting Act, the Family and Medical Leave Act, the National Labor Relations Act, the Occupational Safety and Health Act, the Older Worker Benefit Protection Act, the Rehabilitation Act, the Sarbanes-Oxley Act, Title VII of the Civil Rights Act of 1964, the Workers Adjustment and Retraining Notification Act, the Florida AIDS Act, the Florida Civil Rights Act, the Florida Equal Pay Law, the Florida False Claims Law, the Florida Genetic Testing Law, the Florida Military Leave Law, the Florida Sickle Cell Discrimination Law, the Florida Wage Discrimination Law, the Florida Wage Payment Laws, the Florida Whistleblower Law, the Florida Worker’s Compensation Retaliation Law, the Illinois Biometric Information Privacy Act, the Illinois Employment Contract Act, the Illinois Equal Pay Act, the Illinois Family Bereavement Leave Act, the Illinois Health and Safety Act, the Illinois Human Rights Act, the Illinois Labor Dispute Act, the Illinois One Day Rest in Seven Act, the Illinois Paid Leave for All Workers Act, the Illinois Right to Privacy in the Workplace Act, the Illinois Union Employee Health and Benefits Protection Act, the Illinois Whistleblower Act, the Illinois Worker Adjustment and Retraining Notification Act, the Illinois Victims’ Economic Security and Safety Act, the Illinois Whistleblower Act, the Pennsylvania Human Relations Act, the Pennsylvania Labor and Wage Payment Laws, the Utah Antidiscrimination Act, and/or any other federal, state, city, local or other anti-discrimination, fair employment practices, labor, employment, employee benefits, or other law, rule, or regulation. Notwithstanding the foregoing, the Company acknowledges and recognizes that nothing in this Agreement prohibits Employee from filing a charge or complaint with any federal, state, or local fair employment practices agency or from participating in any investigation by any governmental agency. In the event that Employee receives any money or thing of value related to any of the claims released above as a consequence of the filing of such a charge or complaint on Employee’s behalf or otherwise, Employee agrees to and shall promptly pay or turn over any such money or thing of value to the Company unless prohibited by law.</w:t>
      </w:r>
    </w:p>
    <w:p>
      <w:pPr>
        <w:spacing w:after="0" w:line="104" w:lineRule="exact"/>
        <w:rPr>
          <w:rFonts w:ascii="Times New Roman" w:cs="Times New Roman" w:eastAsia="Times New Roman" w:hAnsi="Times New Roman"/>
          <w:sz w:val="18"/>
          <w:szCs w:val="18"/>
          <w:color w:val="auto"/>
        </w:rPr>
      </w:pPr>
    </w:p>
    <w:p>
      <w:pPr>
        <w:ind w:left="-460" w:right="300" w:firstLine="644"/>
        <w:spacing w:after="0" w:line="255" w:lineRule="auto"/>
        <w:tabs>
          <w:tab w:leader="none" w:pos="113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California.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during employment with the Company, Employee lived or worked in California, Employee is releasing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under Section 1542 of the California Civil Code, which reads as follows:</w:t>
      </w:r>
    </w:p>
    <w:p>
      <w:pPr>
        <w:spacing w:after="0" w:line="118" w:lineRule="exact"/>
        <w:rPr>
          <w:sz w:val="20"/>
          <w:szCs w:val="20"/>
          <w:color w:val="auto"/>
        </w:rPr>
      </w:pPr>
    </w:p>
    <w:p>
      <w:pPr>
        <w:ind w:left="180" w:right="60"/>
        <w:spacing w:after="0" w:line="261" w:lineRule="auto"/>
        <w:rPr>
          <w:sz w:val="20"/>
          <w:szCs w:val="20"/>
          <w:color w:val="auto"/>
        </w:rPr>
      </w:pPr>
      <w:r>
        <w:rPr>
          <w:rFonts w:ascii="Times New Roman" w:cs="Times New Roman" w:eastAsia="Times New Roman" w:hAnsi="Times New Roman"/>
          <w:sz w:val="18"/>
          <w:szCs w:val="18"/>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95" w:lineRule="exact"/>
        <w:rPr>
          <w:sz w:val="20"/>
          <w:szCs w:val="20"/>
          <w:color w:val="auto"/>
        </w:rPr>
      </w:pPr>
    </w:p>
    <w:p>
      <w:pPr>
        <w:ind w:left="-460" w:right="20" w:firstLine="644"/>
        <w:spacing w:after="0" w:line="257" w:lineRule="auto"/>
        <w:tabs>
          <w:tab w:leader="none" w:pos="113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Confidentiality.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acknowledges and agrees that he is still bound by the Company’s Confidentiality, Restrictive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Covenants and Intellectual Property Agreement. Employee further agrees that this Agreement, any and all matters concerning Employee’s separation from the Company, and all of the Company’s confidential information will be maintained in confidence and will not be disclosed to any person or entity. Notwithstanding the foregoing, Employee may reveal the relevant terms of this Agreement to his spouse, tax advisor, and/or an attorney with whom Employee chooses to consult regarding Employee’s consideration of this Agreement, or as may be required by any governmental agency.</w:t>
      </w:r>
    </w:p>
    <w:p>
      <w:pPr>
        <w:spacing w:after="0" w:line="10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81915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09" w:right="339" w:bottom="1440" w:gutter="0" w:footer="0" w:header="0"/>
        </w:sectPr>
      </w:pPr>
    </w:p>
    <w:bookmarkStart w:id="11" w:name="page12"/>
    <w:bookmarkEnd w:id="11"/>
    <w:p>
      <w:pPr>
        <w:ind w:left="-460" w:right="120" w:firstLine="644"/>
        <w:spacing w:after="0" w:line="257" w:lineRule="auto"/>
        <w:tabs>
          <w:tab w:leader="none" w:pos="92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Return of Property; Deletion of Work-Related Electronic Files from Personal Devices</w:t>
      </w:r>
      <w:r>
        <w:rPr>
          <w:rFonts w:ascii="Times New Roman" w:cs="Times New Roman" w:eastAsia="Times New Roman" w:hAnsi="Times New Roman"/>
          <w:sz w:val="18"/>
          <w:szCs w:val="18"/>
          <w:color w:val="auto"/>
        </w:rPr>
        <w:t>. If not already done,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agrees that he will promptly return to Company any and all laptops, iPads, cellular phones, ClearOne demo products, credit cards, calling cards, marketing materials, files, e-mails, data, confidential information, or other property of Company, without deleting any data or applications therefrom and without retaining any copies or extracts thereof. To the extent that Employee has any work-related files, e-mails, data,or information in electronic form on Employee’s personal devices (or accessible therefrom), Employee further agrees to delete all such files, e-mails, data, and information.</w:t>
      </w:r>
    </w:p>
    <w:p>
      <w:pPr>
        <w:spacing w:after="0" w:line="101" w:lineRule="exact"/>
        <w:rPr>
          <w:rFonts w:ascii="Times New Roman" w:cs="Times New Roman" w:eastAsia="Times New Roman" w:hAnsi="Times New Roman"/>
          <w:sz w:val="18"/>
          <w:szCs w:val="18"/>
          <w:color w:val="auto"/>
        </w:rPr>
      </w:pPr>
    </w:p>
    <w:p>
      <w:pPr>
        <w:ind w:left="880" w:hanging="696"/>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Employee’s Future Conduct and Obligations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60" w:right="280" w:firstLine="644"/>
        <w:spacing w:after="0" w:line="282" w:lineRule="auto"/>
        <w:tabs>
          <w:tab w:leader="none" w:pos="91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and agrees that he is still bound by any confidentiality or non-disclosure agreement that Employee signed prior to or during Employee’s employment with the Company and/or any predecessor thereof.</w:t>
      </w:r>
    </w:p>
    <w:p>
      <w:pPr>
        <w:spacing w:after="0" w:line="80" w:lineRule="exact"/>
        <w:rPr>
          <w:rFonts w:ascii="Times New Roman" w:cs="Times New Roman" w:eastAsia="Times New Roman" w:hAnsi="Times New Roman"/>
          <w:sz w:val="18"/>
          <w:szCs w:val="18"/>
          <w:color w:val="auto"/>
        </w:rPr>
      </w:pPr>
    </w:p>
    <w:p>
      <w:pPr>
        <w:ind w:left="-460" w:right="280" w:firstLine="644"/>
        <w:spacing w:after="0" w:line="266" w:lineRule="auto"/>
        <w:tabs>
          <w:tab w:leader="none" w:pos="88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Employee agrees that he will not at any time engage in any form of conduct, or make any statements or representations, that disparage or otherwise impair the reputation, goodwill, or commercial interests of the Company, its management, officers, employees, stockholders, and/or affiliates.</w:t>
      </w:r>
    </w:p>
    <w:p>
      <w:pPr>
        <w:spacing w:after="0" w:line="108" w:lineRule="exact"/>
        <w:rPr>
          <w:rFonts w:ascii="Times New Roman" w:cs="Times New Roman" w:eastAsia="Times New Roman" w:hAnsi="Times New Roman"/>
          <w:sz w:val="18"/>
          <w:szCs w:val="18"/>
          <w:color w:val="auto"/>
        </w:rPr>
      </w:pPr>
    </w:p>
    <w:p>
      <w:pPr>
        <w:ind w:left="-460" w:right="120" w:firstLine="644"/>
        <w:spacing w:after="0" w:line="261" w:lineRule="auto"/>
        <w:tabs>
          <w:tab w:leader="none" w:pos="91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Employee agrees to cooperate with Company reasonably responding to questions relating to issues concerning his employment with the Company and by making himself reasonably available to meet with the Company or its representatives to discuss any litigation, arbitration, governmental investigation, internal company investigation, or other proceeding or matter with respect to which he may have relevant information.</w:t>
      </w:r>
    </w:p>
    <w:p>
      <w:pPr>
        <w:spacing w:after="0" w:line="108" w:lineRule="exact"/>
        <w:rPr>
          <w:sz w:val="20"/>
          <w:szCs w:val="20"/>
          <w:color w:val="auto"/>
        </w:rPr>
      </w:pPr>
    </w:p>
    <w:p>
      <w:pPr>
        <w:jc w:val="both"/>
        <w:ind w:left="-460" w:right="220" w:firstLine="644"/>
        <w:spacing w:after="0" w:line="268" w:lineRule="auto"/>
        <w:tabs>
          <w:tab w:leader="none" w:pos="88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Non-Admission</w:t>
      </w:r>
      <w:r>
        <w:rPr>
          <w:rFonts w:ascii="Times New Roman" w:cs="Times New Roman" w:eastAsia="Times New Roman" w:hAnsi="Times New Roman"/>
          <w:sz w:val="18"/>
          <w:szCs w:val="18"/>
          <w:color w:val="auto"/>
        </w:rPr>
        <w:t>. The making of this Agreement is not intended, and shall not be construed, as an admission that either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has violated any federal, state, or local law, ordinance or regulation, breached any contract (express or implied), or committed any wrong whatsoever.</w:t>
      </w:r>
    </w:p>
    <w:p>
      <w:pPr>
        <w:spacing w:after="0" w:line="89" w:lineRule="exact"/>
        <w:rPr>
          <w:rFonts w:ascii="Times New Roman" w:cs="Times New Roman" w:eastAsia="Times New Roman" w:hAnsi="Times New Roman"/>
          <w:sz w:val="18"/>
          <w:szCs w:val="18"/>
          <w:color w:val="auto"/>
        </w:rPr>
      </w:pPr>
    </w:p>
    <w:p>
      <w:pPr>
        <w:ind w:left="-460" w:firstLine="644"/>
        <w:spacing w:after="0" w:line="268" w:lineRule="auto"/>
        <w:tabs>
          <w:tab w:leader="none" w:pos="88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Employee shall promptly notify Company of any change in Employee’s residence address. Any notice to be given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hereunder may be delivered (a) in the case of the Company, by e-mail to Teri Lee at </w:t>
      </w:r>
      <w:r>
        <w:rPr>
          <w:rFonts w:ascii="Times New Roman" w:cs="Times New Roman" w:eastAsia="Times New Roman" w:hAnsi="Times New Roman"/>
          <w:sz w:val="18"/>
          <w:szCs w:val="18"/>
          <w:u w:val="single" w:color="auto"/>
          <w:color w:val="auto"/>
        </w:rPr>
        <w:t>Teri.Lee@ClearOne.com</w:t>
      </w:r>
      <w:r>
        <w:rPr>
          <w:rFonts w:ascii="Times New Roman" w:cs="Times New Roman" w:eastAsia="Times New Roman" w:hAnsi="Times New Roman"/>
          <w:sz w:val="18"/>
          <w:szCs w:val="18"/>
          <w:color w:val="auto"/>
        </w:rPr>
        <w:t>, and (b) in the case of the Employee, either to him/her personally or by first class mail to his/her last known residence address.</w:t>
      </w:r>
    </w:p>
    <w:p>
      <w:pPr>
        <w:spacing w:after="0" w:line="103" w:lineRule="exact"/>
        <w:rPr>
          <w:rFonts w:ascii="Times New Roman" w:cs="Times New Roman" w:eastAsia="Times New Roman" w:hAnsi="Times New Roman"/>
          <w:sz w:val="18"/>
          <w:szCs w:val="18"/>
          <w:color w:val="auto"/>
        </w:rPr>
      </w:pPr>
    </w:p>
    <w:p>
      <w:pPr>
        <w:ind w:left="-460" w:firstLine="644"/>
        <w:spacing w:after="0" w:line="262" w:lineRule="auto"/>
        <w:tabs>
          <w:tab w:leader="none" w:pos="8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Certain Forfeitures in Event of Breach</w:t>
      </w:r>
      <w:r>
        <w:rPr>
          <w:rFonts w:ascii="Times New Roman" w:cs="Times New Roman" w:eastAsia="Times New Roman" w:hAnsi="Times New Roman"/>
          <w:sz w:val="18"/>
          <w:szCs w:val="18"/>
          <w:color w:val="auto"/>
        </w:rPr>
        <w:t>. Employee acknowledges and agrees that, notwithstanding any other provision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in the event the Employee breaches any obligation under this Agreement, Employee will forfeit his right to receive the payments provided for in paragraph 2 of this Agreement (except for $100) and, to the extent that such payments have already been paid to the Employee, the Company shall have the right to recover such payments from the Employee.</w:t>
      </w:r>
    </w:p>
    <w:p>
      <w:pPr>
        <w:spacing w:after="0" w:line="108" w:lineRule="exact"/>
        <w:rPr>
          <w:rFonts w:ascii="Times New Roman" w:cs="Times New Roman" w:eastAsia="Times New Roman" w:hAnsi="Times New Roman"/>
          <w:sz w:val="18"/>
          <w:szCs w:val="18"/>
          <w:color w:val="auto"/>
        </w:rPr>
      </w:pPr>
    </w:p>
    <w:p>
      <w:pPr>
        <w:ind w:left="-460" w:right="40" w:firstLine="644"/>
        <w:spacing w:after="0" w:line="260" w:lineRule="auto"/>
        <w:tabs>
          <w:tab w:leader="none" w:pos="84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shall be governed and construed in accordance with the laws of the State of Utah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giving effect to the principles of conflicts of laws thereof and the parties shall be subject to the personal jurisdiction and venue of federal and state courts located in Salt Lake City, Utah, in connection with any actions brought under this Agreement.</w:t>
      </w:r>
    </w:p>
    <w:p>
      <w:pPr>
        <w:spacing w:after="0" w:line="110" w:lineRule="exact"/>
        <w:rPr>
          <w:rFonts w:ascii="Times New Roman" w:cs="Times New Roman" w:eastAsia="Times New Roman" w:hAnsi="Times New Roman"/>
          <w:sz w:val="18"/>
          <w:szCs w:val="18"/>
          <w:color w:val="auto"/>
        </w:rPr>
      </w:pPr>
    </w:p>
    <w:p>
      <w:pPr>
        <w:ind w:left="-460" w:right="160" w:firstLine="644"/>
        <w:spacing w:after="0" w:line="262" w:lineRule="auto"/>
        <w:tabs>
          <w:tab w:leader="none" w:pos="8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sets forth the entire agreement between the parties hereto, and fully supersedes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replaces any prior agreements or understandings between the parties with respect to Employee’s separation. Employee acknowledges that he has not relied on any representations, promises, or agreements of any kind made to him in connection with his decision to accept this Agreement, except for those set forth in this Agreement.</w:t>
      </w:r>
    </w:p>
    <w:p>
      <w:pPr>
        <w:spacing w:after="0" w:line="15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482" w:right="359" w:bottom="1440" w:gutter="0" w:footer="0" w:header="0"/>
        </w:sectPr>
      </w:pPr>
    </w:p>
    <w:bookmarkStart w:id="12" w:name="page13"/>
    <w:bookmarkEnd w:id="12"/>
    <w:p>
      <w:pPr>
        <w:ind w:left="1300" w:hanging="656"/>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Meaning of Signing This Agreement</w:t>
      </w:r>
      <w:r>
        <w:rPr>
          <w:rFonts w:ascii="Times New Roman" w:cs="Times New Roman" w:eastAsia="Times New Roman" w:hAnsi="Times New Roman"/>
          <w:sz w:val="18"/>
          <w:szCs w:val="18"/>
          <w:color w:val="auto"/>
        </w:rPr>
        <w:t>. By signing this Agreement, Employee expressly acknowledges and agrees that:</w:t>
      </w:r>
    </w:p>
    <w:p>
      <w:pPr>
        <w:spacing w:after="0" w:line="202" w:lineRule="exact"/>
        <w:rPr>
          <w:rFonts w:ascii="Times New Roman" w:cs="Times New Roman" w:eastAsia="Times New Roman" w:hAnsi="Times New Roman"/>
          <w:sz w:val="18"/>
          <w:szCs w:val="18"/>
          <w:color w:val="auto"/>
        </w:rPr>
      </w:pPr>
    </w:p>
    <w:p>
      <w:pPr>
        <w:ind w:left="2020" w:hanging="728"/>
        <w:spacing w:after="0"/>
        <w:tabs>
          <w:tab w:leader="none" w:pos="2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has carefully read this Agreement and fully understand what it means;</w:t>
      </w:r>
    </w:p>
    <w:p>
      <w:pPr>
        <w:spacing w:after="0" w:line="184" w:lineRule="exact"/>
        <w:rPr>
          <w:rFonts w:ascii="Times New Roman" w:cs="Times New Roman" w:eastAsia="Times New Roman" w:hAnsi="Times New Roman"/>
          <w:sz w:val="18"/>
          <w:szCs w:val="18"/>
          <w:color w:val="auto"/>
        </w:rPr>
      </w:pPr>
    </w:p>
    <w:p>
      <w:pPr>
        <w:ind w:left="2000" w:hanging="708"/>
        <w:spacing w:after="0"/>
        <w:tabs>
          <w:tab w:leader="none" w:pos="2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have been advised in writing to discuss this Agreement with an attorney before signing it.</w:t>
      </w:r>
    </w:p>
    <w:p>
      <w:pPr>
        <w:spacing w:after="0" w:line="184" w:lineRule="exact"/>
        <w:rPr>
          <w:rFonts w:ascii="Times New Roman" w:cs="Times New Roman" w:eastAsia="Times New Roman" w:hAnsi="Times New Roman"/>
          <w:sz w:val="18"/>
          <w:szCs w:val="18"/>
          <w:color w:val="auto"/>
        </w:rPr>
      </w:pPr>
    </w:p>
    <w:p>
      <w:pPr>
        <w:ind w:left="2020" w:hanging="728"/>
        <w:spacing w:after="0"/>
        <w:tabs>
          <w:tab w:leader="none" w:pos="2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has been given at least forty-five (45) calendar days to consider this Agreement;</w:t>
      </w:r>
    </w:p>
    <w:p>
      <w:pPr>
        <w:spacing w:after="0" w:line="198" w:lineRule="exact"/>
        <w:rPr>
          <w:rFonts w:ascii="Times New Roman" w:cs="Times New Roman" w:eastAsia="Times New Roman" w:hAnsi="Times New Roman"/>
          <w:sz w:val="18"/>
          <w:szCs w:val="18"/>
          <w:color w:val="auto"/>
        </w:rPr>
      </w:pPr>
    </w:p>
    <w:p>
      <w:pPr>
        <w:ind w:firstLine="1292"/>
        <w:spacing w:after="0" w:line="282" w:lineRule="auto"/>
        <w:tabs>
          <w:tab w:leader="none" w:pos="199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has been given a list of the job titles and ages of all U.S. employees eligible for this separation program and the job titles and ages of all U.S. employees who are not eligible for this program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Appendix A);</w:t>
      </w:r>
    </w:p>
    <w:p>
      <w:pPr>
        <w:spacing w:after="0" w:line="121" w:lineRule="exact"/>
        <w:rPr>
          <w:rFonts w:ascii="Times New Roman" w:cs="Times New Roman" w:eastAsia="Times New Roman" w:hAnsi="Times New Roman"/>
          <w:sz w:val="18"/>
          <w:szCs w:val="18"/>
          <w:color w:val="auto"/>
        </w:rPr>
      </w:pPr>
    </w:p>
    <w:p>
      <w:pPr>
        <w:ind w:right="60" w:firstLine="1292"/>
        <w:spacing w:after="0" w:line="282" w:lineRule="auto"/>
        <w:tabs>
          <w:tab w:leader="none" w:pos="201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has agreed to this Agreement knowingly and voluntarily, was not subject to any undue influence or duress, and is competent to execute this document;</w:t>
      </w:r>
    </w:p>
    <w:p>
      <w:pPr>
        <w:spacing w:after="0" w:line="121" w:lineRule="exact"/>
        <w:rPr>
          <w:rFonts w:ascii="Times New Roman" w:cs="Times New Roman" w:eastAsia="Times New Roman" w:hAnsi="Times New Roman"/>
          <w:sz w:val="18"/>
          <w:szCs w:val="18"/>
          <w:color w:val="auto"/>
        </w:rPr>
      </w:pPr>
    </w:p>
    <w:p>
      <w:pPr>
        <w:ind w:right="100" w:firstLine="1292"/>
        <w:spacing w:after="0" w:line="282" w:lineRule="auto"/>
        <w:tabs>
          <w:tab w:leader="none" w:pos="203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Employee may revoke his/her acceptance of this Agreement within seven (7) days after signing it by sending written Notice of Revocation to Teri Lee by e-mail at </w:t>
      </w:r>
      <w:r>
        <w:rPr>
          <w:rFonts w:ascii="Times New Roman" w:cs="Times New Roman" w:eastAsia="Times New Roman" w:hAnsi="Times New Roman"/>
          <w:sz w:val="18"/>
          <w:szCs w:val="18"/>
          <w:u w:val="single" w:color="auto"/>
          <w:color w:val="auto"/>
        </w:rPr>
        <w:t>Teri.Lee@ClearOne.com</w:t>
      </w:r>
      <w:r>
        <w:rPr>
          <w:rFonts w:ascii="Times New Roman" w:cs="Times New Roman" w:eastAsia="Times New Roman" w:hAnsi="Times New Roman"/>
          <w:sz w:val="18"/>
          <w:szCs w:val="18"/>
          <w:color w:val="auto"/>
        </w:rPr>
        <w:t>; and</w:t>
      </w:r>
    </w:p>
    <w:p>
      <w:pPr>
        <w:spacing w:after="0" w:line="121" w:lineRule="exact"/>
        <w:rPr>
          <w:rFonts w:ascii="Times New Roman" w:cs="Times New Roman" w:eastAsia="Times New Roman" w:hAnsi="Times New Roman"/>
          <w:sz w:val="18"/>
          <w:szCs w:val="18"/>
          <w:color w:val="auto"/>
        </w:rPr>
      </w:pPr>
    </w:p>
    <w:p>
      <w:pPr>
        <w:ind w:right="120" w:firstLine="1292"/>
        <w:spacing w:after="0" w:line="282" w:lineRule="auto"/>
        <w:tabs>
          <w:tab w:leader="none" w:pos="199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becomes effective and enforceable if it has not been revoked on the eighth (8th) day after Employee signs this Agreement (such date being the “Effective Date”).</w:t>
      </w:r>
    </w:p>
    <w:p>
      <w:pPr>
        <w:spacing w:after="0" w:line="130" w:lineRule="exact"/>
        <w:rPr>
          <w:rFonts w:ascii="Times New Roman" w:cs="Times New Roman" w:eastAsia="Times New Roman" w:hAnsi="Times New Roman"/>
          <w:sz w:val="18"/>
          <w:szCs w:val="18"/>
          <w:color w:val="auto"/>
        </w:rPr>
      </w:pPr>
    </w:p>
    <w:p>
      <w:pPr>
        <w:ind w:right="100" w:firstLine="644"/>
        <w:spacing w:after="0" w:line="268" w:lineRule="auto"/>
        <w:tabs>
          <w:tab w:leader="none" w:pos="131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Return of Signed Agreement</w:t>
      </w:r>
      <w:r>
        <w:rPr>
          <w:rFonts w:ascii="Times New Roman" w:cs="Times New Roman" w:eastAsia="Times New Roman" w:hAnsi="Times New Roman"/>
          <w:sz w:val="18"/>
          <w:szCs w:val="18"/>
          <w:color w:val="auto"/>
        </w:rPr>
        <w:t>. Employee may accept this Agreement by signing and dating the Agreement and returning it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email to Teri Lee at </w:t>
      </w:r>
      <w:r>
        <w:rPr>
          <w:rFonts w:ascii="Times New Roman" w:cs="Times New Roman" w:eastAsia="Times New Roman" w:hAnsi="Times New Roman"/>
          <w:sz w:val="18"/>
          <w:szCs w:val="18"/>
          <w:u w:val="single" w:color="auto"/>
          <w:color w:val="auto"/>
        </w:rPr>
        <w:t>Teri.Lee@ClearOne.com</w:t>
      </w:r>
      <w:r>
        <w:rPr>
          <w:rFonts w:ascii="Times New Roman" w:cs="Times New Roman" w:eastAsia="Times New Roman" w:hAnsi="Times New Roman"/>
          <w:sz w:val="18"/>
          <w:szCs w:val="18"/>
          <w:color w:val="auto"/>
        </w:rPr>
        <w:t xml:space="preserve"> within forty-five (45) days after receiving it. If Employee does not sign and return this Agreement within said 45 days, this Agreement shall be deemed automatically null and void.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parties knowingly and voluntarily sign this Confidential Separation Agreement and General Release as of the date(s) set forth below:</w:t>
      </w:r>
    </w:p>
    <w:p>
      <w:pPr>
        <w:spacing w:after="0" w:line="3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49" w:lineRule="exact"/>
        <w:rPr>
          <w:sz w:val="20"/>
          <w:szCs w:val="20"/>
          <w:color w:val="auto"/>
        </w:rPr>
      </w:pPr>
    </w:p>
    <w:p>
      <w:pPr>
        <w:ind w:left="40"/>
        <w:spacing w:after="0"/>
        <w:tabs>
          <w:tab w:leader="none" w:pos="540" w:val="left"/>
          <w:tab w:leader="none" w:pos="6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Eric L.Robinson</w:t>
      </w:r>
      <w:r>
        <w:rPr>
          <w:sz w:val="20"/>
          <w:szCs w:val="20"/>
          <w:color w:val="auto"/>
        </w:rPr>
        <w:tab/>
      </w:r>
      <w:r>
        <w:rPr>
          <w:rFonts w:ascii="Times New Roman" w:cs="Times New Roman" w:eastAsia="Times New Roman" w:hAnsi="Times New Roman"/>
          <w:sz w:val="18"/>
          <w:szCs w:val="18"/>
          <w:color w:val="auto"/>
        </w:rPr>
        <w:t>Dated: Dec 23,2025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27305</wp:posOffset>
            </wp:positionV>
            <wp:extent cx="60432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43295" cy="8890"/>
                    </a:xfrm>
                    <a:prstGeom prst="rect">
                      <a:avLst/>
                    </a:prstGeom>
                    <a:noFill/>
                  </pic:spPr>
                </pic:pic>
              </a:graphicData>
            </a:graphic>
          </wp:anchor>
        </w:drawing>
      </w:r>
    </w:p>
    <w:p>
      <w:pPr>
        <w:spacing w:after="0" w:line="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Eric L. Robinson</w:t>
      </w:r>
    </w:p>
    <w:p>
      <w:pPr>
        <w:spacing w:after="0" w:line="6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3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SIMON BREWER</w:t>
      </w:r>
    </w:p>
    <w:p>
      <w:pPr>
        <w:spacing w:after="0" w:line="335" w:lineRule="exact"/>
        <w:rPr>
          <w:sz w:val="20"/>
          <w:szCs w:val="20"/>
          <w:color w:val="auto"/>
        </w:rPr>
      </w:pPr>
    </w:p>
    <w:p>
      <w:pPr>
        <w:ind w:left="40"/>
        <w:spacing w:after="0"/>
        <w:tabs>
          <w:tab w:leader="none" w:pos="540" w:val="left"/>
          <w:tab w:leader="none" w:pos="6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Simon Brewer</w:t>
      </w:r>
      <w:r>
        <w:rPr>
          <w:sz w:val="20"/>
          <w:szCs w:val="20"/>
          <w:color w:val="auto"/>
        </w:rPr>
        <w:tab/>
      </w:r>
      <w:r>
        <w:rPr>
          <w:rFonts w:ascii="Times New Roman" w:cs="Times New Roman" w:eastAsia="Times New Roman" w:hAnsi="Times New Roman"/>
          <w:sz w:val="18"/>
          <w:szCs w:val="18"/>
          <w:color w:val="auto"/>
        </w:rPr>
        <w:t>Dated: Dec 23,2025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44450</wp:posOffset>
            </wp:positionV>
            <wp:extent cx="60432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43295" cy="8255"/>
                    </a:xfrm>
                    <a:prstGeom prst="rect">
                      <a:avLst/>
                    </a:prstGeom>
                    <a:noFill/>
                  </pic:spPr>
                </pic:pic>
              </a:graphicData>
            </a:graphic>
          </wp:anchor>
        </w:drawing>
      </w:r>
    </w:p>
    <w:p>
      <w:pPr>
        <w:spacing w:after="0" w:line="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Simon Brewer</w:t>
      </w:r>
    </w:p>
    <w:p>
      <w:pPr>
        <w:spacing w:after="0" w:line="30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81915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980" w:top="509" w:right="399" w:bottom="1440" w:gutter="0" w:footer="0" w:header="0"/>
        </w:sectPr>
      </w:pPr>
    </w:p>
    <w:bookmarkStart w:id="13" w:name="page14"/>
    <w:bookmarkEnd w:id="13"/>
    <w:p>
      <w:pPr>
        <w:ind w:left="5500"/>
        <w:spacing w:after="0"/>
        <w:rPr>
          <w:sz w:val="20"/>
          <w:szCs w:val="20"/>
          <w:color w:val="auto"/>
        </w:rPr>
      </w:pPr>
      <w:r>
        <w:rPr>
          <w:rFonts w:ascii="Times New Roman" w:cs="Times New Roman" w:eastAsia="Times New Roman" w:hAnsi="Times New Roman"/>
          <w:sz w:val="18"/>
          <w:szCs w:val="18"/>
          <w:b w:val="1"/>
          <w:bCs w:val="1"/>
          <w:u w:val="single" w:color="auto"/>
          <w:color w:val="auto"/>
        </w:rPr>
        <w:t>Appendix A</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Eligible Class – All U.S. employees identified below currently employed by ClearOne, Inc.:</w:t>
      </w:r>
    </w:p>
    <w:p>
      <w:pPr>
        <w:spacing w:after="0" w:line="131" w:lineRule="exact"/>
        <w:rPr>
          <w:sz w:val="20"/>
          <w:szCs w:val="20"/>
          <w:color w:val="auto"/>
        </w:rPr>
      </w:pPr>
    </w:p>
    <w:p>
      <w:pPr>
        <w:ind w:left="660" w:right="20" w:hanging="4"/>
        <w:spacing w:after="0" w:line="261" w:lineRule="auto"/>
        <w:tabs>
          <w:tab w:leader="none" w:pos="9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whose positions were or are being eliminated in June or November/December 2025, (2) who continue to satisfactorily perform their duties in good faith as requested until their Separation Date, (3) who do not commit any terminable offenses, (4) who comply with all conditions set forth in the Confidential Separation Agreement and General Release (such as returning Company property), and (5) who sign, date, and return the Confidential Separation Agreement and General Release within 45 days of receiving it and do not revoke it within 7 days of signing it.</w:t>
      </w:r>
    </w:p>
    <w:p>
      <w:pPr>
        <w:spacing w:after="0" w:line="85" w:lineRule="exact"/>
        <w:rPr>
          <w:sz w:val="20"/>
          <w:szCs w:val="20"/>
          <w:color w:val="auto"/>
        </w:rPr>
      </w:pPr>
    </w:p>
    <w:p>
      <w:pPr>
        <w:jc w:val="both"/>
        <w:ind w:left="660" w:right="620"/>
        <w:spacing w:after="0" w:line="266" w:lineRule="auto"/>
        <w:rPr>
          <w:sz w:val="20"/>
          <w:szCs w:val="20"/>
          <w:color w:val="auto"/>
        </w:rPr>
      </w:pPr>
      <w:r>
        <w:rPr>
          <w:rFonts w:ascii="Times New Roman" w:cs="Times New Roman" w:eastAsia="Times New Roman" w:hAnsi="Times New Roman"/>
          <w:sz w:val="18"/>
          <w:szCs w:val="18"/>
          <w:color w:val="auto"/>
        </w:rPr>
        <w:t>The information set forth below is intended to inform eligible U.S. employees as to the job titles and ages of all individuals eligible for the ClearOne Severance Program and the job titles and ages (as of Dec. 31, 2025) of all U.S. employees who are not currently eligible for the program:</w:t>
      </w:r>
    </w:p>
    <w:p>
      <w:pPr>
        <w:spacing w:after="0" w:line="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List of U.S. Employees Eligible for the November/December ClearOne Severance Program:</w:t>
      </w:r>
    </w:p>
    <w:p>
      <w:pPr>
        <w:spacing w:after="0" w:line="108" w:lineRule="exact"/>
        <w:rPr>
          <w:sz w:val="20"/>
          <w:szCs w:val="20"/>
          <w:color w:val="auto"/>
        </w:rPr>
      </w:pPr>
    </w:p>
    <w:tbl>
      <w:tblPr>
        <w:tblLayout w:type="fixed"/>
        <w:tblInd w:w="368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2820" w:type="dxa"/>
            <w:vAlign w:val="bottom"/>
            <w:gridSpan w:val="4"/>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9"/>
              </w:rPr>
              <w:t>Job Title</w:t>
            </w:r>
          </w:p>
        </w:tc>
        <w:tc>
          <w:tcPr>
            <w:tcW w:w="158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3"/>
              </w:rPr>
              <w:t>Age</w:t>
            </w:r>
          </w:p>
        </w:tc>
      </w:tr>
      <w:tr>
        <w:trPr>
          <w:trHeight w:val="20"/>
        </w:trPr>
        <w:tc>
          <w:tcPr>
            <w:tcW w:w="8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26"/>
        </w:trPr>
        <w:tc>
          <w:tcPr>
            <w:tcW w:w="3680" w:type="dxa"/>
            <w:vAlign w:val="bottom"/>
            <w:gridSpan w:val="5"/>
          </w:tcPr>
          <w:p>
            <w:pPr>
              <w:jc w:val="center"/>
              <w:ind w:right="1280"/>
              <w:spacing w:after="0"/>
              <w:rPr>
                <w:sz w:val="20"/>
                <w:szCs w:val="20"/>
                <w:color w:val="auto"/>
              </w:rPr>
            </w:pPr>
            <w:r>
              <w:rPr>
                <w:rFonts w:ascii="Times New Roman" w:cs="Times New Roman" w:eastAsia="Times New Roman" w:hAnsi="Times New Roman"/>
                <w:sz w:val="18"/>
                <w:szCs w:val="18"/>
                <w:color w:val="auto"/>
                <w:w w:val="98"/>
              </w:rPr>
              <w:t>VP of Sales</w:t>
            </w:r>
          </w:p>
        </w:tc>
        <w:tc>
          <w:tcPr>
            <w:tcW w:w="158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88"/>
              </w:rPr>
              <w:t>65</w:t>
            </w:r>
          </w:p>
        </w:tc>
      </w:tr>
      <w:tr>
        <w:trPr>
          <w:trHeight w:val="229"/>
        </w:trPr>
        <w:tc>
          <w:tcPr>
            <w:tcW w:w="3680" w:type="dxa"/>
            <w:vAlign w:val="bottom"/>
            <w:gridSpan w:val="5"/>
          </w:tcPr>
          <w:p>
            <w:pPr>
              <w:jc w:val="center"/>
              <w:ind w:right="1280"/>
              <w:spacing w:after="0"/>
              <w:rPr>
                <w:sz w:val="20"/>
                <w:szCs w:val="20"/>
                <w:color w:val="auto"/>
              </w:rPr>
            </w:pPr>
            <w:r>
              <w:rPr>
                <w:rFonts w:ascii="Times New Roman" w:cs="Times New Roman" w:eastAsia="Times New Roman" w:hAnsi="Times New Roman"/>
                <w:sz w:val="18"/>
                <w:szCs w:val="18"/>
                <w:color w:val="auto"/>
                <w:w w:val="98"/>
              </w:rPr>
              <w:t>HR Manager</w:t>
            </w:r>
          </w:p>
        </w:tc>
        <w:tc>
          <w:tcPr>
            <w:tcW w:w="158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88"/>
              </w:rPr>
              <w:t>63</w:t>
            </w:r>
          </w:p>
        </w:tc>
      </w:tr>
      <w:tr>
        <w:trPr>
          <w:trHeight w:val="230"/>
        </w:trPr>
        <w:tc>
          <w:tcPr>
            <w:tcW w:w="3680" w:type="dxa"/>
            <w:vAlign w:val="bottom"/>
            <w:gridSpan w:val="5"/>
          </w:tcPr>
          <w:p>
            <w:pPr>
              <w:jc w:val="center"/>
              <w:ind w:right="1300"/>
              <w:spacing w:after="0"/>
              <w:rPr>
                <w:sz w:val="20"/>
                <w:szCs w:val="20"/>
                <w:color w:val="auto"/>
              </w:rPr>
            </w:pPr>
            <w:r>
              <w:rPr>
                <w:rFonts w:ascii="Times New Roman" w:cs="Times New Roman" w:eastAsia="Times New Roman" w:hAnsi="Times New Roman"/>
                <w:sz w:val="18"/>
                <w:szCs w:val="18"/>
                <w:color w:val="auto"/>
                <w:w w:val="99"/>
              </w:rPr>
              <w:t>Senior Accountant</w:t>
            </w:r>
          </w:p>
        </w:tc>
        <w:tc>
          <w:tcPr>
            <w:tcW w:w="158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88"/>
              </w:rPr>
              <w:t>63</w:t>
            </w:r>
          </w:p>
        </w:tc>
      </w:tr>
      <w:tr>
        <w:trPr>
          <w:trHeight w:val="229"/>
        </w:trPr>
        <w:tc>
          <w:tcPr>
            <w:tcW w:w="3680" w:type="dxa"/>
            <w:vAlign w:val="bottom"/>
            <w:gridSpan w:val="5"/>
          </w:tcPr>
          <w:p>
            <w:pPr>
              <w:jc w:val="center"/>
              <w:ind w:right="1300"/>
              <w:spacing w:after="0"/>
              <w:rPr>
                <w:sz w:val="20"/>
                <w:szCs w:val="20"/>
                <w:color w:val="auto"/>
              </w:rPr>
            </w:pPr>
            <w:r>
              <w:rPr>
                <w:rFonts w:ascii="Times New Roman" w:cs="Times New Roman" w:eastAsia="Times New Roman" w:hAnsi="Times New Roman"/>
                <w:sz w:val="18"/>
                <w:szCs w:val="18"/>
                <w:color w:val="auto"/>
                <w:w w:val="98"/>
              </w:rPr>
              <w:t>Sr Director Financial Reporting</w:t>
            </w:r>
          </w:p>
        </w:tc>
        <w:tc>
          <w:tcPr>
            <w:tcW w:w="158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88"/>
              </w:rPr>
              <w:t>59</w:t>
            </w:r>
          </w:p>
        </w:tc>
      </w:tr>
      <w:tr>
        <w:trPr>
          <w:trHeight w:val="234"/>
        </w:trPr>
        <w:tc>
          <w:tcPr>
            <w:tcW w:w="3680" w:type="dxa"/>
            <w:vAlign w:val="bottom"/>
            <w:gridSpan w:val="5"/>
          </w:tcPr>
          <w:p>
            <w:pPr>
              <w:jc w:val="center"/>
              <w:ind w:right="1280"/>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158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88"/>
              </w:rPr>
              <w:t>58</w:t>
            </w:r>
          </w:p>
        </w:tc>
      </w:tr>
      <w:tr>
        <w:trPr>
          <w:trHeight w:val="238"/>
        </w:trPr>
        <w:tc>
          <w:tcPr>
            <w:tcW w:w="3680" w:type="dxa"/>
            <w:vAlign w:val="bottom"/>
            <w:gridSpan w:val="5"/>
          </w:tcPr>
          <w:p>
            <w:pPr>
              <w:jc w:val="center"/>
              <w:ind w:right="1300"/>
              <w:spacing w:after="0"/>
              <w:rPr>
                <w:sz w:val="20"/>
                <w:szCs w:val="20"/>
                <w:color w:val="auto"/>
              </w:rPr>
            </w:pPr>
            <w:r>
              <w:rPr>
                <w:rFonts w:ascii="Times New Roman" w:cs="Times New Roman" w:eastAsia="Times New Roman" w:hAnsi="Times New Roman"/>
                <w:sz w:val="18"/>
                <w:szCs w:val="18"/>
                <w:color w:val="auto"/>
                <w:w w:val="98"/>
              </w:rPr>
              <w:t>Accountant</w:t>
            </w:r>
          </w:p>
        </w:tc>
        <w:tc>
          <w:tcPr>
            <w:tcW w:w="158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88"/>
              </w:rPr>
              <w:t>53</w:t>
            </w:r>
          </w:p>
        </w:tc>
      </w:tr>
      <w:tr>
        <w:trPr>
          <w:trHeight w:val="234"/>
        </w:trPr>
        <w:tc>
          <w:tcPr>
            <w:tcW w:w="3680" w:type="dxa"/>
            <w:vAlign w:val="bottom"/>
            <w:gridSpan w:val="5"/>
          </w:tcPr>
          <w:p>
            <w:pPr>
              <w:jc w:val="center"/>
              <w:ind w:right="1280"/>
              <w:spacing w:after="0"/>
              <w:rPr>
                <w:sz w:val="20"/>
                <w:szCs w:val="20"/>
                <w:color w:val="auto"/>
              </w:rPr>
            </w:pPr>
            <w:r>
              <w:rPr>
                <w:rFonts w:ascii="Times New Roman" w:cs="Times New Roman" w:eastAsia="Times New Roman" w:hAnsi="Times New Roman"/>
                <w:sz w:val="18"/>
                <w:szCs w:val="18"/>
                <w:color w:val="auto"/>
                <w:w w:val="98"/>
              </w:rPr>
              <w:t>Technical Support Representative</w:t>
            </w:r>
          </w:p>
        </w:tc>
        <w:tc>
          <w:tcPr>
            <w:tcW w:w="158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88"/>
              </w:rPr>
              <w:t>50</w:t>
            </w:r>
          </w:p>
        </w:tc>
      </w:tr>
      <w:tr>
        <w:trPr>
          <w:trHeight w:val="243"/>
        </w:trPr>
        <w:tc>
          <w:tcPr>
            <w:tcW w:w="3680" w:type="dxa"/>
            <w:vAlign w:val="bottom"/>
            <w:gridSpan w:val="5"/>
          </w:tcPr>
          <w:p>
            <w:pPr>
              <w:jc w:val="center"/>
              <w:ind w:right="1300"/>
              <w:spacing w:after="0"/>
              <w:rPr>
                <w:sz w:val="20"/>
                <w:szCs w:val="20"/>
                <w:color w:val="auto"/>
              </w:rPr>
            </w:pPr>
            <w:r>
              <w:rPr>
                <w:rFonts w:ascii="Times New Roman" w:cs="Times New Roman" w:eastAsia="Times New Roman" w:hAnsi="Times New Roman"/>
                <w:sz w:val="18"/>
                <w:szCs w:val="18"/>
                <w:color w:val="auto"/>
                <w:w w:val="99"/>
              </w:rPr>
              <w:t>VP Operations</w:t>
            </w:r>
          </w:p>
        </w:tc>
        <w:tc>
          <w:tcPr>
            <w:tcW w:w="158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88"/>
              </w:rPr>
              <w:t>49</w:t>
            </w:r>
          </w:p>
        </w:tc>
      </w:tr>
      <w:tr>
        <w:trPr>
          <w:trHeight w:val="225"/>
        </w:trPr>
        <w:tc>
          <w:tcPr>
            <w:tcW w:w="3680" w:type="dxa"/>
            <w:vAlign w:val="bottom"/>
            <w:gridSpan w:val="5"/>
          </w:tcPr>
          <w:p>
            <w:pPr>
              <w:jc w:val="center"/>
              <w:ind w:right="1280"/>
              <w:spacing w:after="0"/>
              <w:rPr>
                <w:sz w:val="20"/>
                <w:szCs w:val="20"/>
                <w:color w:val="auto"/>
              </w:rPr>
            </w:pPr>
            <w:r>
              <w:rPr>
                <w:rFonts w:ascii="Times New Roman" w:cs="Times New Roman" w:eastAsia="Times New Roman" w:hAnsi="Times New Roman"/>
                <w:sz w:val="18"/>
                <w:szCs w:val="18"/>
                <w:color w:val="auto"/>
                <w:w w:val="98"/>
              </w:rPr>
              <w:t>Director of IT</w:t>
            </w:r>
          </w:p>
        </w:tc>
        <w:tc>
          <w:tcPr>
            <w:tcW w:w="158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88"/>
              </w:rPr>
              <w:t>49</w:t>
            </w:r>
          </w:p>
        </w:tc>
      </w:tr>
      <w:tr>
        <w:trPr>
          <w:trHeight w:val="234"/>
        </w:trPr>
        <w:tc>
          <w:tcPr>
            <w:tcW w:w="3680" w:type="dxa"/>
            <w:vAlign w:val="bottom"/>
            <w:gridSpan w:val="5"/>
          </w:tcPr>
          <w:p>
            <w:pPr>
              <w:jc w:val="center"/>
              <w:ind w:right="1300"/>
              <w:spacing w:after="0"/>
              <w:rPr>
                <w:sz w:val="20"/>
                <w:szCs w:val="20"/>
                <w:color w:val="auto"/>
              </w:rPr>
            </w:pPr>
            <w:r>
              <w:rPr>
                <w:rFonts w:ascii="Times New Roman" w:cs="Times New Roman" w:eastAsia="Times New Roman" w:hAnsi="Times New Roman"/>
                <w:sz w:val="18"/>
                <w:szCs w:val="18"/>
                <w:color w:val="auto"/>
                <w:w w:val="99"/>
              </w:rPr>
              <w:t>BPS Supervisor</w:t>
            </w:r>
          </w:p>
        </w:tc>
        <w:tc>
          <w:tcPr>
            <w:tcW w:w="158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88"/>
              </w:rPr>
              <w:t>45</w:t>
            </w:r>
          </w:p>
        </w:tc>
      </w:tr>
      <w:tr>
        <w:trPr>
          <w:trHeight w:val="243"/>
        </w:trPr>
        <w:tc>
          <w:tcPr>
            <w:tcW w:w="3680" w:type="dxa"/>
            <w:vAlign w:val="bottom"/>
            <w:gridSpan w:val="5"/>
          </w:tcPr>
          <w:p>
            <w:pPr>
              <w:jc w:val="center"/>
              <w:ind w:right="1300"/>
              <w:spacing w:after="0"/>
              <w:rPr>
                <w:sz w:val="20"/>
                <w:szCs w:val="20"/>
                <w:color w:val="auto"/>
              </w:rPr>
            </w:pPr>
            <w:r>
              <w:rPr>
                <w:rFonts w:ascii="Times New Roman" w:cs="Times New Roman" w:eastAsia="Times New Roman" w:hAnsi="Times New Roman"/>
                <w:sz w:val="18"/>
                <w:szCs w:val="18"/>
                <w:color w:val="auto"/>
                <w:w w:val="98"/>
              </w:rPr>
              <w:t>Shipping Specialist</w:t>
            </w:r>
          </w:p>
        </w:tc>
        <w:tc>
          <w:tcPr>
            <w:tcW w:w="158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88"/>
              </w:rPr>
              <w:t>28</w:t>
            </w:r>
          </w:p>
        </w:tc>
      </w:tr>
    </w:tbl>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900" w:type="dxa"/>
            <w:vAlign w:val="bottom"/>
            <w:gridSpan w:val="15"/>
          </w:tcPr>
          <w:p>
            <w:pPr>
              <w:ind w:left="660"/>
              <w:spacing w:after="0"/>
              <w:rPr>
                <w:sz w:val="20"/>
                <w:szCs w:val="20"/>
                <w:color w:val="auto"/>
              </w:rPr>
            </w:pPr>
            <w:r>
              <w:rPr>
                <w:rFonts w:ascii="Times New Roman" w:cs="Times New Roman" w:eastAsia="Times New Roman" w:hAnsi="Times New Roman"/>
                <w:sz w:val="18"/>
                <w:szCs w:val="18"/>
                <w:b w:val="1"/>
                <w:bCs w:val="1"/>
                <w:color w:val="auto"/>
              </w:rPr>
              <w:t>List of U.S. Employees who were Eligible for the June ClearOne Severance Program:</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120" w:type="dxa"/>
            <w:vAlign w:val="bottom"/>
          </w:tcPr>
          <w:p>
            <w:pPr>
              <w:spacing w:after="0"/>
              <w:rPr>
                <w:sz w:val="24"/>
                <w:szCs w:val="24"/>
                <w:color w:val="auto"/>
              </w:rPr>
            </w:pPr>
          </w:p>
        </w:tc>
        <w:tc>
          <w:tcPr>
            <w:tcW w:w="1800" w:type="dxa"/>
            <w:vAlign w:val="bottom"/>
            <w:gridSpan w:val="4"/>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9"/>
              </w:rPr>
              <w:t>Job Title</w:t>
            </w: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gridSpan w:val="4"/>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3400" w:type="dxa"/>
            <w:vAlign w:val="bottom"/>
            <w:gridSpan w:val="3"/>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Job Title</w:t>
            </w:r>
          </w:p>
        </w:tc>
        <w:tc>
          <w:tcPr>
            <w:tcW w:w="13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920" w:type="dxa"/>
            <w:vAlign w:val="bottom"/>
            <w:gridSpan w:val="5"/>
          </w:tcPr>
          <w:p>
            <w:pPr>
              <w:jc w:val="center"/>
              <w:ind w:left="910"/>
              <w:spacing w:after="0"/>
              <w:rPr>
                <w:sz w:val="20"/>
                <w:szCs w:val="20"/>
                <w:color w:val="auto"/>
              </w:rPr>
            </w:pPr>
            <w:r>
              <w:rPr>
                <w:rFonts w:ascii="Times New Roman" w:cs="Times New Roman" w:eastAsia="Times New Roman" w:hAnsi="Times New Roman"/>
                <w:sz w:val="18"/>
                <w:szCs w:val="18"/>
                <w:color w:val="auto"/>
                <w:w w:val="99"/>
              </w:rPr>
              <w:t>Advisory FW Engineer</w:t>
            </w:r>
          </w:p>
        </w:tc>
        <w:tc>
          <w:tcPr>
            <w:tcW w:w="1400" w:type="dxa"/>
            <w:vAlign w:val="bottom"/>
            <w:gridSpan w:val="5"/>
          </w:tcPr>
          <w:p>
            <w:pPr>
              <w:jc w:val="center"/>
              <w:ind w:left="1010"/>
              <w:spacing w:after="0"/>
              <w:rPr>
                <w:sz w:val="20"/>
                <w:szCs w:val="20"/>
                <w:color w:val="auto"/>
              </w:rPr>
            </w:pPr>
            <w:r>
              <w:rPr>
                <w:rFonts w:ascii="Times New Roman" w:cs="Times New Roman" w:eastAsia="Times New Roman" w:hAnsi="Times New Roman"/>
                <w:sz w:val="18"/>
                <w:szCs w:val="18"/>
                <w:color w:val="auto"/>
                <w:w w:val="99"/>
              </w:rPr>
              <w:t>74</w:t>
            </w: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400" w:type="dxa"/>
            <w:vAlign w:val="bottom"/>
            <w:gridSpan w:val="3"/>
          </w:tcPr>
          <w:p>
            <w:pPr>
              <w:jc w:val="center"/>
              <w:ind w:right="350"/>
              <w:spacing w:after="0"/>
              <w:rPr>
                <w:sz w:val="20"/>
                <w:szCs w:val="20"/>
                <w:color w:val="auto"/>
              </w:rPr>
            </w:pPr>
            <w:r>
              <w:rPr>
                <w:rFonts w:ascii="Times New Roman" w:cs="Times New Roman" w:eastAsia="Times New Roman" w:hAnsi="Times New Roman"/>
                <w:sz w:val="18"/>
                <w:szCs w:val="18"/>
                <w:color w:val="auto"/>
                <w:w w:val="98"/>
              </w:rPr>
              <w:t>Sr Operations Specialist</w:t>
            </w:r>
          </w:p>
        </w:tc>
        <w:tc>
          <w:tcPr>
            <w:tcW w:w="92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9"/>
              </w:rPr>
              <w:t>58</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920" w:type="dxa"/>
            <w:vAlign w:val="bottom"/>
            <w:gridSpan w:val="5"/>
          </w:tcPr>
          <w:p>
            <w:pPr>
              <w:jc w:val="center"/>
              <w:ind w:left="930"/>
              <w:spacing w:after="0"/>
              <w:rPr>
                <w:sz w:val="20"/>
                <w:szCs w:val="20"/>
                <w:color w:val="auto"/>
              </w:rPr>
            </w:pPr>
            <w:r>
              <w:rPr>
                <w:rFonts w:ascii="Times New Roman" w:cs="Times New Roman" w:eastAsia="Times New Roman" w:hAnsi="Times New Roman"/>
                <w:sz w:val="18"/>
                <w:szCs w:val="18"/>
                <w:color w:val="auto"/>
                <w:w w:val="99"/>
              </w:rPr>
              <w:t>Quality Assurance Engineer</w:t>
            </w:r>
          </w:p>
        </w:tc>
        <w:tc>
          <w:tcPr>
            <w:tcW w:w="1400" w:type="dxa"/>
            <w:vAlign w:val="bottom"/>
            <w:gridSpan w:val="5"/>
          </w:tcPr>
          <w:p>
            <w:pPr>
              <w:jc w:val="center"/>
              <w:ind w:left="1010"/>
              <w:spacing w:after="0"/>
              <w:rPr>
                <w:sz w:val="20"/>
                <w:szCs w:val="20"/>
                <w:color w:val="auto"/>
              </w:rPr>
            </w:pPr>
            <w:r>
              <w:rPr>
                <w:rFonts w:ascii="Times New Roman" w:cs="Times New Roman" w:eastAsia="Times New Roman" w:hAnsi="Times New Roman"/>
                <w:sz w:val="18"/>
                <w:szCs w:val="18"/>
                <w:color w:val="auto"/>
                <w:w w:val="99"/>
              </w:rPr>
              <w:t>68</w:t>
            </w: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0" w:type="dxa"/>
            <w:vAlign w:val="bottom"/>
            <w:gridSpan w:val="3"/>
          </w:tcPr>
          <w:p>
            <w:pPr>
              <w:jc w:val="center"/>
              <w:ind w:right="290"/>
              <w:spacing w:after="0"/>
              <w:rPr>
                <w:sz w:val="20"/>
                <w:szCs w:val="20"/>
                <w:color w:val="auto"/>
              </w:rPr>
            </w:pPr>
            <w:r>
              <w:rPr>
                <w:rFonts w:ascii="Times New Roman" w:cs="Times New Roman" w:eastAsia="Times New Roman" w:hAnsi="Times New Roman"/>
                <w:sz w:val="18"/>
                <w:szCs w:val="18"/>
                <w:color w:val="auto"/>
                <w:w w:val="99"/>
              </w:rPr>
              <w:t>Sr Director UC/Collaboration</w:t>
            </w:r>
          </w:p>
        </w:tc>
        <w:tc>
          <w:tcPr>
            <w:tcW w:w="92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57</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gridSpan w:val="5"/>
          </w:tcPr>
          <w:p>
            <w:pPr>
              <w:jc w:val="center"/>
              <w:ind w:left="930"/>
              <w:spacing w:after="0"/>
              <w:rPr>
                <w:sz w:val="20"/>
                <w:szCs w:val="20"/>
                <w:color w:val="auto"/>
              </w:rPr>
            </w:pPr>
            <w:r>
              <w:rPr>
                <w:rFonts w:ascii="Times New Roman" w:cs="Times New Roman" w:eastAsia="Times New Roman" w:hAnsi="Times New Roman"/>
                <w:sz w:val="18"/>
                <w:szCs w:val="18"/>
                <w:color w:val="auto"/>
                <w:w w:val="99"/>
              </w:rPr>
              <w:t>Principal DSP Research Engineer</w:t>
            </w:r>
          </w:p>
        </w:tc>
        <w:tc>
          <w:tcPr>
            <w:tcW w:w="1400" w:type="dxa"/>
            <w:vAlign w:val="bottom"/>
            <w:gridSpan w:val="5"/>
          </w:tcPr>
          <w:p>
            <w:pPr>
              <w:jc w:val="center"/>
              <w:ind w:left="1010"/>
              <w:spacing w:after="0"/>
              <w:rPr>
                <w:sz w:val="20"/>
                <w:szCs w:val="20"/>
                <w:color w:val="auto"/>
              </w:rPr>
            </w:pPr>
            <w:r>
              <w:rPr>
                <w:rFonts w:ascii="Times New Roman" w:cs="Times New Roman" w:eastAsia="Times New Roman" w:hAnsi="Times New Roman"/>
                <w:sz w:val="18"/>
                <w:szCs w:val="18"/>
                <w:color w:val="auto"/>
                <w:w w:val="99"/>
              </w:rPr>
              <w:t>67</w:t>
            </w: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0" w:type="dxa"/>
            <w:vAlign w:val="bottom"/>
            <w:gridSpan w:val="3"/>
          </w:tcPr>
          <w:p>
            <w:pPr>
              <w:jc w:val="center"/>
              <w:ind w:right="530"/>
              <w:spacing w:after="0"/>
              <w:rPr>
                <w:sz w:val="20"/>
                <w:szCs w:val="20"/>
                <w:color w:val="auto"/>
              </w:rPr>
            </w:pPr>
            <w:r>
              <w:rPr>
                <w:rFonts w:ascii="Times New Roman" w:cs="Times New Roman" w:eastAsia="Times New Roman" w:hAnsi="Times New Roman"/>
                <w:sz w:val="18"/>
                <w:szCs w:val="18"/>
                <w:color w:val="auto"/>
                <w:w w:val="98"/>
              </w:rPr>
              <w:t>Senior Design Engineer</w:t>
            </w:r>
          </w:p>
        </w:tc>
        <w:tc>
          <w:tcPr>
            <w:tcW w:w="92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56</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gridSpan w:val="5"/>
          </w:tcPr>
          <w:p>
            <w:pPr>
              <w:jc w:val="center"/>
              <w:ind w:left="910"/>
              <w:spacing w:after="0"/>
              <w:rPr>
                <w:sz w:val="20"/>
                <w:szCs w:val="20"/>
                <w:color w:val="auto"/>
              </w:rPr>
            </w:pPr>
            <w:r>
              <w:rPr>
                <w:rFonts w:ascii="Times New Roman" w:cs="Times New Roman" w:eastAsia="Times New Roman" w:hAnsi="Times New Roman"/>
                <w:sz w:val="18"/>
                <w:szCs w:val="18"/>
                <w:color w:val="auto"/>
                <w:w w:val="99"/>
              </w:rPr>
              <w:t>Regional Sales Director</w:t>
            </w:r>
          </w:p>
        </w:tc>
        <w:tc>
          <w:tcPr>
            <w:tcW w:w="1400" w:type="dxa"/>
            <w:vAlign w:val="bottom"/>
            <w:gridSpan w:val="5"/>
          </w:tcPr>
          <w:p>
            <w:pPr>
              <w:jc w:val="center"/>
              <w:ind w:left="1010"/>
              <w:spacing w:after="0"/>
              <w:rPr>
                <w:sz w:val="20"/>
                <w:szCs w:val="20"/>
                <w:color w:val="auto"/>
              </w:rPr>
            </w:pPr>
            <w:r>
              <w:rPr>
                <w:rFonts w:ascii="Times New Roman" w:cs="Times New Roman" w:eastAsia="Times New Roman" w:hAnsi="Times New Roman"/>
                <w:sz w:val="18"/>
                <w:szCs w:val="18"/>
                <w:color w:val="auto"/>
                <w:w w:val="99"/>
              </w:rPr>
              <w:t>66</w:t>
            </w: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0" w:type="dxa"/>
            <w:vAlign w:val="bottom"/>
            <w:gridSpan w:val="3"/>
          </w:tcPr>
          <w:p>
            <w:pPr>
              <w:jc w:val="center"/>
              <w:ind w:right="310"/>
              <w:spacing w:after="0"/>
              <w:rPr>
                <w:sz w:val="20"/>
                <w:szCs w:val="20"/>
                <w:color w:val="auto"/>
              </w:rPr>
            </w:pPr>
            <w:r>
              <w:rPr>
                <w:rFonts w:ascii="Times New Roman" w:cs="Times New Roman" w:eastAsia="Times New Roman" w:hAnsi="Times New Roman"/>
                <w:sz w:val="18"/>
                <w:szCs w:val="18"/>
                <w:color w:val="auto"/>
                <w:w w:val="98"/>
              </w:rPr>
              <w:t>Advisory DSP Engineer</w:t>
            </w:r>
          </w:p>
        </w:tc>
        <w:tc>
          <w:tcPr>
            <w:tcW w:w="92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9"/>
              </w:rPr>
              <w:t>54</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gridSpan w:val="5"/>
          </w:tcPr>
          <w:p>
            <w:pPr>
              <w:jc w:val="center"/>
              <w:ind w:left="910"/>
              <w:spacing w:after="0"/>
              <w:rPr>
                <w:sz w:val="20"/>
                <w:szCs w:val="20"/>
                <w:color w:val="auto"/>
              </w:rPr>
            </w:pPr>
            <w:r>
              <w:rPr>
                <w:rFonts w:ascii="Times New Roman" w:cs="Times New Roman" w:eastAsia="Times New Roman" w:hAnsi="Times New Roman"/>
                <w:sz w:val="18"/>
                <w:szCs w:val="18"/>
                <w:color w:val="auto"/>
                <w:w w:val="98"/>
              </w:rPr>
              <w:t>Vice President APAC</w:t>
            </w:r>
          </w:p>
        </w:tc>
        <w:tc>
          <w:tcPr>
            <w:tcW w:w="1400" w:type="dxa"/>
            <w:vAlign w:val="bottom"/>
            <w:gridSpan w:val="5"/>
          </w:tcPr>
          <w:p>
            <w:pPr>
              <w:jc w:val="center"/>
              <w:ind w:left="1010"/>
              <w:spacing w:after="0"/>
              <w:rPr>
                <w:sz w:val="20"/>
                <w:szCs w:val="20"/>
                <w:color w:val="auto"/>
              </w:rPr>
            </w:pPr>
            <w:r>
              <w:rPr>
                <w:rFonts w:ascii="Times New Roman" w:cs="Times New Roman" w:eastAsia="Times New Roman" w:hAnsi="Times New Roman"/>
                <w:sz w:val="18"/>
                <w:szCs w:val="18"/>
                <w:color w:val="auto"/>
                <w:w w:val="99"/>
              </w:rPr>
              <w:t>66</w:t>
            </w: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0" w:type="dxa"/>
            <w:vAlign w:val="bottom"/>
            <w:gridSpan w:val="3"/>
          </w:tcPr>
          <w:p>
            <w:pPr>
              <w:jc w:val="center"/>
              <w:ind w:right="490"/>
              <w:spacing w:after="0"/>
              <w:rPr>
                <w:sz w:val="20"/>
                <w:szCs w:val="20"/>
                <w:color w:val="auto"/>
              </w:rPr>
            </w:pPr>
            <w:r>
              <w:rPr>
                <w:rFonts w:ascii="Times New Roman" w:cs="Times New Roman" w:eastAsia="Times New Roman" w:hAnsi="Times New Roman"/>
                <w:sz w:val="18"/>
                <w:szCs w:val="18"/>
                <w:color w:val="auto"/>
                <w:w w:val="99"/>
              </w:rPr>
              <w:t>Technical Manager, SW Engineering</w:t>
            </w:r>
          </w:p>
        </w:tc>
        <w:tc>
          <w:tcPr>
            <w:tcW w:w="92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9"/>
              </w:rPr>
              <w:t>54</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gridSpan w:val="5"/>
          </w:tcPr>
          <w:p>
            <w:pPr>
              <w:jc w:val="center"/>
              <w:ind w:left="930"/>
              <w:spacing w:after="0"/>
              <w:rPr>
                <w:sz w:val="20"/>
                <w:szCs w:val="20"/>
                <w:color w:val="auto"/>
              </w:rPr>
            </w:pPr>
            <w:r>
              <w:rPr>
                <w:rFonts w:ascii="Times New Roman" w:cs="Times New Roman" w:eastAsia="Times New Roman" w:hAnsi="Times New Roman"/>
                <w:sz w:val="18"/>
                <w:szCs w:val="18"/>
                <w:color w:val="auto"/>
                <w:w w:val="99"/>
              </w:rPr>
              <w:t>Technical Training Supervisor</w:t>
            </w:r>
          </w:p>
        </w:tc>
        <w:tc>
          <w:tcPr>
            <w:tcW w:w="1400" w:type="dxa"/>
            <w:vAlign w:val="bottom"/>
            <w:gridSpan w:val="5"/>
          </w:tcPr>
          <w:p>
            <w:pPr>
              <w:jc w:val="center"/>
              <w:ind w:left="1010"/>
              <w:spacing w:after="0"/>
              <w:rPr>
                <w:sz w:val="20"/>
                <w:szCs w:val="20"/>
                <w:color w:val="auto"/>
              </w:rPr>
            </w:pPr>
            <w:r>
              <w:rPr>
                <w:rFonts w:ascii="Times New Roman" w:cs="Times New Roman" w:eastAsia="Times New Roman" w:hAnsi="Times New Roman"/>
                <w:sz w:val="18"/>
                <w:szCs w:val="18"/>
                <w:color w:val="auto"/>
                <w:w w:val="99"/>
              </w:rPr>
              <w:t>65</w:t>
            </w: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0" w:type="dxa"/>
            <w:vAlign w:val="bottom"/>
            <w:gridSpan w:val="3"/>
          </w:tcPr>
          <w:p>
            <w:pPr>
              <w:jc w:val="center"/>
              <w:ind w:right="290"/>
              <w:spacing w:after="0"/>
              <w:rPr>
                <w:sz w:val="20"/>
                <w:szCs w:val="20"/>
                <w:color w:val="auto"/>
              </w:rPr>
            </w:pPr>
            <w:r>
              <w:rPr>
                <w:rFonts w:ascii="Times New Roman" w:cs="Times New Roman" w:eastAsia="Times New Roman" w:hAnsi="Times New Roman"/>
                <w:sz w:val="18"/>
                <w:szCs w:val="18"/>
                <w:color w:val="auto"/>
                <w:w w:val="99"/>
              </w:rPr>
              <w:t>Senior QA Engineer</w:t>
            </w:r>
          </w:p>
        </w:tc>
        <w:tc>
          <w:tcPr>
            <w:tcW w:w="92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9"/>
              </w:rPr>
              <w:t>49</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gridSpan w:val="5"/>
          </w:tcPr>
          <w:p>
            <w:pPr>
              <w:jc w:val="center"/>
              <w:ind w:left="910"/>
              <w:spacing w:after="0"/>
              <w:rPr>
                <w:sz w:val="20"/>
                <w:szCs w:val="20"/>
                <w:color w:val="auto"/>
              </w:rPr>
            </w:pPr>
            <w:r>
              <w:rPr>
                <w:rFonts w:ascii="Times New Roman" w:cs="Times New Roman" w:eastAsia="Times New Roman" w:hAnsi="Times New Roman"/>
                <w:sz w:val="18"/>
                <w:szCs w:val="18"/>
                <w:color w:val="auto"/>
                <w:w w:val="99"/>
              </w:rPr>
              <w:t>Supervisor Quality Assurance</w:t>
            </w:r>
          </w:p>
        </w:tc>
        <w:tc>
          <w:tcPr>
            <w:tcW w:w="1400" w:type="dxa"/>
            <w:vAlign w:val="bottom"/>
            <w:gridSpan w:val="5"/>
          </w:tcPr>
          <w:p>
            <w:pPr>
              <w:jc w:val="center"/>
              <w:ind w:left="1010"/>
              <w:spacing w:after="0"/>
              <w:rPr>
                <w:sz w:val="20"/>
                <w:szCs w:val="20"/>
                <w:color w:val="auto"/>
              </w:rPr>
            </w:pPr>
            <w:r>
              <w:rPr>
                <w:rFonts w:ascii="Times New Roman" w:cs="Times New Roman" w:eastAsia="Times New Roman" w:hAnsi="Times New Roman"/>
                <w:sz w:val="18"/>
                <w:szCs w:val="18"/>
                <w:color w:val="auto"/>
                <w:w w:val="99"/>
              </w:rPr>
              <w:t>65</w:t>
            </w: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0" w:type="dxa"/>
            <w:vAlign w:val="bottom"/>
            <w:gridSpan w:val="3"/>
          </w:tcPr>
          <w:p>
            <w:pPr>
              <w:jc w:val="center"/>
              <w:ind w:right="390"/>
              <w:spacing w:after="0"/>
              <w:rPr>
                <w:sz w:val="20"/>
                <w:szCs w:val="20"/>
                <w:color w:val="auto"/>
              </w:rPr>
            </w:pPr>
            <w:r>
              <w:rPr>
                <w:rFonts w:ascii="Times New Roman" w:cs="Times New Roman" w:eastAsia="Times New Roman" w:hAnsi="Times New Roman"/>
                <w:sz w:val="18"/>
                <w:szCs w:val="18"/>
                <w:color w:val="auto"/>
                <w:w w:val="98"/>
              </w:rPr>
              <w:t>SR Technical Manager, Wireless Mic</w:t>
            </w:r>
          </w:p>
        </w:tc>
        <w:tc>
          <w:tcPr>
            <w:tcW w:w="92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48</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gridSpan w:val="5"/>
          </w:tcPr>
          <w:p>
            <w:pPr>
              <w:jc w:val="center"/>
              <w:ind w:left="910"/>
              <w:spacing w:after="0"/>
              <w:rPr>
                <w:sz w:val="20"/>
                <w:szCs w:val="20"/>
                <w:color w:val="auto"/>
              </w:rPr>
            </w:pPr>
            <w:r>
              <w:rPr>
                <w:rFonts w:ascii="Times New Roman" w:cs="Times New Roman" w:eastAsia="Times New Roman" w:hAnsi="Times New Roman"/>
                <w:sz w:val="18"/>
                <w:szCs w:val="18"/>
                <w:color w:val="auto"/>
                <w:w w:val="99"/>
              </w:rPr>
              <w:t>Regional Sales Manager</w:t>
            </w:r>
          </w:p>
        </w:tc>
        <w:tc>
          <w:tcPr>
            <w:tcW w:w="1400" w:type="dxa"/>
            <w:vAlign w:val="bottom"/>
            <w:gridSpan w:val="5"/>
          </w:tcPr>
          <w:p>
            <w:pPr>
              <w:jc w:val="center"/>
              <w:ind w:left="1010"/>
              <w:spacing w:after="0"/>
              <w:rPr>
                <w:sz w:val="20"/>
                <w:szCs w:val="20"/>
                <w:color w:val="auto"/>
              </w:rPr>
            </w:pPr>
            <w:r>
              <w:rPr>
                <w:rFonts w:ascii="Times New Roman" w:cs="Times New Roman" w:eastAsia="Times New Roman" w:hAnsi="Times New Roman"/>
                <w:sz w:val="18"/>
                <w:szCs w:val="18"/>
                <w:color w:val="auto"/>
                <w:w w:val="99"/>
              </w:rPr>
              <w:t>61</w:t>
            </w: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0" w:type="dxa"/>
            <w:vAlign w:val="bottom"/>
            <w:gridSpan w:val="3"/>
          </w:tcPr>
          <w:p>
            <w:pPr>
              <w:jc w:val="center"/>
              <w:ind w:right="390"/>
              <w:spacing w:after="0"/>
              <w:rPr>
                <w:sz w:val="20"/>
                <w:szCs w:val="20"/>
                <w:color w:val="auto"/>
              </w:rPr>
            </w:pPr>
            <w:r>
              <w:rPr>
                <w:rFonts w:ascii="Times New Roman" w:cs="Times New Roman" w:eastAsia="Times New Roman" w:hAnsi="Times New Roman"/>
                <w:sz w:val="18"/>
                <w:szCs w:val="18"/>
                <w:color w:val="auto"/>
                <w:w w:val="98"/>
              </w:rPr>
              <w:t>Engineer</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gridSpan w:val="5"/>
          </w:tcPr>
          <w:p>
            <w:pPr>
              <w:jc w:val="center"/>
              <w:ind w:left="910"/>
              <w:spacing w:after="0"/>
              <w:rPr>
                <w:sz w:val="20"/>
                <w:szCs w:val="20"/>
                <w:color w:val="auto"/>
              </w:rPr>
            </w:pPr>
            <w:r>
              <w:rPr>
                <w:rFonts w:ascii="Times New Roman" w:cs="Times New Roman" w:eastAsia="Times New Roman" w:hAnsi="Times New Roman"/>
                <w:sz w:val="18"/>
                <w:szCs w:val="18"/>
                <w:color w:val="auto"/>
                <w:w w:val="99"/>
              </w:rPr>
              <w:t>RMA Coordinator</w:t>
            </w:r>
          </w:p>
        </w:tc>
        <w:tc>
          <w:tcPr>
            <w:tcW w:w="1400" w:type="dxa"/>
            <w:vAlign w:val="bottom"/>
            <w:gridSpan w:val="5"/>
          </w:tcPr>
          <w:p>
            <w:pPr>
              <w:jc w:val="center"/>
              <w:ind w:left="1010"/>
              <w:spacing w:after="0"/>
              <w:rPr>
                <w:sz w:val="20"/>
                <w:szCs w:val="20"/>
                <w:color w:val="auto"/>
              </w:rPr>
            </w:pPr>
            <w:r>
              <w:rPr>
                <w:rFonts w:ascii="Times New Roman" w:cs="Times New Roman" w:eastAsia="Times New Roman" w:hAnsi="Times New Roman"/>
                <w:sz w:val="18"/>
                <w:szCs w:val="18"/>
                <w:color w:val="auto"/>
                <w:w w:val="99"/>
              </w:rPr>
              <w:t>61</w:t>
            </w: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0" w:type="dxa"/>
            <w:vAlign w:val="bottom"/>
            <w:gridSpan w:val="3"/>
          </w:tcPr>
          <w:p>
            <w:pPr>
              <w:jc w:val="center"/>
              <w:ind w:right="410"/>
              <w:spacing w:after="0"/>
              <w:rPr>
                <w:sz w:val="20"/>
                <w:szCs w:val="20"/>
                <w:color w:val="auto"/>
              </w:rPr>
            </w:pPr>
            <w:r>
              <w:rPr>
                <w:rFonts w:ascii="Times New Roman" w:cs="Times New Roman" w:eastAsia="Times New Roman" w:hAnsi="Times New Roman"/>
                <w:sz w:val="18"/>
                <w:szCs w:val="18"/>
                <w:color w:val="auto"/>
                <w:w w:val="98"/>
              </w:rPr>
              <w:t>Pro AV Systems Engineer</w:t>
            </w:r>
          </w:p>
        </w:tc>
        <w:tc>
          <w:tcPr>
            <w:tcW w:w="92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9"/>
              </w:rPr>
              <w:t>47</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gridSpan w:val="5"/>
          </w:tcPr>
          <w:p>
            <w:pPr>
              <w:jc w:val="center"/>
              <w:ind w:left="910"/>
              <w:spacing w:after="0"/>
              <w:rPr>
                <w:sz w:val="20"/>
                <w:szCs w:val="20"/>
                <w:color w:val="auto"/>
              </w:rPr>
            </w:pPr>
            <w:r>
              <w:rPr>
                <w:rFonts w:ascii="Times New Roman" w:cs="Times New Roman" w:eastAsia="Times New Roman" w:hAnsi="Times New Roman"/>
                <w:sz w:val="18"/>
                <w:szCs w:val="18"/>
                <w:color w:val="auto"/>
                <w:w w:val="99"/>
              </w:rPr>
              <w:t>Principal Advisory HW Engineer</w:t>
            </w:r>
          </w:p>
        </w:tc>
        <w:tc>
          <w:tcPr>
            <w:tcW w:w="1400" w:type="dxa"/>
            <w:vAlign w:val="bottom"/>
            <w:gridSpan w:val="5"/>
          </w:tcPr>
          <w:p>
            <w:pPr>
              <w:jc w:val="center"/>
              <w:ind w:left="1010"/>
              <w:spacing w:after="0"/>
              <w:rPr>
                <w:sz w:val="20"/>
                <w:szCs w:val="20"/>
                <w:color w:val="auto"/>
              </w:rPr>
            </w:pPr>
            <w:r>
              <w:rPr>
                <w:rFonts w:ascii="Times New Roman" w:cs="Times New Roman" w:eastAsia="Times New Roman" w:hAnsi="Times New Roman"/>
                <w:sz w:val="18"/>
                <w:szCs w:val="18"/>
                <w:color w:val="auto"/>
                <w:w w:val="99"/>
              </w:rPr>
              <w:t>59</w:t>
            </w: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0" w:type="dxa"/>
            <w:vAlign w:val="bottom"/>
            <w:gridSpan w:val="3"/>
          </w:tcPr>
          <w:p>
            <w:pPr>
              <w:jc w:val="center"/>
              <w:ind w:right="530"/>
              <w:spacing w:after="0"/>
              <w:rPr>
                <w:sz w:val="20"/>
                <w:szCs w:val="20"/>
                <w:color w:val="auto"/>
              </w:rPr>
            </w:pPr>
            <w:r>
              <w:rPr>
                <w:rFonts w:ascii="Times New Roman" w:cs="Times New Roman" w:eastAsia="Times New Roman" w:hAnsi="Times New Roman"/>
                <w:sz w:val="18"/>
                <w:szCs w:val="18"/>
                <w:color w:val="auto"/>
                <w:w w:val="98"/>
              </w:rPr>
              <w:t>Technical Trainer</w:t>
            </w:r>
          </w:p>
        </w:tc>
        <w:tc>
          <w:tcPr>
            <w:tcW w:w="92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9"/>
              </w:rPr>
              <w:t>47</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gridSpan w:val="5"/>
          </w:tcPr>
          <w:p>
            <w:pPr>
              <w:jc w:val="center"/>
              <w:ind w:left="910"/>
              <w:spacing w:after="0"/>
              <w:rPr>
                <w:sz w:val="20"/>
                <w:szCs w:val="20"/>
                <w:color w:val="auto"/>
              </w:rPr>
            </w:pPr>
            <w:r>
              <w:rPr>
                <w:rFonts w:ascii="Times New Roman" w:cs="Times New Roman" w:eastAsia="Times New Roman" w:hAnsi="Times New Roman"/>
                <w:sz w:val="18"/>
                <w:szCs w:val="18"/>
                <w:color w:val="auto"/>
                <w:w w:val="98"/>
              </w:rPr>
              <w:t>VP Audio Technologies</w:t>
            </w:r>
          </w:p>
        </w:tc>
        <w:tc>
          <w:tcPr>
            <w:tcW w:w="1400" w:type="dxa"/>
            <w:vAlign w:val="bottom"/>
            <w:gridSpan w:val="5"/>
          </w:tcPr>
          <w:p>
            <w:pPr>
              <w:jc w:val="center"/>
              <w:ind w:left="1010"/>
              <w:spacing w:after="0"/>
              <w:rPr>
                <w:sz w:val="20"/>
                <w:szCs w:val="20"/>
                <w:color w:val="auto"/>
              </w:rPr>
            </w:pPr>
            <w:r>
              <w:rPr>
                <w:rFonts w:ascii="Times New Roman" w:cs="Times New Roman" w:eastAsia="Times New Roman" w:hAnsi="Times New Roman"/>
                <w:sz w:val="18"/>
                <w:szCs w:val="18"/>
                <w:color w:val="auto"/>
                <w:w w:val="99"/>
              </w:rPr>
              <w:t>58</w:t>
            </w: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0" w:type="dxa"/>
            <w:vAlign w:val="bottom"/>
            <w:gridSpan w:val="3"/>
          </w:tcPr>
          <w:p>
            <w:pPr>
              <w:jc w:val="center"/>
              <w:ind w:right="350"/>
              <w:spacing w:after="0"/>
              <w:rPr>
                <w:sz w:val="20"/>
                <w:szCs w:val="20"/>
                <w:color w:val="auto"/>
              </w:rPr>
            </w:pPr>
            <w:r>
              <w:rPr>
                <w:rFonts w:ascii="Times New Roman" w:cs="Times New Roman" w:eastAsia="Times New Roman" w:hAnsi="Times New Roman"/>
                <w:sz w:val="18"/>
                <w:szCs w:val="18"/>
                <w:color w:val="auto"/>
                <w:w w:val="99"/>
              </w:rPr>
              <w:t>Manager of QAE &amp; Tech Support</w:t>
            </w:r>
          </w:p>
        </w:tc>
        <w:tc>
          <w:tcPr>
            <w:tcW w:w="92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9"/>
              </w:rPr>
              <w:t>44</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20" w:type="dxa"/>
            <w:vAlign w:val="bottom"/>
            <w:gridSpan w:val="5"/>
          </w:tcPr>
          <w:p>
            <w:pPr>
              <w:jc w:val="center"/>
              <w:ind w:left="910"/>
              <w:spacing w:after="0"/>
              <w:rPr>
                <w:sz w:val="20"/>
                <w:szCs w:val="20"/>
                <w:color w:val="auto"/>
              </w:rPr>
            </w:pPr>
            <w:r>
              <w:rPr>
                <w:rFonts w:ascii="Times New Roman" w:cs="Times New Roman" w:eastAsia="Times New Roman" w:hAnsi="Times New Roman"/>
                <w:sz w:val="18"/>
                <w:szCs w:val="18"/>
                <w:color w:val="auto"/>
                <w:w w:val="99"/>
              </w:rPr>
              <w:t>Advisory SW Engineer</w:t>
            </w:r>
          </w:p>
        </w:tc>
        <w:tc>
          <w:tcPr>
            <w:tcW w:w="1400" w:type="dxa"/>
            <w:vAlign w:val="bottom"/>
            <w:gridSpan w:val="5"/>
          </w:tcPr>
          <w:p>
            <w:pPr>
              <w:jc w:val="center"/>
              <w:ind w:left="1010"/>
              <w:spacing w:after="0"/>
              <w:rPr>
                <w:sz w:val="20"/>
                <w:szCs w:val="20"/>
                <w:color w:val="auto"/>
              </w:rPr>
            </w:pPr>
            <w:r>
              <w:rPr>
                <w:rFonts w:ascii="Times New Roman" w:cs="Times New Roman" w:eastAsia="Times New Roman" w:hAnsi="Times New Roman"/>
                <w:sz w:val="18"/>
                <w:szCs w:val="18"/>
                <w:color w:val="auto"/>
                <w:w w:val="99"/>
              </w:rPr>
              <w:t>58</w:t>
            </w: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0" w:type="dxa"/>
            <w:vAlign w:val="bottom"/>
            <w:gridSpan w:val="3"/>
          </w:tcPr>
          <w:p>
            <w:pPr>
              <w:jc w:val="center"/>
              <w:ind w:right="490"/>
              <w:spacing w:after="0"/>
              <w:rPr>
                <w:sz w:val="20"/>
                <w:szCs w:val="20"/>
                <w:color w:val="auto"/>
              </w:rPr>
            </w:pPr>
            <w:r>
              <w:rPr>
                <w:rFonts w:ascii="Times New Roman" w:cs="Times New Roman" w:eastAsia="Times New Roman" w:hAnsi="Times New Roman"/>
                <w:sz w:val="18"/>
                <w:szCs w:val="18"/>
                <w:color w:val="auto"/>
                <w:w w:val="99"/>
              </w:rPr>
              <w:t>Inside Sales Representative</w:t>
            </w:r>
          </w:p>
        </w:tc>
        <w:tc>
          <w:tcPr>
            <w:tcW w:w="92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9"/>
              </w:rPr>
              <w:t>33</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500" w:type="dxa"/>
            <w:vAlign w:val="bottom"/>
            <w:gridSpan w:val="12"/>
          </w:tcPr>
          <w:p>
            <w:pPr>
              <w:ind w:left="660"/>
              <w:spacing w:after="0"/>
              <w:rPr>
                <w:sz w:val="20"/>
                <w:szCs w:val="20"/>
                <w:color w:val="auto"/>
              </w:rPr>
            </w:pPr>
            <w:r>
              <w:rPr>
                <w:rFonts w:ascii="Times New Roman" w:cs="Times New Roman" w:eastAsia="Times New Roman" w:hAnsi="Times New Roman"/>
                <w:sz w:val="18"/>
                <w:szCs w:val="18"/>
                <w:b w:val="1"/>
                <w:bCs w:val="1"/>
                <w:color w:val="auto"/>
              </w:rPr>
              <w:t>List of U.S. Employees NOT Eligible for the ClearOne Severance Program:</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40" w:type="dxa"/>
            <w:vAlign w:val="bottom"/>
            <w:gridSpan w:val="6"/>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9"/>
              </w:rPr>
              <w:t>Job Title</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Age</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0" w:type="dxa"/>
            <w:vAlign w:val="bottom"/>
            <w:gridSpan w:val="3"/>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47</w:t>
            </w: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580" w:type="dxa"/>
            <w:vAlign w:val="bottom"/>
            <w:gridSpan w:val="7"/>
          </w:tcPr>
          <w:p>
            <w:pPr>
              <w:jc w:val="center"/>
              <w:ind w:right="4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3400" w:type="dxa"/>
            <w:vAlign w:val="bottom"/>
            <w:gridSpan w:val="3"/>
            <w:vMerge w:val="continue"/>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2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80" w:type="dxa"/>
            <w:vAlign w:val="bottom"/>
            <w:gridSpan w:val="7"/>
          </w:tcPr>
          <w:p>
            <w:pPr>
              <w:jc w:val="right"/>
              <w:ind w:right="840"/>
              <w:spacing w:after="0"/>
              <w:rPr>
                <w:sz w:val="20"/>
                <w:szCs w:val="20"/>
                <w:color w:val="auto"/>
              </w:rPr>
            </w:pPr>
            <w:r>
              <w:rPr>
                <w:rFonts w:ascii="Times New Roman" w:cs="Times New Roman" w:eastAsia="Times New Roman" w:hAnsi="Times New Roman"/>
                <w:sz w:val="18"/>
                <w:szCs w:val="18"/>
                <w:color w:val="auto"/>
              </w:rPr>
              <w:t>5</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18,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Derek L. Graham Magna, UT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Derek,</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After discussions with you and a review of your skills, knowledge and experience, the associates of ClearOne Inc. (“CLRO”) believe you would be an excellent addition to our team. We are pleased to extend to you an offer of employment as Chief Executive Officer.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Listed below is an outline of our offer and benefits.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Start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Friday, January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 or to be determined by mutual agreement.</w:t>
      </w:r>
    </w:p>
    <w:p>
      <w:pPr>
        <w:spacing w:after="0" w:line="154" w:lineRule="exact"/>
        <w:rPr>
          <w:sz w:val="20"/>
          <w:szCs w:val="20"/>
          <w:color w:val="auto"/>
        </w:rPr>
      </w:pPr>
    </w:p>
    <w:p>
      <w:pPr>
        <w:ind w:right="700"/>
        <w:spacing w:after="0" w:line="252" w:lineRule="auto"/>
        <w:rPr>
          <w:sz w:val="20"/>
          <w:szCs w:val="20"/>
          <w:color w:val="auto"/>
        </w:rPr>
      </w:pPr>
      <w:r>
        <w:rPr>
          <w:rFonts w:ascii="Times New Roman" w:cs="Times New Roman" w:eastAsia="Times New Roman" w:hAnsi="Times New Roman"/>
          <w:sz w:val="18"/>
          <w:szCs w:val="18"/>
          <w:b w:val="1"/>
          <w:bCs w:val="1"/>
          <w:u w:val="single" w:color="auto"/>
          <w:color w:val="auto"/>
        </w:rPr>
        <w:t>End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Saturday, February 28</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 with a potential extension to Tuesday, March 31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 if required by CLRO. Prior notice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potential extension is to be provided at least two weeks prior to March 31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Fixed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is for a fixed term and may be terminated early only for cause or for good reason as defined below:</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Cause </w:t>
      </w:r>
      <w:r>
        <w:rPr>
          <w:rFonts w:ascii="Times New Roman" w:cs="Times New Roman" w:eastAsia="Times New Roman" w:hAnsi="Times New Roman"/>
          <w:sz w:val="18"/>
          <w:szCs w:val="18"/>
          <w:color w:val="auto"/>
        </w:rPr>
        <w:t>(the Company may terminate):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-78105</wp:posOffset>
            </wp:positionV>
            <wp:extent cx="5969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8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Serious misconduct or gross negligence by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-71755</wp:posOffset>
            </wp:positionV>
            <wp:extent cx="5969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Material breach of this agreement not cured after written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-74930</wp:posOffset>
            </wp:positionV>
            <wp:extent cx="5969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Conviction of a felony or crime involving dishonesty.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-83185</wp:posOffset>
            </wp:positionV>
            <wp:extent cx="5969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Good Reason </w:t>
      </w:r>
      <w:r>
        <w:rPr>
          <w:rFonts w:ascii="Times New Roman" w:cs="Times New Roman" w:eastAsia="Times New Roman" w:hAnsi="Times New Roman"/>
          <w:sz w:val="18"/>
          <w:szCs w:val="18"/>
          <w:color w:val="auto"/>
        </w:rPr>
        <w:t>(employee may resign):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-78105</wp:posOffset>
            </wp:positionV>
            <wp:extent cx="5969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8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Material breach by the Company not cured after written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-71755</wp:posOffset>
            </wp:positionV>
            <wp:extent cx="59690"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Significant reduction in employee’s duties, pay, or benefits without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-74930</wp:posOffset>
            </wp:positionV>
            <wp:extent cx="59690"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8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monthly base salary for this exempt position is $12,500, paid bi-weekly. All compensation is subject to adjustment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discretion of the Compensation Committee of C LRO’ Board of Directors.</w:t>
      </w:r>
    </w:p>
    <w:p>
      <w:pPr>
        <w:spacing w:after="0" w:line="15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Retention Bonus: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retention bonus of $15,000.00 will be paid if your employment is not terminated prior to the conclusion of the Fixed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described in this Agreement.</w:t>
      </w:r>
    </w:p>
    <w:p>
      <w:pPr>
        <w:spacing w:after="0" w:line="18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15" w:name="page16"/>
    <w:bookmarkEnd w:id="15"/>
    <w:p>
      <w:pPr>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Personal Time Off: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Since this is a part-time position, you will not accrue PTO. However, CLRO provides 8 paid holidays, and 2 floating holidays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 calendar year.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Company Benefits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are not eligible for a benefits package.</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To accept this offer, please sign and email eric.robinson@clearone.com by close of business 31, December, 2025. If you have any questions or need additional information, please do not hesitate to contact.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 Eric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27305</wp:posOffset>
            </wp:positionV>
            <wp:extent cx="17145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Robinson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Board of Directors</w:t>
      </w:r>
    </w:p>
    <w:p>
      <w:pPr>
        <w:sectPr>
          <w:pgSz w:w="11900" w:h="16838" w:orient="portrait"/>
          <w:cols w:equalWidth="0" w:num="1">
            <w:col w:w="10560"/>
          </w:cols>
          <w:pgMar w:left="980" w:top="549" w:right="359" w:bottom="144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/s/ Derek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34290</wp:posOffset>
            </wp:positionV>
            <wp:extent cx="17145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23/12//2025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33020</wp:posOffset>
            </wp:positionV>
            <wp:extent cx="13716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88" w:lineRule="exact"/>
        <w:rPr>
          <w:sz w:val="20"/>
          <w:szCs w:val="20"/>
          <w:color w:val="auto"/>
        </w:rPr>
      </w:pPr>
    </w:p>
    <w:p>
      <w:pPr>
        <w:sectPr>
          <w:pgSz w:w="11900" w:h="16838" w:orient="portrait"/>
          <w:cols w:equalWidth="0" w:num="2">
            <w:col w:w="2280" w:space="720"/>
            <w:col w:w="7560"/>
          </w:cols>
          <w:pgMar w:left="980" w:top="549" w:right="35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Signed and Accepted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2">
            <w:col w:w="2280" w:space="720"/>
            <w:col w:w="7560"/>
          </w:cols>
          <w:pgMar w:left="980" w:top="549" w:right="359" w:bottom="1440" w:gutter="0" w:footer="0" w:header="0"/>
          <w:type w:val="continuous"/>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9" w:lineRule="exact"/>
        <w:rPr>
          <w:sz w:val="20"/>
          <w:szCs w:val="20"/>
          <w:color w:val="auto"/>
        </w:rPr>
      </w:pPr>
    </w:p>
    <w:p>
      <w:pPr>
        <w:ind w:left="4264"/>
        <w:spacing w:after="0"/>
        <w:rPr>
          <w:sz w:val="20"/>
          <w:szCs w:val="20"/>
          <w:color w:val="auto"/>
        </w:rPr>
      </w:pPr>
      <w:r>
        <w:rPr>
          <w:rFonts w:ascii="Times New Roman" w:cs="Times New Roman" w:eastAsia="Times New Roman" w:hAnsi="Times New Roman"/>
          <w:sz w:val="18"/>
          <w:szCs w:val="18"/>
          <w:color w:val="auto"/>
        </w:rPr>
        <w:t>December 18, 2025</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Simon Brewer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83 N. Swift Creek Drive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Layton, Utah 84041</w:t>
      </w:r>
    </w:p>
    <w:p>
      <w:pPr>
        <w:spacing w:after="0" w:line="166" w:lineRule="exact"/>
        <w:rPr>
          <w:sz w:val="20"/>
          <w:szCs w:val="20"/>
          <w:color w:val="auto"/>
        </w:rPr>
      </w:pPr>
    </w:p>
    <w:p>
      <w:pPr>
        <w:ind w:left="424"/>
        <w:spacing w:after="0"/>
        <w:tabs>
          <w:tab w:leader="none" w:pos="1364"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Employment Offer</w:t>
      </w:r>
    </w:p>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Simon,</w:t>
      </w:r>
    </w:p>
    <w:p>
      <w:pPr>
        <w:spacing w:after="0" w:line="1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We are pleased to offer you the position of Chief Financial Officer with ClearOne, Inc. (“CLRO”) on the following terms:</w:t>
      </w:r>
    </w:p>
    <w:p>
      <w:pPr>
        <w:spacing w:after="0" w:line="181" w:lineRule="exact"/>
        <w:rPr>
          <w:sz w:val="20"/>
          <w:szCs w:val="20"/>
          <w:color w:val="auto"/>
        </w:rPr>
      </w:pPr>
    </w:p>
    <w:p>
      <w:pPr>
        <w:ind w:left="184" w:hanging="184"/>
        <w:spacing w:after="0"/>
        <w:tabs>
          <w:tab w:leader="none" w:pos="18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Start Date</w:t>
      </w:r>
      <w:r>
        <w:rPr>
          <w:rFonts w:ascii="Times New Roman" w:cs="Times New Roman" w:eastAsia="Times New Roman" w:hAnsi="Times New Roman"/>
          <w:sz w:val="18"/>
          <w:szCs w:val="18"/>
          <w:color w:val="auto"/>
        </w:rPr>
        <w:t>. Your employment will commence on January 1, 2026.</w:t>
      </w:r>
    </w:p>
    <w:p>
      <w:pPr>
        <w:spacing w:after="0" w:line="184" w:lineRule="exact"/>
        <w:rPr>
          <w:rFonts w:ascii="Times New Roman" w:cs="Times New Roman" w:eastAsia="Times New Roman" w:hAnsi="Times New Roman"/>
          <w:sz w:val="18"/>
          <w:szCs w:val="18"/>
          <w:color w:val="auto"/>
        </w:rPr>
      </w:pPr>
    </w:p>
    <w:p>
      <w:pPr>
        <w:ind w:left="4" w:right="780" w:hanging="4"/>
        <w:spacing w:after="0" w:line="286" w:lineRule="auto"/>
        <w:tabs>
          <w:tab w:leader="none" w:pos="18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 of Employment. </w:t>
      </w:r>
      <w:r>
        <w:rPr>
          <w:rFonts w:ascii="Times New Roman" w:cs="Times New Roman" w:eastAsia="Times New Roman" w:hAnsi="Times New Roman"/>
          <w:sz w:val="18"/>
          <w:szCs w:val="18"/>
          <w:color w:val="auto"/>
        </w:rPr>
        <w:t>Your employment will continue until the consummation of a Strategic Transaction (as defined below), unless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terminated earlier for Cause or Good Reason as outlined in Section 6.</w:t>
      </w:r>
    </w:p>
    <w:p>
      <w:pPr>
        <w:spacing w:after="0" w:line="127" w:lineRule="exact"/>
        <w:rPr>
          <w:rFonts w:ascii="Times New Roman" w:cs="Times New Roman" w:eastAsia="Times New Roman" w:hAnsi="Times New Roman"/>
          <w:sz w:val="18"/>
          <w:szCs w:val="18"/>
          <w:color w:val="auto"/>
        </w:rPr>
      </w:pPr>
    </w:p>
    <w:p>
      <w:pPr>
        <w:ind w:left="4" w:right="360" w:hanging="4"/>
        <w:spacing w:after="0" w:line="286" w:lineRule="auto"/>
        <w:tabs>
          <w:tab w:leader="none" w:pos="18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Compensation. </w:t>
      </w:r>
      <w:r>
        <w:rPr>
          <w:rFonts w:ascii="Times New Roman" w:cs="Times New Roman" w:eastAsia="Times New Roman" w:hAnsi="Times New Roman"/>
          <w:sz w:val="18"/>
          <w:szCs w:val="18"/>
          <w:color w:val="auto"/>
        </w:rPr>
        <w:t>Your annual base salary will be $300,000.00 (three hundred thousand dollars), payable on a bi-weekly basis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CLRO’s standard payroll schedule. This position is classified as exempt.</w:t>
      </w:r>
    </w:p>
    <w:p>
      <w:pPr>
        <w:spacing w:after="0" w:line="114" w:lineRule="exact"/>
        <w:rPr>
          <w:rFonts w:ascii="Times New Roman" w:cs="Times New Roman" w:eastAsia="Times New Roman" w:hAnsi="Times New Roman"/>
          <w:sz w:val="18"/>
          <w:szCs w:val="18"/>
          <w:color w:val="auto"/>
        </w:rPr>
      </w:pPr>
    </w:p>
    <w:p>
      <w:pPr>
        <w:ind w:left="4" w:right="240" w:hanging="4"/>
        <w:spacing w:after="0" w:line="286" w:lineRule="auto"/>
        <w:tabs>
          <w:tab w:leader="none" w:pos="18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Signing Bonus</w:t>
      </w:r>
      <w:r>
        <w:rPr>
          <w:rFonts w:ascii="Times New Roman" w:cs="Times New Roman" w:eastAsia="Times New Roman" w:hAnsi="Times New Roman"/>
          <w:sz w:val="18"/>
          <w:szCs w:val="18"/>
          <w:color w:val="auto"/>
        </w:rPr>
        <w:t>. You will receive a signing bonus of $75,000.00 (seventy-five thousand dollars), payable with your first paycheck in January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w:t>
      </w:r>
    </w:p>
    <w:p>
      <w:pPr>
        <w:spacing w:after="0" w:line="114"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Retention Bonus</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ind w:left="544" w:right="160" w:hanging="323"/>
        <w:spacing w:after="0" w:line="266" w:lineRule="auto"/>
        <w:rPr>
          <w:sz w:val="20"/>
          <w:szCs w:val="20"/>
          <w:color w:val="auto"/>
        </w:rPr>
      </w:pPr>
      <w:r>
        <w:rPr>
          <w:rFonts w:ascii="Times New Roman" w:cs="Times New Roman" w:eastAsia="Times New Roman" w:hAnsi="Times New Roman"/>
          <w:sz w:val="18"/>
          <w:szCs w:val="18"/>
          <w:color w:val="auto"/>
        </w:rPr>
        <w:t>5.1. Provided that you have been continuously employed by CLRO in good standing at the time CLRO enters into a binding agreement for a Strategic Transaction, you will receive a retention bonus equal to 20% of your annual base salary, which will be paid within ten (10) days after the date of execution of such binding agreement.</w:t>
      </w:r>
    </w:p>
    <w:p>
      <w:pPr>
        <w:spacing w:after="0" w:line="131" w:lineRule="exact"/>
        <w:rPr>
          <w:sz w:val="20"/>
          <w:szCs w:val="20"/>
          <w:color w:val="auto"/>
        </w:rPr>
      </w:pPr>
    </w:p>
    <w:p>
      <w:pPr>
        <w:ind w:left="544" w:right="100" w:hanging="323"/>
        <w:spacing w:after="0" w:line="28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color w:val="auto"/>
        </w:rPr>
        <w:t>Strategic Transaction Definition.</w:t>
      </w:r>
      <w:r>
        <w:rPr>
          <w:rFonts w:ascii="Times New Roman" w:cs="Times New Roman" w:eastAsia="Times New Roman" w:hAnsi="Times New Roman"/>
          <w:sz w:val="18"/>
          <w:szCs w:val="18"/>
          <w:color w:val="auto"/>
        </w:rPr>
        <w:t xml:space="preserve"> For purposes of this offer of employment, a “Strategic Transaction” means any transaction or series of related transactions involving:</w:t>
      </w:r>
    </w:p>
    <w:p>
      <w:pPr>
        <w:spacing w:after="0" w:line="118" w:lineRule="exact"/>
        <w:rPr>
          <w:sz w:val="20"/>
          <w:szCs w:val="20"/>
          <w:color w:val="auto"/>
        </w:rPr>
      </w:pPr>
    </w:p>
    <w:p>
      <w:pPr>
        <w:ind w:left="544"/>
        <w:spacing w:after="0"/>
        <w:tabs>
          <w:tab w:leader="none" w:pos="1104" w:val="left"/>
        </w:tabs>
        <w:rPr>
          <w:sz w:val="20"/>
          <w:szCs w:val="20"/>
          <w:color w:val="auto"/>
        </w:rPr>
      </w:pPr>
      <w:r>
        <w:rPr>
          <w:rFonts w:ascii="Times New Roman" w:cs="Times New Roman" w:eastAsia="Times New Roman" w:hAnsi="Times New Roman"/>
          <w:sz w:val="18"/>
          <w:szCs w:val="18"/>
          <w:color w:val="auto"/>
        </w:rPr>
        <w:t>5.2.1.</w:t>
      </w:r>
      <w:r>
        <w:rPr>
          <w:sz w:val="20"/>
          <w:szCs w:val="20"/>
          <w:color w:val="auto"/>
        </w:rPr>
        <w:tab/>
      </w:r>
      <w:r>
        <w:rPr>
          <w:rFonts w:ascii="Times New Roman" w:cs="Times New Roman" w:eastAsia="Times New Roman" w:hAnsi="Times New Roman"/>
          <w:sz w:val="17"/>
          <w:szCs w:val="17"/>
          <w:color w:val="auto"/>
        </w:rPr>
        <w:t>the sale, transfer, or disposition of all or substantially all of CLRO’s assets;</w:t>
      </w:r>
    </w:p>
    <w:p>
      <w:pPr>
        <w:spacing w:after="0" w:line="198" w:lineRule="exact"/>
        <w:rPr>
          <w:sz w:val="20"/>
          <w:szCs w:val="20"/>
          <w:color w:val="auto"/>
        </w:rPr>
      </w:pPr>
    </w:p>
    <w:p>
      <w:pPr>
        <w:ind w:left="544"/>
        <w:spacing w:after="0"/>
        <w:tabs>
          <w:tab w:leader="none" w:pos="1104" w:val="left"/>
        </w:tabs>
        <w:rPr>
          <w:sz w:val="20"/>
          <w:szCs w:val="20"/>
          <w:color w:val="auto"/>
        </w:rPr>
      </w:pPr>
      <w:r>
        <w:rPr>
          <w:rFonts w:ascii="Times New Roman" w:cs="Times New Roman" w:eastAsia="Times New Roman" w:hAnsi="Times New Roman"/>
          <w:sz w:val="18"/>
          <w:szCs w:val="18"/>
          <w:color w:val="auto"/>
        </w:rPr>
        <w:t>5.2.2.</w:t>
      </w:r>
      <w:r>
        <w:rPr>
          <w:sz w:val="20"/>
          <w:szCs w:val="20"/>
          <w:color w:val="auto"/>
        </w:rPr>
        <w:tab/>
      </w:r>
      <w:r>
        <w:rPr>
          <w:rFonts w:ascii="Times New Roman" w:cs="Times New Roman" w:eastAsia="Times New Roman" w:hAnsi="Times New Roman"/>
          <w:sz w:val="17"/>
          <w:szCs w:val="17"/>
          <w:color w:val="auto"/>
        </w:rPr>
        <w:t>a merger, consolidation, or other business combination of CLRO with another entity;</w:t>
      </w:r>
    </w:p>
    <w:p>
      <w:pPr>
        <w:spacing w:after="0" w:line="29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117" w:right="339" w:bottom="1440" w:gutter="0" w:footer="0" w:header="0"/>
        </w:sectPr>
      </w:pPr>
    </w:p>
    <w:bookmarkStart w:id="17" w:name="page18"/>
    <w:bookmarkEnd w:id="17"/>
    <w:p>
      <w:pPr>
        <w:ind w:left="544"/>
        <w:spacing w:after="0"/>
        <w:tabs>
          <w:tab w:leader="none" w:pos="1104" w:val="left"/>
        </w:tabs>
        <w:rPr>
          <w:sz w:val="20"/>
          <w:szCs w:val="20"/>
          <w:color w:val="auto"/>
        </w:rPr>
      </w:pPr>
      <w:r>
        <w:rPr>
          <w:rFonts w:ascii="Times New Roman" w:cs="Times New Roman" w:eastAsia="Times New Roman" w:hAnsi="Times New Roman"/>
          <w:sz w:val="18"/>
          <w:szCs w:val="18"/>
          <w:color w:val="auto"/>
        </w:rPr>
        <w:t>5.2.3.</w:t>
      </w:r>
      <w:r>
        <w:rPr>
          <w:sz w:val="20"/>
          <w:szCs w:val="20"/>
          <w:color w:val="auto"/>
        </w:rPr>
        <w:tab/>
      </w:r>
      <w:r>
        <w:rPr>
          <w:rFonts w:ascii="Times New Roman" w:cs="Times New Roman" w:eastAsia="Times New Roman" w:hAnsi="Times New Roman"/>
          <w:sz w:val="17"/>
          <w:szCs w:val="17"/>
          <w:color w:val="auto"/>
        </w:rPr>
        <w:t>the sale or transfer of a majority of CLRO’s outstanding equity securities; or</w:t>
      </w:r>
    </w:p>
    <w:p>
      <w:pPr>
        <w:spacing w:after="0" w:line="198" w:lineRule="exact"/>
        <w:rPr>
          <w:sz w:val="20"/>
          <w:szCs w:val="20"/>
          <w:color w:val="auto"/>
        </w:rPr>
      </w:pPr>
    </w:p>
    <w:p>
      <w:pPr>
        <w:ind w:left="544"/>
        <w:spacing w:after="0"/>
        <w:tabs>
          <w:tab w:leader="none" w:pos="1104" w:val="left"/>
        </w:tabs>
        <w:rPr>
          <w:sz w:val="20"/>
          <w:szCs w:val="20"/>
          <w:color w:val="auto"/>
        </w:rPr>
      </w:pPr>
      <w:r>
        <w:rPr>
          <w:rFonts w:ascii="Times New Roman" w:cs="Times New Roman" w:eastAsia="Times New Roman" w:hAnsi="Times New Roman"/>
          <w:sz w:val="18"/>
          <w:szCs w:val="18"/>
          <w:color w:val="auto"/>
        </w:rPr>
        <w:t>5.2.4.</w:t>
      </w:r>
      <w:r>
        <w:rPr>
          <w:sz w:val="20"/>
          <w:szCs w:val="20"/>
          <w:color w:val="auto"/>
        </w:rPr>
        <w:tab/>
      </w:r>
      <w:r>
        <w:rPr>
          <w:rFonts w:ascii="Times New Roman" w:cs="Times New Roman" w:eastAsia="Times New Roman" w:hAnsi="Times New Roman"/>
          <w:sz w:val="17"/>
          <w:szCs w:val="17"/>
          <w:color w:val="auto"/>
        </w:rPr>
        <w:t>any other transaction resulting in a change of control of CLRO.</w:t>
      </w:r>
    </w:p>
    <w:p>
      <w:pPr>
        <w:spacing w:after="0" w:line="181" w:lineRule="exact"/>
        <w:rPr>
          <w:sz w:val="20"/>
          <w:szCs w:val="20"/>
          <w:color w:val="auto"/>
        </w:rPr>
      </w:pPr>
    </w:p>
    <w:p>
      <w:pPr>
        <w:ind w:left="4" w:hanging="4"/>
        <w:spacing w:after="0" w:line="286" w:lineRule="auto"/>
        <w:tabs>
          <w:tab w:leader="none" w:pos="18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Your employment will terminate upon the closing of a Strategic Transaction and may be terminated early only for Cause or Good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 (as defined below):</w:t>
      </w:r>
    </w:p>
    <w:p>
      <w:pPr>
        <w:spacing w:after="0" w:line="114"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xml:space="preserve"> (CLRO may terminate):</w:t>
      </w:r>
    </w:p>
    <w:p>
      <w:pPr>
        <w:spacing w:after="0" w:line="202" w:lineRule="exact"/>
        <w:rPr>
          <w:sz w:val="20"/>
          <w:szCs w:val="20"/>
          <w:color w:val="auto"/>
        </w:rPr>
      </w:pPr>
    </w:p>
    <w:p>
      <w:pPr>
        <w:ind w:left="544"/>
        <w:spacing w:after="0"/>
        <w:tabs>
          <w:tab w:leader="none" w:pos="1104" w:val="left"/>
        </w:tabs>
        <w:rPr>
          <w:sz w:val="20"/>
          <w:szCs w:val="20"/>
          <w:color w:val="auto"/>
        </w:rPr>
      </w:pPr>
      <w:r>
        <w:rPr>
          <w:rFonts w:ascii="Times New Roman" w:cs="Times New Roman" w:eastAsia="Times New Roman" w:hAnsi="Times New Roman"/>
          <w:sz w:val="18"/>
          <w:szCs w:val="18"/>
          <w:color w:val="auto"/>
        </w:rPr>
        <w:t>6.1.1.</w:t>
      </w:r>
      <w:r>
        <w:rPr>
          <w:sz w:val="20"/>
          <w:szCs w:val="20"/>
          <w:color w:val="auto"/>
        </w:rPr>
        <w:tab/>
      </w:r>
      <w:r>
        <w:rPr>
          <w:rFonts w:ascii="Times New Roman" w:cs="Times New Roman" w:eastAsia="Times New Roman" w:hAnsi="Times New Roman"/>
          <w:sz w:val="17"/>
          <w:szCs w:val="17"/>
          <w:color w:val="auto"/>
        </w:rPr>
        <w:t>Serious misconduct or gross negligence;</w:t>
      </w:r>
    </w:p>
    <w:p>
      <w:pPr>
        <w:spacing w:after="0" w:line="185" w:lineRule="exact"/>
        <w:rPr>
          <w:sz w:val="20"/>
          <w:szCs w:val="20"/>
          <w:color w:val="auto"/>
        </w:rPr>
      </w:pPr>
    </w:p>
    <w:p>
      <w:pPr>
        <w:ind w:left="544"/>
        <w:spacing w:after="0"/>
        <w:tabs>
          <w:tab w:leader="none" w:pos="1104" w:val="left"/>
        </w:tabs>
        <w:rPr>
          <w:sz w:val="20"/>
          <w:szCs w:val="20"/>
          <w:color w:val="auto"/>
        </w:rPr>
      </w:pPr>
      <w:r>
        <w:rPr>
          <w:rFonts w:ascii="Times New Roman" w:cs="Times New Roman" w:eastAsia="Times New Roman" w:hAnsi="Times New Roman"/>
          <w:sz w:val="18"/>
          <w:szCs w:val="18"/>
          <w:color w:val="auto"/>
        </w:rPr>
        <w:t>6.1.2.</w:t>
        <w:tab/>
        <w:t>Material breach of this agreement not cured after written notice;</w:t>
      </w:r>
    </w:p>
    <w:p>
      <w:pPr>
        <w:spacing w:after="0" w:line="185" w:lineRule="exact"/>
        <w:rPr>
          <w:sz w:val="20"/>
          <w:szCs w:val="20"/>
          <w:color w:val="auto"/>
        </w:rPr>
      </w:pPr>
    </w:p>
    <w:p>
      <w:pPr>
        <w:ind w:left="544"/>
        <w:spacing w:after="0"/>
        <w:tabs>
          <w:tab w:leader="none" w:pos="1104" w:val="left"/>
        </w:tabs>
        <w:rPr>
          <w:sz w:val="20"/>
          <w:szCs w:val="20"/>
          <w:color w:val="auto"/>
        </w:rPr>
      </w:pPr>
      <w:r>
        <w:rPr>
          <w:rFonts w:ascii="Times New Roman" w:cs="Times New Roman" w:eastAsia="Times New Roman" w:hAnsi="Times New Roman"/>
          <w:sz w:val="18"/>
          <w:szCs w:val="18"/>
          <w:color w:val="auto"/>
        </w:rPr>
        <w:t>6.1.3.</w:t>
      </w:r>
      <w:r>
        <w:rPr>
          <w:sz w:val="20"/>
          <w:szCs w:val="20"/>
          <w:color w:val="auto"/>
        </w:rPr>
        <w:tab/>
      </w:r>
      <w:r>
        <w:rPr>
          <w:rFonts w:ascii="Times New Roman" w:cs="Times New Roman" w:eastAsia="Times New Roman" w:hAnsi="Times New Roman"/>
          <w:sz w:val="17"/>
          <w:szCs w:val="17"/>
          <w:color w:val="auto"/>
        </w:rPr>
        <w:t>Conviction of a felony or a crime involving dishonesty.</w:t>
      </w:r>
    </w:p>
    <w:p>
      <w:pPr>
        <w:spacing w:after="0" w:line="194" w:lineRule="exact"/>
        <w:rPr>
          <w:sz w:val="20"/>
          <w:szCs w:val="20"/>
          <w:color w:val="auto"/>
        </w:rPr>
      </w:pPr>
    </w:p>
    <w:p>
      <w:pPr>
        <w:ind w:left="284"/>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xml:space="preserve"> (Employee may resign):</w:t>
      </w:r>
    </w:p>
    <w:p>
      <w:pPr>
        <w:spacing w:after="0" w:line="189" w:lineRule="exact"/>
        <w:rPr>
          <w:sz w:val="20"/>
          <w:szCs w:val="20"/>
          <w:color w:val="auto"/>
        </w:rPr>
      </w:pPr>
    </w:p>
    <w:p>
      <w:pPr>
        <w:ind w:left="544"/>
        <w:spacing w:after="0"/>
        <w:tabs>
          <w:tab w:leader="none" w:pos="1104" w:val="left"/>
        </w:tabs>
        <w:rPr>
          <w:sz w:val="20"/>
          <w:szCs w:val="20"/>
          <w:color w:val="auto"/>
        </w:rPr>
      </w:pPr>
      <w:r>
        <w:rPr>
          <w:rFonts w:ascii="Times New Roman" w:cs="Times New Roman" w:eastAsia="Times New Roman" w:hAnsi="Times New Roman"/>
          <w:sz w:val="18"/>
          <w:szCs w:val="18"/>
          <w:color w:val="auto"/>
        </w:rPr>
        <w:t>6.2.1.</w:t>
        <w:tab/>
        <w:t>Material breach by the CLRO not cured after written notice;</w:t>
      </w:r>
    </w:p>
    <w:p>
      <w:pPr>
        <w:spacing w:after="0" w:line="185" w:lineRule="exact"/>
        <w:rPr>
          <w:sz w:val="20"/>
          <w:szCs w:val="20"/>
          <w:color w:val="auto"/>
        </w:rPr>
      </w:pPr>
    </w:p>
    <w:p>
      <w:pPr>
        <w:ind w:left="544"/>
        <w:spacing w:after="0"/>
        <w:tabs>
          <w:tab w:leader="none" w:pos="1104" w:val="left"/>
        </w:tabs>
        <w:rPr>
          <w:sz w:val="20"/>
          <w:szCs w:val="20"/>
          <w:color w:val="auto"/>
        </w:rPr>
      </w:pPr>
      <w:r>
        <w:rPr>
          <w:rFonts w:ascii="Times New Roman" w:cs="Times New Roman" w:eastAsia="Times New Roman" w:hAnsi="Times New Roman"/>
          <w:sz w:val="18"/>
          <w:szCs w:val="18"/>
          <w:color w:val="auto"/>
        </w:rPr>
        <w:t>6.2.2.</w:t>
      </w:r>
      <w:r>
        <w:rPr>
          <w:sz w:val="20"/>
          <w:szCs w:val="20"/>
          <w:color w:val="auto"/>
        </w:rPr>
        <w:tab/>
      </w:r>
      <w:r>
        <w:rPr>
          <w:rFonts w:ascii="Times New Roman" w:cs="Times New Roman" w:eastAsia="Times New Roman" w:hAnsi="Times New Roman"/>
          <w:sz w:val="17"/>
          <w:szCs w:val="17"/>
          <w:color w:val="auto"/>
        </w:rPr>
        <w:t>Significant reduction in duties, pay, or benefits without your consent.</w:t>
      </w:r>
    </w:p>
    <w:p>
      <w:pPr>
        <w:spacing w:after="0" w:line="181" w:lineRule="exact"/>
        <w:rPr>
          <w:sz w:val="20"/>
          <w:szCs w:val="20"/>
          <w:color w:val="auto"/>
        </w:rPr>
      </w:pPr>
    </w:p>
    <w:p>
      <w:pPr>
        <w:jc w:val="both"/>
        <w:ind w:left="604" w:right="220" w:hanging="323"/>
        <w:spacing w:after="0" w:line="268"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b w:val="1"/>
          <w:bCs w:val="1"/>
          <w:color w:val="auto"/>
        </w:rPr>
        <w:t>Severance</w:t>
      </w:r>
      <w:r>
        <w:rPr>
          <w:rFonts w:ascii="Times New Roman" w:cs="Times New Roman" w:eastAsia="Times New Roman" w:hAnsi="Times New Roman"/>
          <w:sz w:val="18"/>
          <w:szCs w:val="18"/>
          <w:color w:val="auto"/>
        </w:rPr>
        <w:t>. If, within fourteen (14) days following the closing of any Strategic Transaction, you have not been offered employment by the acquiring or successor company on terms substantially similar to those set forth in this offer, CLRO will pay you severance equal to three (3) months of your annual base salary in effect at that time, payable promptly after the expiration of such fourteen-day period.</w:t>
      </w:r>
    </w:p>
    <w:p>
      <w:pPr>
        <w:spacing w:after="0" w:line="144" w:lineRule="exact"/>
        <w:rPr>
          <w:sz w:val="20"/>
          <w:szCs w:val="20"/>
          <w:color w:val="auto"/>
        </w:rPr>
      </w:pPr>
    </w:p>
    <w:p>
      <w:pPr>
        <w:ind w:left="4" w:right="60" w:hanging="4"/>
        <w:spacing w:after="0" w:line="286" w:lineRule="auto"/>
        <w:tabs>
          <w:tab w:leader="none" w:pos="18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Benefits</w:t>
      </w:r>
      <w:r>
        <w:rPr>
          <w:rFonts w:ascii="Times New Roman" w:cs="Times New Roman" w:eastAsia="Times New Roman" w:hAnsi="Times New Roman"/>
          <w:sz w:val="18"/>
          <w:szCs w:val="18"/>
          <w:color w:val="auto"/>
        </w:rPr>
        <w:t>. You will be eligible to participate in CLRO’s health insurance plan and other standard employee benefits in accordance with CLRO’s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policies.</w:t>
      </w:r>
    </w:p>
    <w:p>
      <w:pPr>
        <w:spacing w:after="0" w:line="11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Please indicate your acceptance by signing and returning this letter via email no later than </w:t>
      </w:r>
      <w:r>
        <w:rPr>
          <w:rFonts w:ascii="Times New Roman" w:cs="Times New Roman" w:eastAsia="Times New Roman" w:hAnsi="Times New Roman"/>
          <w:sz w:val="18"/>
          <w:szCs w:val="18"/>
          <w:b w:val="1"/>
          <w:bCs w:val="1"/>
          <w:color w:val="auto"/>
        </w:rPr>
        <w:t>December 23, 2025</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253" w:lineRule="exact"/>
        <w:rPr>
          <w:sz w:val="20"/>
          <w:szCs w:val="20"/>
          <w:color w:val="auto"/>
        </w:rPr>
      </w:pPr>
    </w:p>
    <w:p>
      <w:pPr>
        <w:ind w:left="44"/>
        <w:spacing w:after="0"/>
        <w:rPr>
          <w:sz w:val="20"/>
          <w:szCs w:val="20"/>
          <w:color w:val="auto"/>
        </w:rPr>
      </w:pPr>
      <w:r>
        <w:rPr>
          <w:rFonts w:ascii="Times New Roman" w:cs="Times New Roman" w:eastAsia="Times New Roman" w:hAnsi="Times New Roman"/>
          <w:sz w:val="18"/>
          <w:szCs w:val="18"/>
          <w:i w:val="1"/>
          <w:iCs w:val="1"/>
          <w:color w:val="auto"/>
        </w:rPr>
        <w:t>/s/ Eric L.Robinson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27305</wp:posOffset>
            </wp:positionV>
            <wp:extent cx="17145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4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Eric L. Robinson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245" w:lineRule="exact"/>
        <w:rPr>
          <w:sz w:val="20"/>
          <w:szCs w:val="20"/>
          <w:color w:val="auto"/>
        </w:rPr>
      </w:pPr>
    </w:p>
    <w:tbl>
      <w:tblPr>
        <w:tblLayout w:type="fixed"/>
        <w:tblInd w:w="24" w:type="dxa"/>
        <w:tblCellMar>
          <w:top w:w="0" w:type="dxa"/>
          <w:left w:w="0" w:type="dxa"/>
          <w:bottom w:w="0" w:type="dxa"/>
          <w:right w:w="0" w:type="dxa"/>
        </w:tblCellMar>
      </w:tblP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Simon Brewer</w:t>
            </w:r>
          </w:p>
        </w:tc>
        <w:tc>
          <w:tcPr>
            <w:tcW w:w="24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23/12//2025</w:t>
            </w:r>
          </w:p>
        </w:tc>
      </w:tr>
      <w:tr>
        <w:trPr>
          <w:trHeight w:val="257"/>
        </w:trPr>
        <w:tc>
          <w:tcPr>
            <w:tcW w:w="2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Signed and Accepted</w:t>
            </w:r>
          </w:p>
        </w:tc>
        <w:tc>
          <w:tcPr>
            <w:tcW w:w="260" w:type="dxa"/>
            <w:vAlign w:val="bottom"/>
          </w:tcPr>
          <w:p>
            <w:pPr>
              <w:spacing w:after="0"/>
              <w:rPr>
                <w:sz w:val="22"/>
                <w:szCs w:val="22"/>
                <w:color w:val="auto"/>
              </w:rPr>
            </w:pPr>
          </w:p>
        </w:tc>
        <w:tc>
          <w:tcPr>
            <w:tcW w:w="2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Date</w:t>
            </w:r>
          </w:p>
        </w:tc>
      </w:tr>
    </w:tbl>
    <w:p>
      <w:pPr>
        <w:spacing w:after="0" w:line="1" w:lineRule="exact"/>
        <w:rPr>
          <w:sz w:val="20"/>
          <w:szCs w:val="20"/>
          <w:color w:val="auto"/>
        </w:rPr>
      </w:pPr>
    </w:p>
    <w:sectPr>
      <w:pgSz w:w="11900" w:h="16838" w:orient="portrait"/>
      <w:cols w:equalWidth="0" w:num="1">
        <w:col w:w="10584"/>
      </w:cols>
      <w:pgMar w:left="976" w:top="5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decimal"/>
      <w:start w:val="2"/>
    </w:lvl>
  </w:abstractNum>
  <w:abstractNum w:abstractNumId="3">
    <w:nsid w:val="66EF438D"/>
    <w:multiLevelType w:val="hybridMultilevel"/>
    <w:lvl w:ilvl="0">
      <w:lvlJc w:val="left"/>
      <w:lvlText w:val="%1."/>
      <w:numFmt w:val="decimal"/>
      <w:start w:val="1"/>
    </w:lvl>
    <w:lvl w:ilvl="1">
      <w:lvlJc w:val="left"/>
      <w:lvlText w:val="%2."/>
      <w:numFmt w:val="lowerLetter"/>
      <w:start w:val="1"/>
    </w:lvl>
  </w:abstractNum>
  <w:abstractNum w:abstractNumId="4">
    <w:nsid w:val="140E0F76"/>
    <w:multiLevelType w:val="hybridMultilevel"/>
    <w:lvl w:ilvl="0">
      <w:lvlJc w:val="left"/>
      <w:lvlText w:val="%1."/>
      <w:numFmt w:val="decimal"/>
      <w:start w:val="3"/>
    </w:lvl>
  </w:abstractNum>
  <w:abstractNum w:abstractNumId="5">
    <w:nsid w:val="3352255A"/>
    <w:multiLevelType w:val="hybridMultilevel"/>
    <w:lvl w:ilvl="0">
      <w:lvlJc w:val="left"/>
      <w:lvlText w:val="%1."/>
      <w:numFmt w:val="decimal"/>
      <w:start w:val="5"/>
    </w:lvl>
  </w:abstractNum>
  <w:abstractNum w:abstractNumId="6">
    <w:nsid w:val="109CF92E"/>
    <w:multiLevelType w:val="hybridMultilevel"/>
    <w:lvl w:ilvl="0">
      <w:lvlJc w:val="left"/>
      <w:lvlText w:val="%1."/>
      <w:numFmt w:val="decimal"/>
      <w:start w:val="6"/>
    </w:lvl>
    <w:lvl w:ilvl="1">
      <w:lvlJc w:val="left"/>
      <w:lvlText w:val="%2."/>
      <w:numFmt w:val="lowerLetter"/>
      <w:start w:val="1"/>
    </w:lvl>
  </w:abstractNum>
  <w:abstractNum w:abstractNumId="7">
    <w:nsid w:val="DED7263"/>
    <w:multiLevelType w:val="hybridMultilevel"/>
    <w:lvl w:ilvl="0">
      <w:lvlJc w:val="left"/>
      <w:lvlText w:val="%1."/>
      <w:numFmt w:val="decimal"/>
      <w:start w:val="13"/>
    </w:lvl>
    <w:lvl w:ilvl="1">
      <w:lvlJc w:val="left"/>
      <w:lvlText w:val="%2."/>
      <w:numFmt w:val="lowerLetter"/>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lvl w:ilvl="1">
      <w:lvlJc w:val="left"/>
      <w:lvlText w:val="%2."/>
      <w:numFmt w:val="lowerLetter"/>
      <w:start w:val="1"/>
    </w:lvl>
  </w:abstractNum>
  <w:abstractNum w:abstractNumId="10">
    <w:nsid w:val="41A7C4C9"/>
    <w:multiLevelType w:val="hybridMultilevel"/>
    <w:lvl w:ilvl="0">
      <w:lvlJc w:val="left"/>
      <w:lvlText w:val="%1."/>
      <w:numFmt w:val="decimal"/>
      <w:start w:val="3"/>
    </w:lvl>
  </w:abstractNum>
  <w:abstractNum w:abstractNumId="11">
    <w:nsid w:val="6B68079A"/>
    <w:multiLevelType w:val="hybridMultilevel"/>
    <w:lvl w:ilvl="0">
      <w:lvlJc w:val="left"/>
      <w:lvlText w:val="%1."/>
      <w:numFmt w:val="decimal"/>
      <w:start w:val="5"/>
    </w:lvl>
  </w:abstractNum>
  <w:abstractNum w:abstractNumId="12">
    <w:nsid w:val="4E6AFB66"/>
    <w:multiLevelType w:val="hybridMultilevel"/>
    <w:lvl w:ilvl="0">
      <w:lvlJc w:val="left"/>
      <w:lvlText w:val="%1."/>
      <w:numFmt w:val="decimal"/>
      <w:start w:val="6"/>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decimal"/>
      <w:start w:val="8"/>
    </w:lvl>
  </w:abstractNum>
  <w:abstractNum w:abstractNumId="15">
    <w:nsid w:val="431BD7B7"/>
    <w:multiLevelType w:val="hybridMultilevel"/>
    <w:lvl w:ilvl="0">
      <w:lvlJc w:val="left"/>
      <w:lvlText w:val="%1."/>
      <w:numFmt w:val="decimal"/>
      <w:start w:val="13"/>
    </w:lvl>
    <w:lvl w:ilvl="1">
      <w:lvlJc w:val="left"/>
      <w:lvlText w:val="%2."/>
      <w:numFmt w:val="lowerLetter"/>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decimal"/>
      <w:start w:val="1"/>
    </w:lvl>
  </w:abstractNum>
  <w:abstractNum w:abstractNumId="18">
    <w:nsid w:val="257130A3"/>
    <w:multiLevelType w:val="hybridMultilevel"/>
    <w:lvl w:ilvl="0">
      <w:lvlJc w:val="left"/>
      <w:lvlText w:val="%1."/>
      <w:numFmt w:val="decimal"/>
      <w:start w:val="6"/>
    </w:lvl>
  </w:abstractNum>
  <w:abstractNum w:abstractNumId="19">
    <w:nsid w:val="62BBD95A"/>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2025-12-30T16:52:02Z</dcterms:created>
  <dcterms:modified xsi:type="dcterms:W3CDTF">2025-12-30T16:52:02Z</dcterms:modified>
</cp:coreProperties>
</file>