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280"/>
        <w:spacing w:after="0" w:line="238" w:lineRule="auto"/>
        <w:rPr>
          <w:sz w:val="20"/>
          <w:szCs w:val="20"/>
          <w:color w:val="auto"/>
        </w:rPr>
      </w:pPr>
      <w:r>
        <w:rPr>
          <w:rFonts w:ascii="Courier New" w:cs="Courier New" w:eastAsia="Courier New" w:hAnsi="Courier New"/>
          <w:sz w:val="18"/>
          <w:szCs w:val="18"/>
          <w:color w:val="auto"/>
        </w:rPr>
        <w:t>September 25, 2002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380"/>
        <w:spacing w:after="0"/>
        <w:tabs>
          <w:tab w:leader="none" w:pos="4300" w:val="left"/>
          <w:tab w:leader="none" w:pos="67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0-17219</w:t>
      </w:r>
      <w:r>
        <w:rPr>
          <w:sz w:val="20"/>
          <w:szCs w:val="20"/>
          <w:color w:val="auto"/>
        </w:rPr>
        <w:tab/>
      </w:r>
      <w:r>
        <w:rPr>
          <w:rFonts w:ascii="Courier New" w:cs="Courier New" w:eastAsia="Courier New" w:hAnsi="Courier New"/>
          <w:sz w:val="16"/>
          <w:szCs w:val="16"/>
          <w:color w:val="auto"/>
        </w:rPr>
        <w:t>87-0398877</w:t>
      </w:r>
    </w:p>
    <w:p>
      <w:pPr>
        <w:spacing w:after="0"/>
        <w:tabs>
          <w:tab w:leader="none" w:pos="3680" w:val="left"/>
          <w:tab w:leader="none" w:pos="6420" w:val="left"/>
        </w:tabs>
        <w:rPr>
          <w:sz w:val="20"/>
          <w:szCs w:val="20"/>
          <w:color w:val="auto"/>
        </w:rPr>
      </w:pPr>
      <w:r>
        <w:rPr>
          <w:rFonts w:ascii="Courier New" w:cs="Courier New" w:eastAsia="Courier New" w:hAnsi="Courier New"/>
          <w:sz w:val="18"/>
          <w:szCs w:val="18"/>
          <w:color w:val="auto"/>
        </w:rPr>
        <w:t>- -------------------------------</w:t>
        <w:tab/>
        <w:t>------------------------</w:t>
      </w:r>
      <w:r>
        <w:rPr>
          <w:sz w:val="20"/>
          <w:szCs w:val="20"/>
          <w:color w:val="auto"/>
        </w:rPr>
        <w:tab/>
      </w:r>
      <w:r>
        <w:rPr>
          <w:rFonts w:ascii="Courier New" w:cs="Courier New" w:eastAsia="Courier New" w:hAnsi="Courier New"/>
          <w:sz w:val="16"/>
          <w:szCs w:val="16"/>
          <w:color w:val="auto"/>
        </w:rPr>
        <w:t>---------------------</w:t>
      </w:r>
    </w:p>
    <w:p>
      <w:pPr>
        <w:spacing w:after="0"/>
        <w:tabs>
          <w:tab w:leader="none" w:pos="3460" w:val="left"/>
          <w:tab w:leader="none" w:pos="6420" w:val="left"/>
        </w:tabs>
        <w:rPr>
          <w:sz w:val="20"/>
          <w:szCs w:val="20"/>
          <w:color w:val="auto"/>
        </w:rPr>
      </w:pPr>
      <w:r>
        <w:rPr>
          <w:rFonts w:ascii="Courier New" w:cs="Courier New" w:eastAsia="Courier New" w:hAnsi="Courier New"/>
          <w:sz w:val="18"/>
          <w:szCs w:val="18"/>
          <w:color w:val="auto"/>
        </w:rPr>
        <w:t>(State or other jurisdiction of</w:t>
        <w:tab/>
        <w:t>(Commission File Number)</w:t>
      </w:r>
      <w:r>
        <w:rPr>
          <w:sz w:val="20"/>
          <w:szCs w:val="20"/>
          <w:color w:val="auto"/>
        </w:rPr>
        <w:tab/>
      </w:r>
      <w:r>
        <w:rPr>
          <w:rFonts w:ascii="Courier New" w:cs="Courier New" w:eastAsia="Courier New" w:hAnsi="Courier New"/>
          <w:sz w:val="16"/>
          <w:szCs w:val="16"/>
          <w:color w:val="auto"/>
        </w:rPr>
        <w:t>(I.R.S. Employer</w:t>
      </w:r>
    </w:p>
    <w:p>
      <w:pPr>
        <w:spacing w:after="0"/>
        <w:tabs>
          <w:tab w:leader="none" w:pos="630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ind w:left="1060"/>
        <w:spacing w:after="0"/>
        <w:tabs>
          <w:tab w:leader="none" w:pos="6300" w:val="left"/>
        </w:tabs>
        <w:rPr>
          <w:sz w:val="20"/>
          <w:szCs w:val="20"/>
          <w:color w:val="auto"/>
        </w:rPr>
      </w:pPr>
      <w:r>
        <w:rPr>
          <w:rFonts w:ascii="Courier New" w:cs="Courier New" w:eastAsia="Courier New" w:hAnsi="Courier New"/>
          <w:sz w:val="18"/>
          <w:szCs w:val="18"/>
          <w:color w:val="auto"/>
        </w:rPr>
        <w:t>1825 Research Way, Salt Lake City, Utah</w:t>
      </w:r>
      <w:r>
        <w:rPr>
          <w:sz w:val="20"/>
          <w:szCs w:val="20"/>
          <w:color w:val="auto"/>
        </w:rPr>
        <w:tab/>
      </w:r>
      <w:r>
        <w:rPr>
          <w:rFonts w:ascii="Courier New" w:cs="Courier New" w:eastAsia="Courier New" w:hAnsi="Courier New"/>
          <w:sz w:val="18"/>
          <w:szCs w:val="18"/>
          <w:color w:val="auto"/>
        </w:rPr>
        <w:t>84119</w:t>
      </w:r>
    </w:p>
    <w:p>
      <w:pPr>
        <w:ind w:left="860"/>
        <w:spacing w:after="0" w:line="238"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6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801-975-7200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On September 25, 2002, ClearOne Communications, Inc. (the "Company") submitted to the Securities and Exchange Commission written certifications by each of its Chief Executive Officer and the Chief Financial Officer with respect to the Company's Report on Form 10-K for the year ended June 30, 2002 for purposes of 18 U.S.C. Section 1350, as adopted pursuant to Section 906 of the Sarbanes-Oxley Act of 2002. A copy of each certification is attached as Exhibit 99.1 and Exhibit 99.2 to this report.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CLEARONE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/s/Randall J. Wichinski</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Randall J. Wichinski</w:t>
      </w:r>
    </w:p>
    <w:p>
      <w:pPr>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ectPr>
          <w:pgSz w:w="11900" w:h="16838" w:orient="portrait"/>
          <w:cols w:equalWidth="0" w:num="3">
            <w:col w:w="640" w:space="220"/>
            <w:col w:w="3060" w:space="720"/>
            <w:col w:w="55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280" w:type="dxa"/>
            <w:vAlign w:val="bottom"/>
          </w:tcPr>
          <w:p>
            <w:pPr>
              <w:ind w:left="1380"/>
              <w:spacing w:after="0"/>
              <w:rPr>
                <w:sz w:val="20"/>
                <w:szCs w:val="20"/>
                <w:color w:val="auto"/>
              </w:rPr>
            </w:pPr>
            <w:r>
              <w:rPr>
                <w:rFonts w:ascii="Courier New" w:cs="Courier New" w:eastAsia="Courier New" w:hAnsi="Courier New"/>
                <w:sz w:val="18"/>
                <w:szCs w:val="18"/>
                <w:color w:val="auto"/>
              </w:rPr>
              <w:t>INDEX TO</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Description</w:t>
            </w:r>
          </w:p>
        </w:tc>
        <w:tc>
          <w:tcPr>
            <w:tcW w:w="268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496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Certification of Chief Executive Officer,</w:t>
            </w:r>
          </w:p>
        </w:tc>
      </w:tr>
      <w:tr>
        <w:trPr>
          <w:trHeight w:val="203"/>
        </w:trPr>
        <w:tc>
          <w:tcPr>
            <w:tcW w:w="2000" w:type="dxa"/>
            <w:vAlign w:val="bottom"/>
          </w:tcPr>
          <w:p>
            <w:pPr>
              <w:spacing w:after="0"/>
              <w:rPr>
                <w:sz w:val="17"/>
                <w:szCs w:val="17"/>
                <w:color w:val="auto"/>
              </w:rPr>
            </w:pP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dated September</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24, 2002.</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496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Certification of Chief Financial Officer,</w:t>
            </w:r>
          </w:p>
        </w:tc>
      </w:tr>
      <w:tr>
        <w:trPr>
          <w:trHeight w:val="203"/>
        </w:trPr>
        <w:tc>
          <w:tcPr>
            <w:tcW w:w="2000" w:type="dxa"/>
            <w:vAlign w:val="bottom"/>
          </w:tcPr>
          <w:p>
            <w:pPr>
              <w:spacing w:after="0"/>
              <w:rPr>
                <w:sz w:val="17"/>
                <w:szCs w:val="17"/>
                <w:color w:val="auto"/>
              </w:rPr>
            </w:pP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dated September</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her knowledge, (i) the Annual Report on Form 10-K for the period ended June 30, 2002 of ClearOne Communications, Inc., which is being filed with the Securities and Exchange Commission concurrently herewith, fully complies with the requirements of Section 13(a) or 15(d) of the Securities Exchange Act of 1934 and (ii) the information contained in the Annual Report fairly presents, in all material respects, the financial condition and results of operations of ClearOne Communications, Inc.</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Frances M. Flood</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640" w:space="520"/>
            <w:col w:w="3280" w:space="720"/>
            <w:col w:w="5059"/>
          </w:cols>
          <w:pgMar w:left="240" w:top="13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his knowledge, (i) the Annual Report on Form 10-K for the period ended June 30, 2002 of ClearOne Communications, Inc., which is being filed with the Securities and Exchange Commission concurrently herewith, fully complies with the requirements of Section 13(a) or 15(d) of the Securities Exchange Act of 1934 and (ii) the information contained in the Annual Report fairly presents, in all material respects, the financial condition and results of operations of ClearOne Communications,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Randall J. Wichinski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Randall J. Wichinski</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640" w:space="520"/>
        <w:col w:w="3280" w:space="720"/>
        <w:col w:w="505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2019-12-12T10:53:26Z</dcterms:created>
  <dcterms:modified xsi:type="dcterms:W3CDTF">2019-12-12T10:53:26Z</dcterms:modified>
</cp:coreProperties>
</file>