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24, 2021</w:t>
      </w:r>
    </w:p>
    <w:p>
      <w:pPr>
        <w:spacing w:after="0" w:line="4" w:lineRule="exact"/>
        <w:rPr>
          <w:sz w:val="24"/>
          <w:szCs w:val="24"/>
          <w:color w:val="auto"/>
        </w:rPr>
      </w:pPr>
    </w:p>
    <w:p>
      <w:pPr>
        <w:jc w:val="right"/>
        <w:ind w:right="1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51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S-3</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CLEARONE, INC.</w:t>
      </w:r>
    </w:p>
    <w:p>
      <w:pPr>
        <w:spacing w:after="0" w:line="26" w:lineRule="exact"/>
        <w:rPr>
          <w:sz w:val="24"/>
          <w:szCs w:val="24"/>
          <w:color w:val="auto"/>
        </w:rPr>
      </w:pPr>
    </w:p>
    <w:tbl>
      <w:tblPr>
        <w:tblLayout w:type="fixed"/>
        <w:tblInd w:w="142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5540" w:type="dxa"/>
            <w:vAlign w:val="bottom"/>
          </w:tcPr>
          <w:p>
            <w:pPr>
              <w:jc w:val="center"/>
              <w:ind w:right="2448"/>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153"/>
        </w:trPr>
        <w:tc>
          <w:tcPr>
            <w:tcW w:w="2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DELAWARE</w:t>
            </w:r>
          </w:p>
        </w:tc>
        <w:tc>
          <w:tcPr>
            <w:tcW w:w="5540" w:type="dxa"/>
            <w:vAlign w:val="bottom"/>
          </w:tcPr>
          <w:p>
            <w:pPr>
              <w:jc w:val="right"/>
              <w:ind w:right="748"/>
              <w:spacing w:after="0" w:line="153" w:lineRule="exact"/>
              <w:rPr>
                <w:sz w:val="20"/>
                <w:szCs w:val="20"/>
                <w:color w:val="auto"/>
              </w:rPr>
            </w:pPr>
            <w:r>
              <w:rPr>
                <w:rFonts w:ascii="Arial" w:cs="Arial" w:eastAsia="Arial" w:hAnsi="Arial"/>
                <w:sz w:val="14"/>
                <w:szCs w:val="14"/>
                <w:b w:val="1"/>
                <w:bCs w:val="1"/>
                <w:color w:val="auto"/>
              </w:rPr>
              <w:t>87-0398877</w:t>
            </w:r>
          </w:p>
        </w:tc>
      </w:tr>
      <w:tr>
        <w:trPr>
          <w:trHeight w:val="148"/>
        </w:trPr>
        <w:tc>
          <w:tcPr>
            <w:tcW w:w="2700" w:type="dxa"/>
            <w:vAlign w:val="bottom"/>
          </w:tcPr>
          <w:p>
            <w:pPr>
              <w:jc w:val="center"/>
              <w:spacing w:after="0" w:line="149" w:lineRule="exact"/>
              <w:rPr>
                <w:sz w:val="20"/>
                <w:szCs w:val="20"/>
                <w:color w:val="auto"/>
              </w:rPr>
            </w:pPr>
            <w:r>
              <w:rPr>
                <w:rFonts w:ascii="Arial" w:cs="Arial" w:eastAsia="Arial" w:hAnsi="Arial"/>
                <w:sz w:val="14"/>
                <w:szCs w:val="14"/>
                <w:color w:val="auto"/>
                <w:w w:val="94"/>
              </w:rPr>
              <w:t>(State or Other Jurisdiction of Incorporation or</w:t>
            </w:r>
          </w:p>
        </w:tc>
        <w:tc>
          <w:tcPr>
            <w:tcW w:w="5540" w:type="dxa"/>
            <w:vAlign w:val="bottom"/>
          </w:tcPr>
          <w:p>
            <w:pPr>
              <w:jc w:val="center"/>
              <w:ind w:left="3128"/>
              <w:spacing w:after="0" w:line="149" w:lineRule="exact"/>
              <w:rPr>
                <w:sz w:val="20"/>
                <w:szCs w:val="20"/>
                <w:color w:val="auto"/>
              </w:rPr>
            </w:pPr>
            <w:r>
              <w:rPr>
                <w:rFonts w:ascii="Arial" w:cs="Arial" w:eastAsia="Arial" w:hAnsi="Arial"/>
                <w:sz w:val="14"/>
                <w:szCs w:val="14"/>
                <w:color w:val="auto"/>
                <w:w w:val="96"/>
              </w:rPr>
              <w:t>(I.R.S. Employer Identification Number)</w:t>
            </w:r>
          </w:p>
        </w:tc>
      </w:tr>
      <w:tr>
        <w:trPr>
          <w:trHeight w:val="182"/>
        </w:trPr>
        <w:tc>
          <w:tcPr>
            <w:tcW w:w="2700" w:type="dxa"/>
            <w:vAlign w:val="bottom"/>
          </w:tcPr>
          <w:p>
            <w:pPr>
              <w:jc w:val="center"/>
              <w:spacing w:after="0"/>
              <w:rPr>
                <w:sz w:val="20"/>
                <w:szCs w:val="20"/>
                <w:color w:val="auto"/>
              </w:rPr>
            </w:pPr>
            <w:r>
              <w:rPr>
                <w:rFonts w:ascii="Arial" w:cs="Arial" w:eastAsia="Arial" w:hAnsi="Arial"/>
                <w:sz w:val="14"/>
                <w:szCs w:val="14"/>
                <w:color w:val="auto"/>
                <w:w w:val="95"/>
              </w:rPr>
              <w:t>Organization)</w:t>
            </w:r>
          </w:p>
        </w:tc>
        <w:tc>
          <w:tcPr>
            <w:tcW w:w="5540" w:type="dxa"/>
            <w:vAlign w:val="bottom"/>
          </w:tcPr>
          <w:p>
            <w:pPr>
              <w:spacing w:after="0"/>
              <w:rPr>
                <w:sz w:val="15"/>
                <w:szCs w:val="15"/>
                <w:color w:val="auto"/>
              </w:rPr>
            </w:pPr>
          </w:p>
        </w:tc>
      </w:tr>
      <w:tr>
        <w:trPr>
          <w:trHeight w:val="151"/>
        </w:trPr>
        <w:tc>
          <w:tcPr>
            <w:tcW w:w="2700" w:type="dxa"/>
            <w:vAlign w:val="bottom"/>
          </w:tcPr>
          <w:p>
            <w:pPr>
              <w:spacing w:after="0"/>
              <w:rPr>
                <w:sz w:val="13"/>
                <w:szCs w:val="13"/>
                <w:color w:val="auto"/>
              </w:rPr>
            </w:pPr>
          </w:p>
        </w:tc>
        <w:tc>
          <w:tcPr>
            <w:tcW w:w="5540" w:type="dxa"/>
            <w:vAlign w:val="bottom"/>
          </w:tcPr>
          <w:p>
            <w:pPr>
              <w:jc w:val="center"/>
              <w:ind w:right="2448"/>
              <w:spacing w:after="0" w:line="151" w:lineRule="exact"/>
              <w:rPr>
                <w:sz w:val="20"/>
                <w:szCs w:val="20"/>
                <w:color w:val="auto"/>
              </w:rPr>
            </w:pPr>
            <w:r>
              <w:rPr>
                <w:rFonts w:ascii="Arial" w:cs="Arial" w:eastAsia="Arial" w:hAnsi="Arial"/>
                <w:sz w:val="14"/>
                <w:szCs w:val="14"/>
                <w:b w:val="1"/>
                <w:bCs w:val="1"/>
                <w:color w:val="auto"/>
                <w:w w:val="93"/>
              </w:rPr>
              <w:t>5225 Wiley Post Way</w:t>
            </w:r>
          </w:p>
        </w:tc>
      </w:tr>
      <w:tr>
        <w:trPr>
          <w:trHeight w:val="148"/>
        </w:trPr>
        <w:tc>
          <w:tcPr>
            <w:tcW w:w="2700" w:type="dxa"/>
            <w:vAlign w:val="bottom"/>
          </w:tcPr>
          <w:p>
            <w:pPr>
              <w:spacing w:after="0"/>
              <w:rPr>
                <w:sz w:val="12"/>
                <w:szCs w:val="12"/>
                <w:color w:val="auto"/>
              </w:rPr>
            </w:pPr>
          </w:p>
        </w:tc>
        <w:tc>
          <w:tcPr>
            <w:tcW w:w="5540" w:type="dxa"/>
            <w:vAlign w:val="bottom"/>
          </w:tcPr>
          <w:p>
            <w:pPr>
              <w:jc w:val="center"/>
              <w:ind w:right="2468"/>
              <w:spacing w:after="0" w:line="149" w:lineRule="exact"/>
              <w:rPr>
                <w:sz w:val="20"/>
                <w:szCs w:val="20"/>
                <w:color w:val="auto"/>
              </w:rPr>
            </w:pPr>
            <w:r>
              <w:rPr>
                <w:rFonts w:ascii="Arial" w:cs="Arial" w:eastAsia="Arial" w:hAnsi="Arial"/>
                <w:sz w:val="14"/>
                <w:szCs w:val="14"/>
                <w:b w:val="1"/>
                <w:bCs w:val="1"/>
                <w:color w:val="auto"/>
                <w:w w:val="91"/>
              </w:rPr>
              <w:t>Suite 500</w:t>
            </w:r>
          </w:p>
        </w:tc>
      </w:tr>
      <w:tr>
        <w:trPr>
          <w:trHeight w:val="148"/>
        </w:trPr>
        <w:tc>
          <w:tcPr>
            <w:tcW w:w="2700" w:type="dxa"/>
            <w:vAlign w:val="bottom"/>
          </w:tcPr>
          <w:p>
            <w:pPr>
              <w:spacing w:after="0"/>
              <w:rPr>
                <w:sz w:val="12"/>
                <w:szCs w:val="12"/>
                <w:color w:val="auto"/>
              </w:rPr>
            </w:pPr>
          </w:p>
        </w:tc>
        <w:tc>
          <w:tcPr>
            <w:tcW w:w="5540" w:type="dxa"/>
            <w:vAlign w:val="bottom"/>
          </w:tcPr>
          <w:p>
            <w:pPr>
              <w:jc w:val="center"/>
              <w:ind w:right="2468"/>
              <w:spacing w:after="0" w:line="149" w:lineRule="exact"/>
              <w:rPr>
                <w:sz w:val="20"/>
                <w:szCs w:val="20"/>
                <w:color w:val="auto"/>
              </w:rPr>
            </w:pPr>
            <w:r>
              <w:rPr>
                <w:rFonts w:ascii="Arial" w:cs="Arial" w:eastAsia="Arial" w:hAnsi="Arial"/>
                <w:sz w:val="14"/>
                <w:szCs w:val="14"/>
                <w:b w:val="1"/>
                <w:bCs w:val="1"/>
                <w:color w:val="auto"/>
                <w:w w:val="94"/>
              </w:rPr>
              <w:t>Salt Lake City, Utah 84116</w:t>
            </w:r>
          </w:p>
        </w:tc>
      </w:tr>
      <w:tr>
        <w:trPr>
          <w:trHeight w:val="153"/>
        </w:trPr>
        <w:tc>
          <w:tcPr>
            <w:tcW w:w="2700" w:type="dxa"/>
            <w:vAlign w:val="bottom"/>
          </w:tcPr>
          <w:p>
            <w:pPr>
              <w:spacing w:after="0"/>
              <w:rPr>
                <w:sz w:val="13"/>
                <w:szCs w:val="13"/>
                <w:color w:val="auto"/>
              </w:rPr>
            </w:pPr>
          </w:p>
        </w:tc>
        <w:tc>
          <w:tcPr>
            <w:tcW w:w="5540" w:type="dxa"/>
            <w:vAlign w:val="bottom"/>
          </w:tcPr>
          <w:p>
            <w:pPr>
              <w:jc w:val="center"/>
              <w:ind w:right="2448"/>
              <w:spacing w:after="0" w:line="153" w:lineRule="exact"/>
              <w:rPr>
                <w:sz w:val="20"/>
                <w:szCs w:val="20"/>
                <w:color w:val="auto"/>
              </w:rPr>
            </w:pPr>
            <w:r>
              <w:rPr>
                <w:rFonts w:ascii="Arial" w:cs="Arial" w:eastAsia="Arial" w:hAnsi="Arial"/>
                <w:sz w:val="14"/>
                <w:szCs w:val="14"/>
                <w:b w:val="1"/>
                <w:bCs w:val="1"/>
                <w:color w:val="auto"/>
                <w:w w:val="93"/>
              </w:rPr>
              <w:t>(801) 975-7200</w:t>
            </w:r>
          </w:p>
        </w:tc>
      </w:tr>
      <w:tr>
        <w:trPr>
          <w:trHeight w:val="148"/>
        </w:trPr>
        <w:tc>
          <w:tcPr>
            <w:tcW w:w="824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3"/>
              </w:rPr>
              <w:t>(Address, including zip code, and telephone number, including</w:t>
            </w:r>
          </w:p>
        </w:tc>
      </w:tr>
      <w:tr>
        <w:trPr>
          <w:trHeight w:val="182"/>
        </w:trPr>
        <w:tc>
          <w:tcPr>
            <w:tcW w:w="2700" w:type="dxa"/>
            <w:vAlign w:val="bottom"/>
          </w:tcPr>
          <w:p>
            <w:pPr>
              <w:spacing w:after="0"/>
              <w:rPr>
                <w:sz w:val="15"/>
                <w:szCs w:val="15"/>
                <w:color w:val="auto"/>
              </w:rPr>
            </w:pPr>
          </w:p>
        </w:tc>
        <w:tc>
          <w:tcPr>
            <w:tcW w:w="5540" w:type="dxa"/>
            <w:vAlign w:val="bottom"/>
          </w:tcPr>
          <w:p>
            <w:pPr>
              <w:jc w:val="center"/>
              <w:ind w:right="2448"/>
              <w:spacing w:after="0"/>
              <w:rPr>
                <w:sz w:val="20"/>
                <w:szCs w:val="20"/>
                <w:color w:val="auto"/>
              </w:rPr>
            </w:pPr>
            <w:r>
              <w:rPr>
                <w:rFonts w:ascii="Arial" w:cs="Arial" w:eastAsia="Arial" w:hAnsi="Arial"/>
                <w:sz w:val="14"/>
                <w:szCs w:val="14"/>
                <w:color w:val="auto"/>
                <w:w w:val="93"/>
              </w:rPr>
              <w:t>area code, of registrant’s principal executive offices)</w:t>
            </w:r>
          </w:p>
        </w:tc>
      </w:tr>
      <w:tr>
        <w:trPr>
          <w:trHeight w:val="151"/>
        </w:trPr>
        <w:tc>
          <w:tcPr>
            <w:tcW w:w="2700" w:type="dxa"/>
            <w:vAlign w:val="bottom"/>
          </w:tcPr>
          <w:p>
            <w:pPr>
              <w:spacing w:after="0"/>
              <w:rPr>
                <w:sz w:val="13"/>
                <w:szCs w:val="13"/>
                <w:color w:val="auto"/>
              </w:rPr>
            </w:pPr>
          </w:p>
        </w:tc>
        <w:tc>
          <w:tcPr>
            <w:tcW w:w="5540" w:type="dxa"/>
            <w:vAlign w:val="bottom"/>
          </w:tcPr>
          <w:p>
            <w:pPr>
              <w:jc w:val="center"/>
              <w:ind w:right="2448"/>
              <w:spacing w:after="0" w:line="151" w:lineRule="exact"/>
              <w:rPr>
                <w:sz w:val="20"/>
                <w:szCs w:val="20"/>
                <w:color w:val="auto"/>
              </w:rPr>
            </w:pPr>
            <w:r>
              <w:rPr>
                <w:rFonts w:ascii="Arial" w:cs="Arial" w:eastAsia="Arial" w:hAnsi="Arial"/>
                <w:sz w:val="14"/>
                <w:szCs w:val="14"/>
                <w:b w:val="1"/>
                <w:bCs w:val="1"/>
                <w:color w:val="auto"/>
                <w:w w:val="94"/>
              </w:rPr>
              <w:t>Zeynep Hakimoglu</w:t>
            </w:r>
          </w:p>
        </w:tc>
      </w:tr>
      <w:tr>
        <w:trPr>
          <w:trHeight w:val="148"/>
        </w:trPr>
        <w:tc>
          <w:tcPr>
            <w:tcW w:w="2700" w:type="dxa"/>
            <w:vAlign w:val="bottom"/>
          </w:tcPr>
          <w:p>
            <w:pPr>
              <w:spacing w:after="0"/>
              <w:rPr>
                <w:sz w:val="12"/>
                <w:szCs w:val="12"/>
                <w:color w:val="auto"/>
              </w:rPr>
            </w:pPr>
          </w:p>
        </w:tc>
        <w:tc>
          <w:tcPr>
            <w:tcW w:w="5540" w:type="dxa"/>
            <w:vAlign w:val="bottom"/>
          </w:tcPr>
          <w:p>
            <w:pPr>
              <w:jc w:val="center"/>
              <w:ind w:right="2468"/>
              <w:spacing w:after="0" w:line="149" w:lineRule="exact"/>
              <w:rPr>
                <w:sz w:val="20"/>
                <w:szCs w:val="20"/>
                <w:color w:val="auto"/>
              </w:rPr>
            </w:pPr>
            <w:r>
              <w:rPr>
                <w:rFonts w:ascii="Arial" w:cs="Arial" w:eastAsia="Arial" w:hAnsi="Arial"/>
                <w:sz w:val="14"/>
                <w:szCs w:val="14"/>
                <w:b w:val="1"/>
                <w:bCs w:val="1"/>
                <w:color w:val="auto"/>
                <w:w w:val="92"/>
              </w:rPr>
              <w:t>President and Chief Executive Officer</w:t>
            </w:r>
          </w:p>
        </w:tc>
      </w:tr>
      <w:tr>
        <w:trPr>
          <w:trHeight w:val="148"/>
        </w:trPr>
        <w:tc>
          <w:tcPr>
            <w:tcW w:w="2700" w:type="dxa"/>
            <w:vAlign w:val="bottom"/>
          </w:tcPr>
          <w:p>
            <w:pPr>
              <w:spacing w:after="0"/>
              <w:rPr>
                <w:sz w:val="12"/>
                <w:szCs w:val="12"/>
                <w:color w:val="auto"/>
              </w:rPr>
            </w:pPr>
          </w:p>
        </w:tc>
        <w:tc>
          <w:tcPr>
            <w:tcW w:w="5540" w:type="dxa"/>
            <w:vAlign w:val="bottom"/>
          </w:tcPr>
          <w:p>
            <w:pPr>
              <w:jc w:val="center"/>
              <w:ind w:right="2448"/>
              <w:spacing w:after="0" w:line="149" w:lineRule="exact"/>
              <w:rPr>
                <w:sz w:val="20"/>
                <w:szCs w:val="20"/>
                <w:color w:val="auto"/>
              </w:rPr>
            </w:pPr>
            <w:r>
              <w:rPr>
                <w:rFonts w:ascii="Arial" w:cs="Arial" w:eastAsia="Arial" w:hAnsi="Arial"/>
                <w:sz w:val="14"/>
                <w:szCs w:val="14"/>
                <w:b w:val="1"/>
                <w:bCs w:val="1"/>
                <w:color w:val="auto"/>
                <w:w w:val="95"/>
              </w:rPr>
              <w:t>ClearOne, Inc.</w:t>
            </w:r>
          </w:p>
        </w:tc>
      </w:tr>
      <w:tr>
        <w:trPr>
          <w:trHeight w:val="148"/>
        </w:trPr>
        <w:tc>
          <w:tcPr>
            <w:tcW w:w="2700" w:type="dxa"/>
            <w:vAlign w:val="bottom"/>
          </w:tcPr>
          <w:p>
            <w:pPr>
              <w:spacing w:after="0"/>
              <w:rPr>
                <w:sz w:val="12"/>
                <w:szCs w:val="12"/>
                <w:color w:val="auto"/>
              </w:rPr>
            </w:pPr>
          </w:p>
        </w:tc>
        <w:tc>
          <w:tcPr>
            <w:tcW w:w="5540" w:type="dxa"/>
            <w:vAlign w:val="bottom"/>
          </w:tcPr>
          <w:p>
            <w:pPr>
              <w:jc w:val="center"/>
              <w:ind w:right="2468"/>
              <w:spacing w:after="0" w:line="149" w:lineRule="exact"/>
              <w:rPr>
                <w:sz w:val="20"/>
                <w:szCs w:val="20"/>
                <w:color w:val="auto"/>
              </w:rPr>
            </w:pPr>
            <w:r>
              <w:rPr>
                <w:rFonts w:ascii="Arial" w:cs="Arial" w:eastAsia="Arial" w:hAnsi="Arial"/>
                <w:sz w:val="14"/>
                <w:szCs w:val="14"/>
                <w:b w:val="1"/>
                <w:bCs w:val="1"/>
                <w:color w:val="auto"/>
                <w:w w:val="92"/>
              </w:rPr>
              <w:t>5225 Wiley Post Way, Suite 500</w:t>
            </w:r>
          </w:p>
        </w:tc>
      </w:tr>
      <w:tr>
        <w:trPr>
          <w:trHeight w:val="148"/>
        </w:trPr>
        <w:tc>
          <w:tcPr>
            <w:tcW w:w="2700" w:type="dxa"/>
            <w:vAlign w:val="bottom"/>
          </w:tcPr>
          <w:p>
            <w:pPr>
              <w:spacing w:after="0"/>
              <w:rPr>
                <w:sz w:val="12"/>
                <w:szCs w:val="12"/>
                <w:color w:val="auto"/>
              </w:rPr>
            </w:pPr>
          </w:p>
        </w:tc>
        <w:tc>
          <w:tcPr>
            <w:tcW w:w="5540" w:type="dxa"/>
            <w:vAlign w:val="bottom"/>
          </w:tcPr>
          <w:p>
            <w:pPr>
              <w:jc w:val="center"/>
              <w:ind w:right="2468"/>
              <w:spacing w:after="0" w:line="149" w:lineRule="exact"/>
              <w:rPr>
                <w:sz w:val="20"/>
                <w:szCs w:val="20"/>
                <w:color w:val="auto"/>
              </w:rPr>
            </w:pPr>
            <w:r>
              <w:rPr>
                <w:rFonts w:ascii="Arial" w:cs="Arial" w:eastAsia="Arial" w:hAnsi="Arial"/>
                <w:sz w:val="14"/>
                <w:szCs w:val="14"/>
                <w:b w:val="1"/>
                <w:bCs w:val="1"/>
                <w:color w:val="auto"/>
                <w:w w:val="94"/>
              </w:rPr>
              <w:t>Salt Lake City, Utah 84116</w:t>
            </w:r>
          </w:p>
        </w:tc>
      </w:tr>
      <w:tr>
        <w:trPr>
          <w:trHeight w:val="153"/>
        </w:trPr>
        <w:tc>
          <w:tcPr>
            <w:tcW w:w="2700" w:type="dxa"/>
            <w:vAlign w:val="bottom"/>
          </w:tcPr>
          <w:p>
            <w:pPr>
              <w:spacing w:after="0"/>
              <w:rPr>
                <w:sz w:val="13"/>
                <w:szCs w:val="13"/>
                <w:color w:val="auto"/>
              </w:rPr>
            </w:pPr>
          </w:p>
        </w:tc>
        <w:tc>
          <w:tcPr>
            <w:tcW w:w="5540" w:type="dxa"/>
            <w:vAlign w:val="bottom"/>
          </w:tcPr>
          <w:p>
            <w:pPr>
              <w:jc w:val="center"/>
              <w:ind w:right="2448"/>
              <w:spacing w:after="0" w:line="153" w:lineRule="exact"/>
              <w:rPr>
                <w:sz w:val="20"/>
                <w:szCs w:val="20"/>
                <w:color w:val="auto"/>
              </w:rPr>
            </w:pPr>
            <w:r>
              <w:rPr>
                <w:rFonts w:ascii="Arial" w:cs="Arial" w:eastAsia="Arial" w:hAnsi="Arial"/>
                <w:sz w:val="14"/>
                <w:szCs w:val="14"/>
                <w:b w:val="1"/>
                <w:bCs w:val="1"/>
                <w:color w:val="auto"/>
                <w:w w:val="93"/>
              </w:rPr>
              <w:t>(801) 975-7200</w:t>
            </w:r>
          </w:p>
        </w:tc>
      </w:tr>
      <w:tr>
        <w:trPr>
          <w:trHeight w:val="148"/>
        </w:trPr>
        <w:tc>
          <w:tcPr>
            <w:tcW w:w="824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1"/>
              </w:rPr>
              <w:t>(Name, address, including zip code, and telephone number,</w:t>
            </w:r>
          </w:p>
        </w:tc>
      </w:tr>
      <w:tr>
        <w:trPr>
          <w:trHeight w:val="182"/>
        </w:trPr>
        <w:tc>
          <w:tcPr>
            <w:tcW w:w="2700" w:type="dxa"/>
            <w:vAlign w:val="bottom"/>
          </w:tcPr>
          <w:p>
            <w:pPr>
              <w:spacing w:after="0"/>
              <w:rPr>
                <w:sz w:val="15"/>
                <w:szCs w:val="15"/>
                <w:color w:val="auto"/>
              </w:rPr>
            </w:pPr>
          </w:p>
        </w:tc>
        <w:tc>
          <w:tcPr>
            <w:tcW w:w="5540" w:type="dxa"/>
            <w:vAlign w:val="bottom"/>
          </w:tcPr>
          <w:p>
            <w:pPr>
              <w:jc w:val="center"/>
              <w:ind w:right="2468"/>
              <w:spacing w:after="0"/>
              <w:rPr>
                <w:sz w:val="20"/>
                <w:szCs w:val="20"/>
                <w:color w:val="auto"/>
              </w:rPr>
            </w:pPr>
            <w:r>
              <w:rPr>
                <w:rFonts w:ascii="Arial" w:cs="Arial" w:eastAsia="Arial" w:hAnsi="Arial"/>
                <w:sz w:val="14"/>
                <w:szCs w:val="14"/>
                <w:color w:val="auto"/>
                <w:w w:val="93"/>
              </w:rPr>
              <w:t>including area code, of agent for service)</w:t>
            </w:r>
          </w:p>
        </w:tc>
      </w:tr>
      <w:tr>
        <w:trPr>
          <w:trHeight w:val="189"/>
        </w:trPr>
        <w:tc>
          <w:tcPr>
            <w:tcW w:w="2700" w:type="dxa"/>
            <w:vAlign w:val="bottom"/>
          </w:tcPr>
          <w:p>
            <w:pPr>
              <w:spacing w:after="0"/>
              <w:rPr>
                <w:sz w:val="16"/>
                <w:szCs w:val="16"/>
                <w:color w:val="auto"/>
              </w:rPr>
            </w:pPr>
          </w:p>
        </w:tc>
        <w:tc>
          <w:tcPr>
            <w:tcW w:w="5540" w:type="dxa"/>
            <w:vAlign w:val="bottom"/>
          </w:tcPr>
          <w:p>
            <w:pPr>
              <w:jc w:val="center"/>
              <w:ind w:right="2448"/>
              <w:spacing w:after="0"/>
              <w:rPr>
                <w:sz w:val="20"/>
                <w:szCs w:val="20"/>
                <w:color w:val="auto"/>
              </w:rPr>
            </w:pPr>
            <w:r>
              <w:rPr>
                <w:rFonts w:ascii="Arial" w:cs="Arial" w:eastAsia="Arial" w:hAnsi="Arial"/>
                <w:sz w:val="14"/>
                <w:szCs w:val="14"/>
                <w:b w:val="1"/>
                <w:bCs w:val="1"/>
                <w:color w:val="auto"/>
                <w:w w:val="90"/>
              </w:rPr>
              <w:t>Copies to:</w:t>
            </w:r>
          </w:p>
        </w:tc>
      </w:tr>
      <w:tr>
        <w:trPr>
          <w:trHeight w:val="155"/>
        </w:trPr>
        <w:tc>
          <w:tcPr>
            <w:tcW w:w="2700" w:type="dxa"/>
            <w:vAlign w:val="bottom"/>
          </w:tcPr>
          <w:p>
            <w:pPr>
              <w:spacing w:after="0"/>
              <w:rPr>
                <w:sz w:val="13"/>
                <w:szCs w:val="13"/>
                <w:color w:val="auto"/>
              </w:rPr>
            </w:pPr>
          </w:p>
        </w:tc>
        <w:tc>
          <w:tcPr>
            <w:tcW w:w="5540" w:type="dxa"/>
            <w:vAlign w:val="bottom"/>
          </w:tcPr>
          <w:p>
            <w:pPr>
              <w:jc w:val="center"/>
              <w:ind w:right="2448"/>
              <w:spacing w:after="0" w:line="155" w:lineRule="exact"/>
              <w:rPr>
                <w:sz w:val="20"/>
                <w:szCs w:val="20"/>
                <w:color w:val="auto"/>
              </w:rPr>
            </w:pPr>
            <w:r>
              <w:rPr>
                <w:rFonts w:ascii="Arial" w:cs="Arial" w:eastAsia="Arial" w:hAnsi="Arial"/>
                <w:sz w:val="14"/>
                <w:szCs w:val="14"/>
                <w:b w:val="1"/>
                <w:bCs w:val="1"/>
                <w:color w:val="auto"/>
                <w:w w:val="95"/>
              </w:rPr>
              <w:t>Michael Dunn, Esq.</w:t>
            </w:r>
          </w:p>
        </w:tc>
      </w:tr>
      <w:tr>
        <w:trPr>
          <w:trHeight w:val="148"/>
        </w:trPr>
        <w:tc>
          <w:tcPr>
            <w:tcW w:w="2700" w:type="dxa"/>
            <w:vAlign w:val="bottom"/>
          </w:tcPr>
          <w:p>
            <w:pPr>
              <w:spacing w:after="0"/>
              <w:rPr>
                <w:sz w:val="12"/>
                <w:szCs w:val="12"/>
                <w:color w:val="auto"/>
              </w:rPr>
            </w:pPr>
          </w:p>
        </w:tc>
        <w:tc>
          <w:tcPr>
            <w:tcW w:w="5540" w:type="dxa"/>
            <w:vAlign w:val="bottom"/>
          </w:tcPr>
          <w:p>
            <w:pPr>
              <w:jc w:val="center"/>
              <w:ind w:right="2448"/>
              <w:spacing w:after="0" w:line="149" w:lineRule="exact"/>
              <w:rPr>
                <w:sz w:val="20"/>
                <w:szCs w:val="20"/>
                <w:color w:val="auto"/>
              </w:rPr>
            </w:pPr>
            <w:r>
              <w:rPr>
                <w:rFonts w:ascii="Arial" w:cs="Arial" w:eastAsia="Arial" w:hAnsi="Arial"/>
                <w:sz w:val="14"/>
                <w:szCs w:val="14"/>
                <w:color w:val="auto"/>
                <w:w w:val="95"/>
              </w:rPr>
              <w:t>Seyfarth Shaw LLP</w:t>
            </w:r>
          </w:p>
        </w:tc>
      </w:tr>
      <w:tr>
        <w:trPr>
          <w:trHeight w:val="148"/>
        </w:trPr>
        <w:tc>
          <w:tcPr>
            <w:tcW w:w="2700" w:type="dxa"/>
            <w:vAlign w:val="bottom"/>
          </w:tcPr>
          <w:p>
            <w:pPr>
              <w:spacing w:after="0"/>
              <w:rPr>
                <w:sz w:val="12"/>
                <w:szCs w:val="12"/>
                <w:color w:val="auto"/>
              </w:rPr>
            </w:pPr>
          </w:p>
        </w:tc>
        <w:tc>
          <w:tcPr>
            <w:tcW w:w="5540" w:type="dxa"/>
            <w:vAlign w:val="bottom"/>
          </w:tcPr>
          <w:p>
            <w:pPr>
              <w:jc w:val="center"/>
              <w:ind w:right="2448"/>
              <w:spacing w:after="0" w:line="149" w:lineRule="exact"/>
              <w:rPr>
                <w:sz w:val="20"/>
                <w:szCs w:val="20"/>
                <w:color w:val="auto"/>
              </w:rPr>
            </w:pPr>
            <w:r>
              <w:rPr>
                <w:rFonts w:ascii="Arial" w:cs="Arial" w:eastAsia="Arial" w:hAnsi="Arial"/>
                <w:sz w:val="14"/>
                <w:szCs w:val="14"/>
                <w:color w:val="auto"/>
                <w:w w:val="94"/>
              </w:rPr>
              <w:t>700 Milam Street, Suite 1400</w:t>
            </w:r>
          </w:p>
        </w:tc>
      </w:tr>
      <w:tr>
        <w:trPr>
          <w:trHeight w:val="148"/>
        </w:trPr>
        <w:tc>
          <w:tcPr>
            <w:tcW w:w="2700" w:type="dxa"/>
            <w:vAlign w:val="bottom"/>
          </w:tcPr>
          <w:p>
            <w:pPr>
              <w:spacing w:after="0"/>
              <w:rPr>
                <w:sz w:val="12"/>
                <w:szCs w:val="12"/>
                <w:color w:val="auto"/>
              </w:rPr>
            </w:pPr>
          </w:p>
        </w:tc>
        <w:tc>
          <w:tcPr>
            <w:tcW w:w="5540" w:type="dxa"/>
            <w:vAlign w:val="bottom"/>
          </w:tcPr>
          <w:p>
            <w:pPr>
              <w:jc w:val="center"/>
              <w:ind w:right="2448"/>
              <w:spacing w:after="0" w:line="149" w:lineRule="exact"/>
              <w:rPr>
                <w:sz w:val="20"/>
                <w:szCs w:val="20"/>
                <w:color w:val="auto"/>
              </w:rPr>
            </w:pPr>
            <w:r>
              <w:rPr>
                <w:rFonts w:ascii="Arial" w:cs="Arial" w:eastAsia="Arial" w:hAnsi="Arial"/>
                <w:sz w:val="14"/>
                <w:szCs w:val="14"/>
                <w:color w:val="auto"/>
                <w:w w:val="94"/>
              </w:rPr>
              <w:t>Houston, TX 77002</w:t>
            </w:r>
          </w:p>
        </w:tc>
      </w:tr>
      <w:tr>
        <w:trPr>
          <w:trHeight w:val="182"/>
        </w:trPr>
        <w:tc>
          <w:tcPr>
            <w:tcW w:w="2700" w:type="dxa"/>
            <w:vAlign w:val="bottom"/>
          </w:tcPr>
          <w:p>
            <w:pPr>
              <w:spacing w:after="0"/>
              <w:rPr>
                <w:sz w:val="15"/>
                <w:szCs w:val="15"/>
                <w:color w:val="auto"/>
              </w:rPr>
            </w:pPr>
          </w:p>
        </w:tc>
        <w:tc>
          <w:tcPr>
            <w:tcW w:w="5540" w:type="dxa"/>
            <w:vAlign w:val="bottom"/>
          </w:tcPr>
          <w:p>
            <w:pPr>
              <w:jc w:val="center"/>
              <w:ind w:right="2448"/>
              <w:spacing w:after="0"/>
              <w:rPr>
                <w:sz w:val="20"/>
                <w:szCs w:val="20"/>
                <w:color w:val="auto"/>
              </w:rPr>
            </w:pPr>
            <w:r>
              <w:rPr>
                <w:rFonts w:ascii="Arial" w:cs="Arial" w:eastAsia="Arial" w:hAnsi="Arial"/>
                <w:sz w:val="14"/>
                <w:szCs w:val="14"/>
                <w:color w:val="auto"/>
                <w:w w:val="93"/>
              </w:rPr>
              <w:t>(713) 238-1817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76200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26"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after this registration statement becomes effective.</w:t>
      </w:r>
    </w:p>
    <w:p>
      <w:pPr>
        <w:spacing w:after="0" w:line="4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w:t>
      </w:r>
    </w:p>
    <w:p>
      <w:pPr>
        <w:spacing w:after="0" w:line="42" w:lineRule="exact"/>
        <w:rPr>
          <w:sz w:val="24"/>
          <w:szCs w:val="24"/>
          <w:color w:val="auto"/>
        </w:rPr>
      </w:pPr>
    </w:p>
    <w:p>
      <w:pPr>
        <w:ind w:right="220" w:firstLine="324"/>
        <w:spacing w:after="0" w:line="271"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 w:lineRule="exact"/>
        <w:rPr>
          <w:sz w:val="24"/>
          <w:szCs w:val="24"/>
          <w:color w:val="auto"/>
        </w:rPr>
      </w:pPr>
    </w:p>
    <w:p>
      <w:pPr>
        <w:ind w:right="460" w:firstLine="324"/>
        <w:spacing w:after="0" w:line="271"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right="380" w:firstLine="324"/>
        <w:spacing w:after="0" w:line="271" w:lineRule="auto"/>
        <w:rPr>
          <w:sz w:val="20"/>
          <w:szCs w:val="20"/>
          <w:color w:val="auto"/>
        </w:rPr>
      </w:pPr>
      <w:r>
        <w:rPr>
          <w:rFonts w:ascii="Arial" w:cs="Arial" w:eastAsia="Arial" w:hAnsi="Arial"/>
          <w:sz w:val="14"/>
          <w:szCs w:val="14"/>
          <w:color w:val="auto"/>
        </w:rPr>
        <w:t>If this form is a post-effective amendment filed pursuant to Rule 462(c) under the Securities Act of 1933, check the following box and list the Securities Act registration number of the earlier effective registration statement for the same offering.</w:t>
      </w:r>
    </w:p>
    <w:p>
      <w:pPr>
        <w:spacing w:after="0" w:line="1" w:lineRule="exact"/>
        <w:rPr>
          <w:sz w:val="24"/>
          <w:szCs w:val="24"/>
          <w:color w:val="auto"/>
        </w:rPr>
      </w:pPr>
    </w:p>
    <w:p>
      <w:pPr>
        <w:ind w:right="200" w:firstLine="324"/>
        <w:spacing w:after="0" w:line="271"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of 1933, check the following box.</w:t>
      </w:r>
    </w:p>
    <w:p>
      <w:pPr>
        <w:spacing w:after="0" w:line="1" w:lineRule="exact"/>
        <w:rPr>
          <w:sz w:val="24"/>
          <w:szCs w:val="24"/>
          <w:color w:val="auto"/>
        </w:rPr>
      </w:pPr>
    </w:p>
    <w:p>
      <w:pPr>
        <w:ind w:right="500" w:firstLine="324"/>
        <w:spacing w:after="0" w:line="27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of 1933, check the following box.</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220" w:type="dxa"/>
            <w:vAlign w:val="bottom"/>
          </w:tcPr>
          <w:p>
            <w:pPr>
              <w:ind w:left="2740"/>
              <w:spacing w:after="0"/>
              <w:rPr>
                <w:sz w:val="20"/>
                <w:szCs w:val="20"/>
                <w:color w:val="auto"/>
              </w:rPr>
            </w:pPr>
            <w:r>
              <w:rPr>
                <w:rFonts w:ascii="Arial" w:cs="Arial" w:eastAsia="Arial" w:hAnsi="Arial"/>
                <w:sz w:val="14"/>
                <w:szCs w:val="14"/>
                <w:color w:val="auto"/>
              </w:rPr>
              <w:t>Accelerated filer</w:t>
            </w:r>
          </w:p>
        </w:tc>
      </w:tr>
      <w:tr>
        <w:trPr>
          <w:trHeight w:val="250"/>
        </w:trPr>
        <w:tc>
          <w:tcPr>
            <w:tcW w:w="4020" w:type="dxa"/>
            <w:vAlign w:val="bottom"/>
          </w:tcPr>
          <w:p>
            <w:pPr>
              <w:spacing w:after="0"/>
              <w:rPr>
                <w:sz w:val="20"/>
                <w:szCs w:val="20"/>
                <w:color w:val="auto"/>
              </w:rPr>
            </w:pPr>
            <w:r>
              <w:rPr>
                <w:rFonts w:ascii="Arial" w:cs="Arial" w:eastAsia="Arial" w:hAnsi="Arial"/>
                <w:sz w:val="14"/>
                <w:szCs w:val="14"/>
                <w:color w:val="auto"/>
              </w:rPr>
              <w:t>Non-accelerated filer</w:t>
            </w:r>
          </w:p>
        </w:tc>
        <w:tc>
          <w:tcPr>
            <w:tcW w:w="7220" w:type="dxa"/>
            <w:vAlign w:val="bottom"/>
          </w:tcPr>
          <w:p>
            <w:pPr>
              <w:ind w:left="2740"/>
              <w:spacing w:after="0"/>
              <w:rPr>
                <w:sz w:val="20"/>
                <w:szCs w:val="20"/>
                <w:color w:val="auto"/>
              </w:rPr>
            </w:pPr>
            <w:r>
              <w:rPr>
                <w:rFonts w:ascii="Arial" w:cs="Arial" w:eastAsia="Arial" w:hAnsi="Arial"/>
                <w:sz w:val="14"/>
                <w:szCs w:val="14"/>
                <w:color w:val="auto"/>
              </w:rPr>
              <w:t>Smaller reporting company</w:t>
            </w:r>
          </w:p>
        </w:tc>
      </w:tr>
      <w:tr>
        <w:trPr>
          <w:trHeight w:val="182"/>
        </w:trPr>
        <w:tc>
          <w:tcPr>
            <w:tcW w:w="4020" w:type="dxa"/>
            <w:vAlign w:val="bottom"/>
          </w:tcPr>
          <w:p>
            <w:pPr>
              <w:spacing w:after="0"/>
              <w:rPr>
                <w:sz w:val="15"/>
                <w:szCs w:val="15"/>
                <w:color w:val="auto"/>
              </w:rPr>
            </w:pPr>
          </w:p>
        </w:tc>
        <w:tc>
          <w:tcPr>
            <w:tcW w:w="7220" w:type="dxa"/>
            <w:vAlign w:val="bottom"/>
          </w:tcPr>
          <w:p>
            <w:pPr>
              <w:ind w:left="2780"/>
              <w:spacing w:after="0"/>
              <w:rPr>
                <w:sz w:val="20"/>
                <w:szCs w:val="20"/>
                <w:color w:val="auto"/>
              </w:rPr>
            </w:pPr>
            <w:r>
              <w:rPr>
                <w:rFonts w:ascii="Arial" w:cs="Arial" w:eastAsia="Arial" w:hAnsi="Arial"/>
                <w:sz w:val="14"/>
                <w:szCs w:val="14"/>
                <w:color w:val="auto"/>
              </w:rPr>
              <w:t>Emerging growth company</w:t>
            </w:r>
          </w:p>
        </w:tc>
      </w:tr>
      <w:tr>
        <w:trPr>
          <w:trHeight w:val="559"/>
        </w:trPr>
        <w:tc>
          <w:tcPr>
            <w:tcW w:w="40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94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c>
          <w:tcPr>
            <w:tcW w:w="23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 of</w:t>
            </w:r>
          </w:p>
        </w:tc>
        <w:tc>
          <w:tcPr>
            <w:tcW w:w="208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4"/>
              </w:rPr>
              <w:t>Amount to</w:t>
            </w:r>
          </w:p>
        </w:tc>
        <w:tc>
          <w:tcPr>
            <w:tcW w:w="194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9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2320" w:type="dxa"/>
            <w:vAlign w:val="bottom"/>
            <w:vMerge w:val="restart"/>
          </w:tcPr>
          <w:p>
            <w:pPr>
              <w:jc w:val="center"/>
              <w:ind w:right="34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294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 Per</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2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Securities to Be Registered</w:t>
            </w:r>
          </w:p>
        </w:tc>
        <w:tc>
          <w:tcPr>
            <w:tcW w:w="20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87"/>
              </w:rPr>
              <w:t xml:space="preserve">Be Registered </w:t>
            </w:r>
            <w:r>
              <w:rPr>
                <w:rFonts w:ascii="Arial" w:cs="Arial" w:eastAsia="Arial" w:hAnsi="Arial"/>
                <w:sz w:val="14"/>
                <w:szCs w:val="14"/>
                <w:color w:val="auto"/>
                <w:w w:val="87"/>
                <w:vertAlign w:val="superscript"/>
              </w:rPr>
              <w:t>(1)</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Security</w:t>
            </w:r>
            <w:r>
              <w:rPr>
                <w:rFonts w:ascii="Arial" w:cs="Arial" w:eastAsia="Arial" w:hAnsi="Arial"/>
                <w:sz w:val="14"/>
                <w:szCs w:val="14"/>
                <w:color w:val="auto"/>
                <w:w w:val="87"/>
                <w:vertAlign w:val="superscript"/>
              </w:rPr>
              <w:t>(2)(3)</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r>
              <w:rPr>
                <w:rFonts w:ascii="Arial" w:cs="Arial" w:eastAsia="Arial" w:hAnsi="Arial"/>
                <w:sz w:val="14"/>
                <w:szCs w:val="14"/>
                <w:color w:val="auto"/>
                <w:w w:val="90"/>
                <w:vertAlign w:val="superscript"/>
              </w:rPr>
              <w:t>(2)(3)</w:t>
            </w:r>
          </w:p>
        </w:tc>
        <w:tc>
          <w:tcPr>
            <w:tcW w:w="232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87"/>
              </w:rPr>
              <w:t>Registration Fee</w:t>
            </w:r>
            <w:r>
              <w:rPr>
                <w:rFonts w:ascii="Arial" w:cs="Arial" w:eastAsia="Arial" w:hAnsi="Arial"/>
                <w:sz w:val="14"/>
                <w:szCs w:val="14"/>
                <w:color w:val="auto"/>
                <w:w w:val="87"/>
                <w:vertAlign w:val="superscript"/>
              </w:rPr>
              <w:t>(2)(3)</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6"/>
                <w:szCs w:val="6"/>
                <w:color w:val="auto"/>
              </w:rPr>
              <w:t>(1)(2)</w:t>
            </w:r>
            <w:r>
              <w:rPr>
                <w:rFonts w:ascii="Arial" w:cs="Arial" w:eastAsia="Arial" w:hAnsi="Arial"/>
                <w:sz w:val="14"/>
                <w:szCs w:val="14"/>
                <w:color w:val="auto"/>
              </w:rPr>
              <w:t>:</w:t>
            </w:r>
          </w:p>
        </w:tc>
        <w:tc>
          <w:tcPr>
            <w:tcW w:w="2080" w:type="dxa"/>
            <w:vAlign w:val="bottom"/>
            <w:vMerge w:val="restart"/>
          </w:tcPr>
          <w:p>
            <w:pPr>
              <w:jc w:val="center"/>
              <w:ind w:left="308"/>
              <w:spacing w:after="0"/>
              <w:rPr>
                <w:sz w:val="20"/>
                <w:szCs w:val="20"/>
                <w:color w:val="auto"/>
              </w:rPr>
            </w:pPr>
            <w:r>
              <w:rPr>
                <w:rFonts w:ascii="Arial" w:cs="Arial" w:eastAsia="Arial" w:hAnsi="Arial"/>
                <w:sz w:val="14"/>
                <w:szCs w:val="14"/>
                <w:color w:val="auto"/>
                <w:w w:val="93"/>
              </w:rPr>
              <w:t>7,246,378</w:t>
            </w: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w w:val="91"/>
              </w:rPr>
              <w:t>$2.48</w:t>
            </w:r>
          </w:p>
        </w:tc>
        <w:tc>
          <w:tcPr>
            <w:tcW w:w="1960" w:type="dxa"/>
            <w:vAlign w:val="bottom"/>
            <w:vMerge w:val="restart"/>
          </w:tcPr>
          <w:p>
            <w:pPr>
              <w:jc w:val="center"/>
              <w:spacing w:after="0"/>
              <w:rPr>
                <w:sz w:val="20"/>
                <w:szCs w:val="20"/>
                <w:color w:val="auto"/>
              </w:rPr>
            </w:pPr>
            <w:r>
              <w:rPr>
                <w:rFonts w:ascii="Arial" w:cs="Arial" w:eastAsia="Arial" w:hAnsi="Arial"/>
                <w:sz w:val="14"/>
                <w:szCs w:val="14"/>
                <w:color w:val="auto"/>
                <w:w w:val="92"/>
              </w:rPr>
              <w:t>$17,971,017.44</w:t>
            </w:r>
          </w:p>
        </w:tc>
        <w:tc>
          <w:tcPr>
            <w:tcW w:w="2320" w:type="dxa"/>
            <w:vAlign w:val="bottom"/>
            <w:vMerge w:val="restart"/>
          </w:tcPr>
          <w:p>
            <w:pPr>
              <w:jc w:val="center"/>
              <w:ind w:right="348"/>
              <w:spacing w:after="0"/>
              <w:rPr>
                <w:sz w:val="20"/>
                <w:szCs w:val="20"/>
                <w:color w:val="auto"/>
              </w:rPr>
            </w:pPr>
            <w:r>
              <w:rPr>
                <w:rFonts w:ascii="Arial" w:cs="Arial" w:eastAsia="Arial" w:hAnsi="Arial"/>
                <w:sz w:val="14"/>
                <w:szCs w:val="14"/>
                <w:color w:val="auto"/>
                <w:w w:val="93"/>
              </w:rPr>
              <w:t>$1,960.64</w:t>
            </w:r>
          </w:p>
        </w:tc>
        <w:tc>
          <w:tcPr>
            <w:tcW w:w="0" w:type="dxa"/>
            <w:vAlign w:val="bottom"/>
          </w:tcPr>
          <w:p>
            <w:pPr>
              <w:spacing w:after="0"/>
              <w:rPr>
                <w:sz w:val="1"/>
                <w:szCs w:val="1"/>
                <w:color w:val="auto"/>
              </w:rPr>
            </w:pPr>
          </w:p>
        </w:tc>
      </w:tr>
      <w:tr>
        <w:trPr>
          <w:trHeight w:val="34"/>
        </w:trPr>
        <w:tc>
          <w:tcPr>
            <w:tcW w:w="29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vMerge w:val="continue"/>
          </w:tcPr>
          <w:p>
            <w:pPr>
              <w:spacing w:after="0"/>
              <w:rPr>
                <w:sz w:val="2"/>
                <w:szCs w:val="2"/>
                <w:color w:val="auto"/>
              </w:rPr>
            </w:pPr>
          </w:p>
        </w:tc>
        <w:tc>
          <w:tcPr>
            <w:tcW w:w="1940" w:type="dxa"/>
            <w:vAlign w:val="bottom"/>
            <w:tcBorders>
              <w:bottom w:val="single" w:sz="8" w:color="auto"/>
            </w:tcBorders>
            <w:vMerge w:val="continue"/>
          </w:tcPr>
          <w:p>
            <w:pPr>
              <w:spacing w:after="0"/>
              <w:rPr>
                <w:sz w:val="2"/>
                <w:szCs w:val="2"/>
                <w:color w:val="auto"/>
              </w:rPr>
            </w:pPr>
          </w:p>
        </w:tc>
        <w:tc>
          <w:tcPr>
            <w:tcW w:w="1960" w:type="dxa"/>
            <w:vAlign w:val="bottom"/>
            <w:tcBorders>
              <w:bottom w:val="single" w:sz="8" w:color="auto"/>
            </w:tcBorders>
            <w:vMerge w:val="continue"/>
          </w:tcPr>
          <w:p>
            <w:pPr>
              <w:spacing w:after="0"/>
              <w:rPr>
                <w:sz w:val="2"/>
                <w:szCs w:val="2"/>
                <w:color w:val="auto"/>
              </w:rPr>
            </w:pPr>
          </w:p>
        </w:tc>
        <w:tc>
          <w:tcPr>
            <w:tcW w:w="23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right="60" w:hanging="352"/>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Registration Statement registers the resale of 3,623,189 issued and outstanding shares of common stock of ClearOne, Inc. (the “Company”) and up to 3,623,189 additional shares of common stock of the Company issuable upon exercise of issued and outstanding warrants issued on September 15, 2021 in a private placement exemption from registration pursuant to Section 4(a)(2) of the Securities Act and Rule 506 promulgated thereunder. This Registration Statement also relates to such additional securities (i) to be offered or issued in connection with any provision of any securities purported to be registered hereby to be offered pursuant to terms which provide for a change in the amount of securities being offered or issued to prevent dilution resulting from stock splits, stock dividends, or similar transactions and (ii) of the same class as the securities covered by this Registration Statement issued or issuable prior to completion of the distribution of the securities covered by this Registration Statement as a result of a split of, or a stock dividend on, the registered securities.</w:t>
      </w:r>
    </w:p>
    <w:p>
      <w:pPr>
        <w:ind w:left="360" w:hanging="352"/>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U.S. dollars or the equivalent thereof denominated in one or more foreign currencies or units of two or more foreign currencies or composite currencies.</w:t>
      </w:r>
    </w:p>
    <w:p>
      <w:pPr>
        <w:spacing w:after="0" w:line="56" w:lineRule="exact"/>
        <w:rPr>
          <w:rFonts w:ascii="Arial" w:cs="Arial" w:eastAsia="Arial" w:hAnsi="Arial"/>
          <w:sz w:val="14"/>
          <w:szCs w:val="14"/>
          <w:color w:val="auto"/>
        </w:rPr>
      </w:pPr>
    </w:p>
    <w:p>
      <w:pPr>
        <w:ind w:left="360" w:right="20" w:hanging="352"/>
        <w:spacing w:after="0" w:line="253"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457(c) under the Securities Act. The price per share and aggregate offering price are based on the average of the high and low sales prices of the common stock on September 17, 2021, as reported on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27940</wp:posOffset>
            </wp:positionV>
            <wp:extent cx="699516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171450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hereby amend this registration statement (the “Registration Statement”) on such date or dates as may be necessary to delay its effective date until we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both"/>
        <w:ind w:left="80" w:right="80"/>
        <w:spacing w:after="0" w:line="314" w:lineRule="auto"/>
        <w:rPr>
          <w:sz w:val="20"/>
          <w:szCs w:val="20"/>
          <w:color w:val="auto"/>
        </w:rPr>
      </w:pPr>
      <w:r>
        <w:rPr>
          <w:rFonts w:ascii="Arial" w:cs="Arial" w:eastAsia="Arial" w:hAnsi="Arial"/>
          <w:sz w:val="16"/>
          <w:szCs w:val="16"/>
          <w:b w:val="1"/>
          <w:bCs w:val="1"/>
          <w:color w:val="F93F26"/>
        </w:rPr>
        <w:drawing>
          <wp:anchor simplePos="0" relativeHeight="251657728" behindDoc="1" locked="0" layoutInCell="0" allowOverlap="1">
            <wp:simplePos x="0" y="0"/>
            <wp:positionH relativeFrom="page">
              <wp:posOffset>206375</wp:posOffset>
            </wp:positionH>
            <wp:positionV relativeFrom="page">
              <wp:posOffset>361315</wp:posOffset>
            </wp:positionV>
            <wp:extent cx="7136130" cy="509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9905"/>
                    </a:xfrm>
                    <a:prstGeom prst="rect">
                      <a:avLst/>
                    </a:prstGeom>
                    <a:noFill/>
                  </pic:spPr>
                </pic:pic>
              </a:graphicData>
            </a:graphic>
          </wp:anchor>
        </w:drawing>
        <w:t>The information contained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is not a solicitation of offers to buy these securities in any jurisdiction where such offer or sale is not permitted.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Subject to Completion, Dated September 24,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7,246,378 Shares of Common Stock</w:t>
      </w:r>
    </w:p>
    <w:p>
      <w:pPr>
        <w:spacing w:after="0" w:line="211"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This prospectus relates to the possible resale, from time to time, by the selling stockholders identified in this prospectus of up to 7,246,378 shares of our common stock, par value $0.001 per share, initially issued in a private placement transaction. 3,623,189 of the shares offered by this prospectus are issuable upon exercise of outstanding common stock warrants with an initial exercise price of $2.64 per share.</w:t>
      </w:r>
    </w:p>
    <w:p>
      <w:pPr>
        <w:spacing w:after="0" w:line="16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The selling stockholders may offer the shares from time to time as such selling stockholders may determine through public or private transactions or through other means described in the section entitled “Plan of Distribution” or a supplement to this prospectus. The selling stockholders also may sell shares under Rule 144 under the Securities Act of 1933, as amended, if available, rather than under this prospectus.</w:t>
      </w:r>
    </w:p>
    <w:p>
      <w:pPr>
        <w:spacing w:after="0" w:line="165"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8"/>
          <w:szCs w:val="18"/>
          <w:color w:val="auto"/>
        </w:rPr>
        <w:t>The registration of these shares does not necessarily mean that the selling stockholders will sell any of their shares or exercise their warrants. We are not offering for sale any shares of our common stock pursuant to this prospectus. We will not receive any cash proceeds from the sale of any of our shares of common stock by the selling stockholder, but we have agreed to pay certain registration expenses.</w:t>
      </w:r>
    </w:p>
    <w:p>
      <w:pPr>
        <w:spacing w:after="0" w:line="18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“CLRO.” The closing price of our common stock as reported on The NASDAQ Capital Market on September 23, 2021 was $2.45 per share.</w:t>
      </w:r>
    </w:p>
    <w:p>
      <w:pPr>
        <w:spacing w:after="0" w:line="166" w:lineRule="exact"/>
        <w:rPr>
          <w:sz w:val="20"/>
          <w:szCs w:val="20"/>
          <w:color w:val="auto"/>
        </w:rPr>
      </w:pPr>
    </w:p>
    <w:p>
      <w:pPr>
        <w:ind w:right="20" w:firstLine="432"/>
        <w:spacing w:after="0" w:line="266" w:lineRule="auto"/>
        <w:rPr>
          <w:sz w:val="20"/>
          <w:szCs w:val="20"/>
          <w:color w:val="auto"/>
        </w:rPr>
      </w:pPr>
      <w:r>
        <w:rPr>
          <w:rFonts w:ascii="Arial" w:cs="Arial" w:eastAsia="Arial" w:hAnsi="Arial"/>
          <w:sz w:val="18"/>
          <w:szCs w:val="18"/>
          <w:b w:val="1"/>
          <w:bCs w:val="1"/>
          <w:color w:val="auto"/>
        </w:rPr>
        <w:t>You should carefully read and consider the risk factors beginning on page 4 of this prospectus and under Part I, Item 1A contained in our most recent Annual Report on Form 10-K for risks relating to investments in our securities, as such risk factors may be supplemented or amended from time to time under Part II, Item 1A of our Quarterly Reports on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Our mailing address and telephone number 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5225 Wiley Post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Salt Lake City, Utah 84116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(801) 975-7200</w:t>
      </w:r>
    </w:p>
    <w:p>
      <w:pPr>
        <w:spacing w:after="0" w:line="207" w:lineRule="exact"/>
        <w:rPr>
          <w:sz w:val="20"/>
          <w:szCs w:val="20"/>
          <w:color w:val="auto"/>
        </w:rPr>
      </w:pPr>
    </w:p>
    <w:p>
      <w:pPr>
        <w:ind w:right="380" w:firstLine="432"/>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completeness of this prospectus. Any representation to the contrary is a criminal offense.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3980"/>
              <w:spacing w:after="0"/>
              <w:rPr>
                <w:sz w:val="20"/>
                <w:szCs w:val="20"/>
                <w:color w:val="auto"/>
              </w:rPr>
            </w:pPr>
            <w:r>
              <w:rPr>
                <w:rFonts w:ascii="Arial" w:cs="Arial" w:eastAsia="Arial" w:hAnsi="Arial"/>
                <w:sz w:val="18"/>
                <w:szCs w:val="18"/>
                <w:color w:val="auto"/>
              </w:rPr>
              <w:t>The date of this prospectus is</w:t>
            </w:r>
          </w:p>
        </w:tc>
        <w:tc>
          <w:tcPr>
            <w:tcW w:w="4780" w:type="dxa"/>
            <w:vAlign w:val="bottom"/>
          </w:tcPr>
          <w:p>
            <w:pPr>
              <w:jc w:val="right"/>
              <w:ind w:right="3890"/>
              <w:spacing w:after="0"/>
              <w:rPr>
                <w:sz w:val="20"/>
                <w:szCs w:val="20"/>
                <w:color w:val="auto"/>
              </w:rPr>
            </w:pPr>
            <w:r>
              <w:rPr>
                <w:rFonts w:ascii="Arial" w:cs="Arial" w:eastAsia="Arial" w:hAnsi="Arial"/>
                <w:sz w:val="18"/>
                <w:szCs w:val="18"/>
                <w:color w:val="auto"/>
              </w:rPr>
              <w:t>, 2021</w:t>
            </w:r>
          </w:p>
        </w:tc>
      </w:tr>
      <w:tr>
        <w:trPr>
          <w:trHeight w:val="723"/>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considering any decision regarding an investment in the shares which are the subject of this prospectus, you should rely only upon the information contained in this prospectus and the information that we incorporate by reference into this prospectus. We have not authorized any persons to provide you with information which is different from the information contained in this prospectus or the information that we incorporate by reference into this prospectus. We take no responsibility for and can provide no assurances as to the reliability of, any other information that you may obtain from other sources. The information contained in this prospectus is accurate only as of the date on the front cover of this prospectus. Any and all information that we incorporate by reference is accurate only as of the date of the referenced document so incorporated.</w:t>
      </w:r>
    </w:p>
    <w:p>
      <w:pPr>
        <w:spacing w:after="0" w:line="178"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This prospectus is an offer to sell only the securities that are offered hereby, and only where it is lawful to do so. This prospectus does not offer to sell, or ask for offers to buy, any shares of our common stock in any state or jurisdiction (within or outside the United States) where it would not be lawful or where the person making the offer is not qualified to do so.</w:t>
      </w:r>
    </w:p>
    <w:p>
      <w:pPr>
        <w:spacing w:after="0" w:line="184"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Please carefully read both this entire prospectus together with all information that we incorporate by reference. See the section of this prospectus under the caption: "Incorporation of Certain Information by Reference."</w:t>
      </w:r>
    </w:p>
    <w:p>
      <w:pPr>
        <w:spacing w:after="0" w:line="18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to "ClearOne," "CLRO," "the Company," "we," "us," "our," and similar references refer to ClearOne, Inc. and its subsidiaries.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This prospectus and the documents we incorporate by reference into this prospectus may contain forward-looking statements within the meaning of Section 27A of the Securities Act of 1933, as amended (the “Securities Act”), and Section 21E of the Securities Exchange Act of 1934, as amended (the “Exchange Act”), about the Company and its subsidiaries. We intend the coverage of our forward-looking statements to be within the safe harbor provisions of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form of these terms or comparable qualifying words. The basis for our forward-looking statements includes our current expectations and a number of known and unknown risks and uncertainties that could cause actual outcomes to differ materially from our forward-looking statements. We caution readers not to place undue reliance on our forward-looking statements. In light of inherent uncertainties in forward-looking statements, the reader should not interpret inclusion of these statements as any representation by us or any other person that we will achieve or accomplish any of the matters expressed within the scope of any of our forward-looking statements. We assume no obligation to publicly update or revise our forward-looking statements or to advise of any changes regarding the basis of our assumptions and other factors relating to the forward-looking statements.</w:t>
      </w:r>
    </w:p>
    <w:p>
      <w:pPr>
        <w:spacing w:after="0" w:line="179"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For further information on factors which could impact us and the statements contained herein, see the “Risk Factors” under Part I, Item 1A in our most recent Annual Report on Form 10-K for risks relating to investments in our securities, as such risk factors may be supplemented or amended from time to time under Part II, Item 1A of our Quarterly Reports on Form 10-Q. We assume no obligation to update and supplement forward-looking statements that become untrue because of subsequent events, new information or otherwise.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 xml:space="preserve">We are an SEC reporting company and file annual, quarterly and current reports, proxy statements and other information with the SEC. We have filed with the SEC a registration statement on Form S-3 under the Securities Act, with respect to the Common Stock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complete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Please call the SEC at 1-800-SEC-0330 for more information about the operation of the Public Reference Room. The SEC maintains an Internet site that contains reports, proxy and information statements, and other information regarding issuers that file electronically with the SEC. The SEC's Internet site can be found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You can also obtain copies of materials we file with the SEC from our Internet website found at </w:t>
      </w:r>
      <w:r>
        <w:rPr>
          <w:rFonts w:ascii="Arial" w:cs="Arial" w:eastAsia="Arial" w:hAnsi="Arial"/>
          <w:sz w:val="17"/>
          <w:szCs w:val="17"/>
          <w:i w:val="1"/>
          <w:iCs w:val="1"/>
          <w:color w:val="auto"/>
        </w:rPr>
        <w:t>http://www.clearone.com/</w:t>
      </w:r>
      <w:r>
        <w:rPr>
          <w:rFonts w:ascii="Arial" w:cs="Arial" w:eastAsia="Arial" w:hAnsi="Arial"/>
          <w:sz w:val="17"/>
          <w:szCs w:val="17"/>
          <w:color w:val="auto"/>
        </w:rPr>
        <w:t>. The information contained in our website is not a part of this prospectus.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The following documents are incorporated by reference into this prospectus:</w:t>
      </w:r>
    </w:p>
    <w:p>
      <w:pPr>
        <w:spacing w:after="0" w:line="206" w:lineRule="exact"/>
        <w:rPr>
          <w:sz w:val="20"/>
          <w:szCs w:val="20"/>
          <w:color w:val="auto"/>
        </w:rPr>
      </w:pPr>
    </w:p>
    <w:p>
      <w:pPr>
        <w:ind w:left="420" w:hanging="37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2020, as filed with the SEC on March 31, 2021;</w:t>
      </w:r>
    </w:p>
    <w:p>
      <w:pPr>
        <w:spacing w:after="0" w:line="63" w:lineRule="exact"/>
        <w:rPr>
          <w:rFonts w:ascii="Arial" w:cs="Arial" w:eastAsia="Arial" w:hAnsi="Arial"/>
          <w:sz w:val="18"/>
          <w:szCs w:val="18"/>
          <w:color w:val="auto"/>
        </w:rPr>
      </w:pPr>
    </w:p>
    <w:p>
      <w:pPr>
        <w:ind w:left="420" w:right="320" w:hanging="372"/>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2021 and June 30, 2021, as filed with the SEC on May 13, 2021 and August 10, 2021, respectively;</w:t>
      </w:r>
    </w:p>
    <w:p>
      <w:pPr>
        <w:spacing w:after="0" w:line="8" w:lineRule="exact"/>
        <w:rPr>
          <w:rFonts w:ascii="Arial" w:cs="Arial" w:eastAsia="Arial" w:hAnsi="Arial"/>
          <w:sz w:val="18"/>
          <w:szCs w:val="18"/>
          <w:color w:val="auto"/>
        </w:rPr>
      </w:pPr>
    </w:p>
    <w:p>
      <w:pPr>
        <w:ind w:left="420" w:right="100" w:hanging="372"/>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as filed with the SEC on January 5, 2021 (Item 5.07), June 3, 2021 (Item 8.01), July 9, 2021 (Items 1.01, 2.03 and 9.01), August 24, 2021 (Items 5.07 and 9.01), and September 13, 2021 (Items 1.01, 3.02 and 9.01);</w:t>
      </w:r>
    </w:p>
    <w:p>
      <w:pPr>
        <w:spacing w:after="0" w:line="8" w:lineRule="exact"/>
        <w:rPr>
          <w:rFonts w:ascii="Arial" w:cs="Arial" w:eastAsia="Arial" w:hAnsi="Arial"/>
          <w:sz w:val="18"/>
          <w:szCs w:val="18"/>
          <w:color w:val="auto"/>
        </w:rPr>
      </w:pPr>
    </w:p>
    <w:p>
      <w:pPr>
        <w:ind w:left="420" w:hanging="37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with the SEC on July 16, 2021; and</w:t>
      </w:r>
    </w:p>
    <w:p>
      <w:pPr>
        <w:spacing w:after="0" w:line="63" w:lineRule="exact"/>
        <w:rPr>
          <w:rFonts w:ascii="Arial" w:cs="Arial" w:eastAsia="Arial" w:hAnsi="Arial"/>
          <w:sz w:val="18"/>
          <w:szCs w:val="18"/>
          <w:color w:val="auto"/>
        </w:rPr>
      </w:pPr>
    </w:p>
    <w:p>
      <w:pPr>
        <w:ind w:left="420" w:hanging="372"/>
        <w:spacing w:after="0"/>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our common stock set forth in our definitive proxy statement on Schedule 14A as filed with the SEC on September 24, 2018.</w:t>
      </w:r>
    </w:p>
    <w:p>
      <w:pPr>
        <w:spacing w:after="0" w:line="291"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All documents subsequently filed by us (other than current reports furnished under Item 2.02 or Item 7.01 of Form 8-K and exhibits filed on such form that are related to such items unless such Form 8-K expressly provides to the contrary) with the SEC pursuant to Section 13(a), 13(c), 14 or 15(d) of the Securities Exchange Act of 1934, as amended,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are deemed to be incorporated by reference into this prospectus. Such future filings will become a part of this prospectus from the respective dates that such documents are filed with the SEC.</w:t>
      </w:r>
    </w:p>
    <w:p>
      <w:pPr>
        <w:spacing w:after="0" w:line="17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such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ind w:right="100" w:firstLine="432"/>
        <w:spacing w:after="0" w:line="301" w:lineRule="auto"/>
        <w:rPr>
          <w:sz w:val="20"/>
          <w:szCs w:val="20"/>
          <w:color w:val="auto"/>
        </w:rPr>
      </w:pPr>
      <w:r>
        <w:rPr>
          <w:rFonts w:ascii="Arial" w:cs="Arial" w:eastAsia="Arial" w:hAnsi="Arial"/>
          <w:sz w:val="16"/>
          <w:szCs w:val="16"/>
          <w:color w:val="auto"/>
        </w:rPr>
        <w:t xml:space="preserve">The documents incorporated by reference into this prospectus are also available on our corporate website at </w:t>
      </w:r>
      <w:r>
        <w:rPr>
          <w:rFonts w:ascii="Arial" w:cs="Arial" w:eastAsia="Arial" w:hAnsi="Arial"/>
          <w:sz w:val="16"/>
          <w:szCs w:val="16"/>
          <w:i w:val="1"/>
          <w:iCs w:val="1"/>
          <w:color w:val="auto"/>
        </w:rPr>
        <w:t>http://www.clearone.com</w:t>
      </w:r>
      <w:r>
        <w:rPr>
          <w:rFonts w:ascii="Arial" w:cs="Arial" w:eastAsia="Arial" w:hAnsi="Arial"/>
          <w:sz w:val="16"/>
          <w:szCs w:val="16"/>
          <w:color w:val="auto"/>
        </w:rPr>
        <w:t xml:space="preserve"> under the heading "Investor Relations." Information contained on, or that can be accessed through, our website is not part of this prospectus, and you should not consider information on our website to be part of this report unless specifically incorporated herein by reference You may obtain copies of any or all of the documents incorporated by reference in this prospectus from us free of charge by requesting them in writing or by telephone at the following address: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Salt Lake City, UT 84116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(801-975-7200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THE COMPANY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were incorporated in Utah in 1983 and reincorporated in Delaware on October 25, 2018. The Company is headquartered in Salt Lake City, Utah.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other locations in Gainesville, Florida; Austin, Texas; Zaragoza, Spain; Chennai, India; and Dubai, United Arab Emirates.</w:t>
      </w:r>
    </w:p>
    <w:p>
      <w:pPr>
        <w:spacing w:after="0" w:line="2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have been a global market leader enabling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comprehensive line of high-quality conferencing and collaboration products are targeted for large, medium and small businesses, as well as for personal use. We have been a global market leader in the installed professional audio conferencing market, where our products are used in numerous industries such as enterprise, healthcare, education, government, legal and finance.</w:t>
      </w:r>
    </w:p>
    <w:p>
      <w:pPr>
        <w:spacing w:after="0" w:line="18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 project design and support costs with our products designed and built to work with each other seamlessly.</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Additional information about the Company can be found in our periodic and current reports that we file with the SEC. See “Where You Can Find More Information” and “Incorporation of Certain Information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jc w:val="center"/>
        <w:ind w:left="42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An investment in our securities involves risks. We urge you to consider carefully the risks identified under “Item IA. Risk Factors” in our Annual Report on Form 10-K for the year ended December 31, 2020, filed with the SEC on March 31, 2021, which report is incorporated by reference in this prospectus, as such information may be amended, supplemented or superseded from time to time by other reports that we subsequently file with the SEC, as well as the additional risk factor set forth below.</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of Edward D. Bagley’s significant share ownership position in the Company, he is able to influence corporate matters.</w:t>
      </w:r>
    </w:p>
    <w:p>
      <w:pPr>
        <w:spacing w:after="0" w:line="14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Based solely on filings by Edward D. Bagley under Regulation 13D and Section 16 of the Exchange Act, Mr. Bagley beneficially owns approximately 37.4% of our outstanding shares of common stock. Pursuant to the Note Purchase Agreement, dated December 8, 2019, by and between Mr. Bagley and the Company, Mr. Bagley also has a security interest in substantially all of the assets of the Company as well as certain observer rights with respect to meetings of our board of directors. In addition, Mr. Bagley’s daughter, Lisa Higley, is a member of our board of directors. Based on Mr. Bagley’s significant share ownership, as well as his security interests in substantially all of our assets, Mr. Bagley will be able to significantly influence who serves on our board of directors and the outcome of matters required to be submitted to our stockholders for approval, including, without limitation, decisions relating to the outcome of any proposed merger or consolidation of our company and Mr. Bagley’s significant interest in us may discourage third parties from seeking to acquire control of us, which may adversely affect the market price of our common stock. In addition, based solely on filings by other members of Mr. Bagley’s family and their family trusts under Regulation 13D and Section 16 of the Exchange Act, such family members and their family trusts collectively beneficially own an additional 17.3% of our outstanding shares of common stock, however, Mr. Bagley asserts he does not have control over and disclaims beneficial ownership of such shares. Mr. Bagley’s interests and the interests of his family and their family trusts may not be consistent with those of our other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may suffer additional dilution as a result of future financing transactions.</w:t>
      </w:r>
    </w:p>
    <w:p>
      <w:pPr>
        <w:spacing w:after="0" w:line="15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we issue additional common stock, or securities convertible into or exchangeable or exercisable for common stock, our stockholders may experience additional dilution. We may not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issuance of additional common stock may negatively impact the trading price of our common stock.</w:t>
      </w:r>
    </w:p>
    <w:p>
      <w:pPr>
        <w:spacing w:after="0" w:line="15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have issued equity securities in the past, will issue equity securities in this offering and may continue to issue equity securities to finance our activities in the future. In addition, outstanding options and warrants to purchase our common stock may be exercised, outstanding secured convertible notes may be converted to shares of our common stock, and additional options and warrants may be issued, resulting in the issuance of additional shares of common stock. The issuance by us of additional shares of common stock would result in dilution to our stockholders, and even the perception that such an issuance may occur could have a negative impact on the trading price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is volatile, and the value of your investment could decline significantly.</w:t>
      </w:r>
    </w:p>
    <w:p>
      <w:pPr>
        <w:spacing w:after="0" w:line="14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continue the listing of our common stock on a national securities exchange, our ability or inability to raise the additional capital we may need and the terms on which we raise it, and general market and economic conditions, some of which are beyond our control. These broad market fluctuations may lower the market price of our common stock and affect the volume of trading in our stock.</w:t>
      </w:r>
    </w:p>
    <w:p>
      <w:pPr>
        <w:spacing w:after="0" w:line="1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stockholders will benefit from an investment in our stock only if it appreciates in value.</w:t>
      </w:r>
    </w:p>
    <w:p>
      <w:pPr>
        <w:spacing w:after="0" w:line="103"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We currently intend to retain all future earnings, if any, for use in the operations and expansion of the business. As a result, we do not anticipate paying cash dividends in the foreseeable future. 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business prospects, and the terms of our secured convertible notes and other financing arrangements. Accordingly, realization of a gain on stockholders’ investments will depend on the appreciation of the price of our stock. There is no guarantee that our stock will appreciate in value.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80" w:firstLine="432"/>
        <w:spacing w:after="0" w:line="342" w:lineRule="auto"/>
        <w:rPr>
          <w:sz w:val="20"/>
          <w:szCs w:val="20"/>
          <w:color w:val="auto"/>
        </w:rPr>
      </w:pPr>
      <w:r>
        <w:rPr>
          <w:rFonts w:ascii="Arial" w:cs="Arial" w:eastAsia="Arial" w:hAnsi="Arial"/>
          <w:sz w:val="16"/>
          <w:szCs w:val="16"/>
          <w:color w:val="auto"/>
        </w:rPr>
        <w:t>We will not receive any cash proceeds from the sale of shares of our common stock by the selling stockholders pursuant to this prospectus. The selling stockholders will bear any underwriting commissions and discounts attributable to their sales of shares of our common stock.</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On September 12, 2021, the Company entered into a Securities Purchase Agreement (the “Purchase Agreement”) with the selling stockholders identified in the table below (the “Selling Stockholders”) pursuant to which the Company issued and sold 3,623,189 shares (the “Primary Shares”) of the Company’s common stock, par value $0.001 per share (the “Common Stock”), and warrants (the “Warrants”) to purchase up to 3,623,189 (the “Warrant Shares”) shares of Common Stock (the “Offering”). The purchase price for one share of Common Stock and one Warrant was $2.76. The Primary Shares, Warrants and Warrant Shares were offered pursuant to the exemption provided in Section 4(a)(2) under the Securities Act, and Rule 506(b) promulgated thereunder. On September 15, 2021, the Company completed the issuance and sale of the Primary Shares and Warrants to the Selling Stockholders.</w:t>
      </w:r>
    </w:p>
    <w:p>
      <w:pPr>
        <w:spacing w:after="0" w:line="164" w:lineRule="exact"/>
        <w:rPr>
          <w:sz w:val="20"/>
          <w:szCs w:val="20"/>
          <w:color w:val="auto"/>
        </w:rPr>
      </w:pPr>
    </w:p>
    <w:p>
      <w:pPr>
        <w:ind w:right="240" w:firstLine="432"/>
        <w:spacing w:after="0" w:line="311" w:lineRule="auto"/>
        <w:rPr>
          <w:sz w:val="20"/>
          <w:szCs w:val="20"/>
          <w:color w:val="auto"/>
        </w:rPr>
      </w:pPr>
      <w:r>
        <w:rPr>
          <w:rFonts w:ascii="Arial" w:cs="Arial" w:eastAsia="Arial" w:hAnsi="Arial"/>
          <w:sz w:val="16"/>
          <w:szCs w:val="16"/>
          <w:color w:val="auto"/>
        </w:rPr>
        <w:t>The Warrants have an initial exercise price equal to $2.64, and will be exercisable until March 15, 2027. The Warrants must be exercised for cash, unless at the time of exercise there is not a then effective registration statement for the resale of the Warrant Shares, in which case the Warrants may be exercised via a cashless exercise feature that provides for net settlement of the shares of Common Stock issuable upon exercise.</w:t>
      </w:r>
    </w:p>
    <w:p>
      <w:pPr>
        <w:spacing w:after="0" w:line="189"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Common Stock being offered by the Selling Stockholders are those Primary Shares previously issued to the Selling Stockholders, and those Warrant Shares issuable to the Selling Stockholders, upon exercise of the Warrants. We are registering the Primary Shares and Warrant Shares in order to permit the Selling Stockholders to offer those shares of Common Stock for resale from time to time. Except for the ownership of the Primary Shares and the Warrants, the Selling Stockholders have not had any material relationship with us within the past three years.</w:t>
      </w:r>
    </w:p>
    <w:p>
      <w:pPr>
        <w:spacing w:after="0" w:line="198"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table below lists the Selling Stockholders and other information regarding the beneficial ownership of our shares of Common Stock by each of the Selling Stockholders. The second column lists the number of shares of our Common Stock beneficially owned by each Selling Stockholder, based on its ownership of the Primary Shares and Warrants, as of September 15, 2021, assuming exercise of the Warrants held by the Selling Stockholders on that date, without regard to any limitations on exercises. The third column lists the shares of Common Stock being offered by this prospectus by the Selling Stockholders consisting of the Primary Shares and the Warrant Shares.</w:t>
      </w:r>
    </w:p>
    <w:p>
      <w:pPr>
        <w:spacing w:after="0" w:line="22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accordance with the terms of a registration rights agreement with the Selling Stockholders, this prospectus generally covers the resale of the sum of (i) the number of Primary Shares issued to the Selling Stockholders in the Offering described above and (ii) the maximum number of Warrant Shares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Stockholders pursuant to this prospectus.</w:t>
      </w:r>
    </w:p>
    <w:p>
      <w:pPr>
        <w:spacing w:after="0" w:line="218" w:lineRule="exact"/>
        <w:rPr>
          <w:sz w:val="20"/>
          <w:szCs w:val="20"/>
          <w:color w:val="auto"/>
        </w:rPr>
      </w:pPr>
    </w:p>
    <w:p>
      <w:pPr>
        <w:ind w:right="220" w:firstLine="432"/>
        <w:spacing w:after="0" w:line="296" w:lineRule="auto"/>
        <w:rPr>
          <w:sz w:val="20"/>
          <w:szCs w:val="20"/>
          <w:color w:val="auto"/>
        </w:rPr>
      </w:pPr>
      <w:r>
        <w:rPr>
          <w:rFonts w:ascii="Arial" w:cs="Arial" w:eastAsia="Arial" w:hAnsi="Arial"/>
          <w:sz w:val="16"/>
          <w:szCs w:val="16"/>
          <w:color w:val="auto"/>
        </w:rPr>
        <w:t>Under the terms of the Warrants, a Selling Stockholder may not exercise any Warrants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Stockholders may sell all, some or none of their shares in this offering. See "Plan of Distribution."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line="30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Name and Address of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34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14"/>
          <w:szCs w:val="14"/>
          <w:color w:val="auto"/>
        </w:rPr>
        <w:t>Alpha Capital Anstalt</w:t>
      </w:r>
      <w:r>
        <w:rPr>
          <w:rFonts w:ascii="Arial" w:cs="Arial" w:eastAsia="Arial" w:hAnsi="Arial"/>
          <w:sz w:val="19"/>
          <w:szCs w:val="19"/>
          <w:color w:val="auto"/>
          <w:vertAlign w:val="superscript"/>
        </w:rPr>
        <w:t>(3)</w:t>
      </w:r>
    </w:p>
    <w:p>
      <w:pPr>
        <w:ind w:left="180"/>
        <w:spacing w:after="0" w:line="222" w:lineRule="auto"/>
        <w:rPr>
          <w:sz w:val="20"/>
          <w:szCs w:val="20"/>
          <w:color w:val="auto"/>
        </w:rPr>
      </w:pPr>
      <w:r>
        <w:rPr>
          <w:rFonts w:ascii="Arial" w:cs="Arial" w:eastAsia="Arial" w:hAnsi="Arial"/>
          <w:sz w:val="14"/>
          <w:szCs w:val="14"/>
          <w:color w:val="auto"/>
        </w:rPr>
        <w:t>Lettstrasse 32</w:t>
      </w:r>
    </w:p>
    <w:p>
      <w:pPr>
        <w:ind w:left="180"/>
        <w:spacing w:after="0" w:line="221" w:lineRule="auto"/>
        <w:rPr>
          <w:sz w:val="20"/>
          <w:szCs w:val="20"/>
          <w:color w:val="auto"/>
        </w:rPr>
      </w:pPr>
      <w:r>
        <w:rPr>
          <w:rFonts w:ascii="Arial" w:cs="Arial" w:eastAsia="Arial" w:hAnsi="Arial"/>
          <w:sz w:val="14"/>
          <w:szCs w:val="14"/>
          <w:color w:val="auto"/>
        </w:rPr>
        <w:t>9490 Vaduz</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Principality of Liechtenstein</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Armistice Capital Master Fund Ltd.</w:t>
      </w:r>
      <w:r>
        <w:rPr>
          <w:rFonts w:ascii="Arial" w:cs="Arial" w:eastAsia="Arial" w:hAnsi="Arial"/>
          <w:sz w:val="19"/>
          <w:szCs w:val="19"/>
          <w:color w:val="auto"/>
          <w:vertAlign w:val="superscript"/>
        </w:rPr>
        <w:t>(4)</w:t>
      </w:r>
    </w:p>
    <w:p>
      <w:pPr>
        <w:ind w:left="180"/>
        <w:spacing w:after="0" w:line="221" w:lineRule="auto"/>
        <w:rPr>
          <w:sz w:val="20"/>
          <w:szCs w:val="20"/>
          <w:color w:val="auto"/>
        </w:rPr>
      </w:pPr>
      <w:r>
        <w:rPr>
          <w:rFonts w:ascii="Arial" w:cs="Arial" w:eastAsia="Arial" w:hAnsi="Arial"/>
          <w:sz w:val="14"/>
          <w:szCs w:val="14"/>
          <w:color w:val="auto"/>
        </w:rPr>
        <w:t>c/o Armistice Capital, LLC</w:t>
      </w:r>
    </w:p>
    <w:p>
      <w:pPr>
        <w:ind w:left="180"/>
        <w:spacing w:after="0" w:line="221" w:lineRule="auto"/>
        <w:rPr>
          <w:sz w:val="20"/>
          <w:szCs w:val="20"/>
          <w:color w:val="auto"/>
        </w:rPr>
      </w:pPr>
      <w:r>
        <w:rPr>
          <w:rFonts w:ascii="Arial" w:cs="Arial" w:eastAsia="Arial" w:hAnsi="Arial"/>
          <w:sz w:val="14"/>
          <w:szCs w:val="14"/>
          <w:color w:val="auto"/>
        </w:rPr>
        <w:t>510 Madison Avenue, 7th Floor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New York, NY 10022</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Cavalry Fund I LP</w:t>
      </w:r>
      <w:r>
        <w:rPr>
          <w:rFonts w:ascii="Arial" w:cs="Arial" w:eastAsia="Arial" w:hAnsi="Arial"/>
          <w:sz w:val="19"/>
          <w:szCs w:val="19"/>
          <w:color w:val="auto"/>
          <w:vertAlign w:val="superscript"/>
        </w:rPr>
        <w:t>(5)</w:t>
      </w:r>
    </w:p>
    <w:p>
      <w:pPr>
        <w:ind w:left="180"/>
        <w:spacing w:after="0" w:line="221" w:lineRule="auto"/>
        <w:rPr>
          <w:sz w:val="20"/>
          <w:szCs w:val="20"/>
          <w:color w:val="auto"/>
        </w:rPr>
      </w:pPr>
      <w:r>
        <w:rPr>
          <w:rFonts w:ascii="Arial" w:cs="Arial" w:eastAsia="Arial" w:hAnsi="Arial"/>
          <w:sz w:val="14"/>
          <w:szCs w:val="14"/>
          <w:color w:val="auto"/>
        </w:rPr>
        <w:t>82 East Allendale Road, Suite 5B</w:t>
      </w:r>
    </w:p>
    <w:p>
      <w:pPr>
        <w:ind w:left="180"/>
        <w:spacing w:after="0"/>
        <w:rPr>
          <w:sz w:val="20"/>
          <w:szCs w:val="20"/>
          <w:color w:val="auto"/>
        </w:rPr>
      </w:pPr>
      <w:r>
        <w:rPr>
          <w:rFonts w:ascii="Arial" w:cs="Arial" w:eastAsia="Arial" w:hAnsi="Arial"/>
          <w:sz w:val="14"/>
          <w:szCs w:val="14"/>
          <w:color w:val="auto"/>
        </w:rPr>
        <w:t>Saddle River, NJ 07458</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Cavalry Special Ops Fund LLC</w:t>
      </w:r>
      <w:r>
        <w:rPr>
          <w:rFonts w:ascii="Arial" w:cs="Arial" w:eastAsia="Arial" w:hAnsi="Arial"/>
          <w:sz w:val="19"/>
          <w:szCs w:val="19"/>
          <w:color w:val="auto"/>
          <w:vertAlign w:val="superscript"/>
        </w:rPr>
        <w:t>(5)</w:t>
      </w:r>
    </w:p>
    <w:p>
      <w:pPr>
        <w:ind w:left="180"/>
        <w:spacing w:after="0" w:line="221" w:lineRule="auto"/>
        <w:rPr>
          <w:sz w:val="20"/>
          <w:szCs w:val="20"/>
          <w:color w:val="auto"/>
        </w:rPr>
      </w:pPr>
      <w:r>
        <w:rPr>
          <w:rFonts w:ascii="Arial" w:cs="Arial" w:eastAsia="Arial" w:hAnsi="Arial"/>
          <w:sz w:val="14"/>
          <w:szCs w:val="14"/>
          <w:color w:val="auto"/>
        </w:rPr>
        <w:t>82 East Allendale Road, Suite 5B</w:t>
      </w:r>
    </w:p>
    <w:p>
      <w:pPr>
        <w:ind w:left="180"/>
        <w:spacing w:after="0"/>
        <w:rPr>
          <w:sz w:val="20"/>
          <w:szCs w:val="20"/>
          <w:color w:val="auto"/>
        </w:rPr>
      </w:pPr>
      <w:r>
        <w:rPr>
          <w:rFonts w:ascii="Arial" w:cs="Arial" w:eastAsia="Arial" w:hAnsi="Arial"/>
          <w:sz w:val="14"/>
          <w:szCs w:val="14"/>
          <w:color w:val="auto"/>
        </w:rPr>
        <w:t>Saddle River, NJ 07458</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CVI Investments, Inc.</w:t>
      </w:r>
      <w:r>
        <w:rPr>
          <w:rFonts w:ascii="Arial" w:cs="Arial" w:eastAsia="Arial" w:hAnsi="Arial"/>
          <w:sz w:val="19"/>
          <w:szCs w:val="19"/>
          <w:color w:val="auto"/>
          <w:vertAlign w:val="superscript"/>
        </w:rPr>
        <w:t>(6)</w:t>
      </w:r>
    </w:p>
    <w:p>
      <w:pPr>
        <w:ind w:left="180"/>
        <w:spacing w:after="0"/>
        <w:rPr>
          <w:sz w:val="20"/>
          <w:szCs w:val="20"/>
          <w:color w:val="auto"/>
        </w:rPr>
      </w:pPr>
      <w:r>
        <w:rPr>
          <w:rFonts w:ascii="Arial" w:cs="Arial" w:eastAsia="Arial" w:hAnsi="Arial"/>
          <w:sz w:val="13"/>
          <w:szCs w:val="13"/>
          <w:color w:val="auto"/>
        </w:rPr>
        <w:t>c/o Heights Capital Management, Inc.</w:t>
      </w:r>
    </w:p>
    <w:p>
      <w:pPr>
        <w:ind w:left="180"/>
        <w:spacing w:after="0" w:line="221" w:lineRule="auto"/>
        <w:rPr>
          <w:sz w:val="20"/>
          <w:szCs w:val="20"/>
          <w:color w:val="auto"/>
        </w:rPr>
      </w:pPr>
      <w:r>
        <w:rPr>
          <w:rFonts w:ascii="Arial" w:cs="Arial" w:eastAsia="Arial" w:hAnsi="Arial"/>
          <w:sz w:val="14"/>
          <w:szCs w:val="14"/>
          <w:color w:val="auto"/>
        </w:rPr>
        <w:t>101 California Street, Suite 3250</w:t>
      </w:r>
    </w:p>
    <w:p>
      <w:pPr>
        <w:ind w:left="180"/>
        <w:spacing w:after="0"/>
        <w:rPr>
          <w:sz w:val="20"/>
          <w:szCs w:val="20"/>
          <w:color w:val="auto"/>
        </w:rPr>
      </w:pPr>
      <w:r>
        <w:rPr>
          <w:rFonts w:ascii="Arial" w:cs="Arial" w:eastAsia="Arial" w:hAnsi="Arial"/>
          <w:sz w:val="14"/>
          <w:szCs w:val="14"/>
          <w:color w:val="auto"/>
        </w:rPr>
        <w:t>San Francisco, CA 94111</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Intracoastal Capital, LLC</w:t>
      </w:r>
      <w:r>
        <w:rPr>
          <w:rFonts w:ascii="Arial" w:cs="Arial" w:eastAsia="Arial" w:hAnsi="Arial"/>
          <w:sz w:val="19"/>
          <w:szCs w:val="19"/>
          <w:color w:val="auto"/>
          <w:vertAlign w:val="superscript"/>
        </w:rPr>
        <w:t>(7)</w:t>
      </w:r>
    </w:p>
    <w:p>
      <w:pPr>
        <w:ind w:left="180"/>
        <w:spacing w:after="0" w:line="221" w:lineRule="auto"/>
        <w:rPr>
          <w:sz w:val="20"/>
          <w:szCs w:val="20"/>
          <w:color w:val="auto"/>
        </w:rPr>
      </w:pPr>
      <w:r>
        <w:rPr>
          <w:rFonts w:ascii="Arial" w:cs="Arial" w:eastAsia="Arial" w:hAnsi="Arial"/>
          <w:sz w:val="14"/>
          <w:szCs w:val="14"/>
          <w:color w:val="auto"/>
        </w:rPr>
        <w:t>245 Palm Trail</w:t>
      </w:r>
    </w:p>
    <w:p>
      <w:pPr>
        <w:ind w:left="180"/>
        <w:spacing w:after="0"/>
        <w:rPr>
          <w:sz w:val="20"/>
          <w:szCs w:val="20"/>
          <w:color w:val="auto"/>
        </w:rPr>
      </w:pPr>
      <w:r>
        <w:rPr>
          <w:rFonts w:ascii="Arial" w:cs="Arial" w:eastAsia="Arial" w:hAnsi="Arial"/>
          <w:sz w:val="14"/>
          <w:szCs w:val="14"/>
          <w:color w:val="auto"/>
        </w:rPr>
        <w:t>Delray Beach, FL 33483</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Iroquois Capital Investment Group LLC</w:t>
      </w:r>
      <w:r>
        <w:rPr>
          <w:rFonts w:ascii="Arial" w:cs="Arial" w:eastAsia="Arial" w:hAnsi="Arial"/>
          <w:sz w:val="17"/>
          <w:szCs w:val="17"/>
          <w:color w:val="auto"/>
          <w:vertAlign w:val="superscript"/>
        </w:rPr>
        <w:t>(8)</w:t>
      </w:r>
    </w:p>
    <w:p>
      <w:pPr>
        <w:ind w:left="180"/>
        <w:spacing w:after="0" w:line="221" w:lineRule="auto"/>
        <w:rPr>
          <w:sz w:val="20"/>
          <w:szCs w:val="20"/>
          <w:color w:val="auto"/>
        </w:rPr>
      </w:pPr>
      <w:r>
        <w:rPr>
          <w:rFonts w:ascii="Arial" w:cs="Arial" w:eastAsia="Arial" w:hAnsi="Arial"/>
          <w:sz w:val="14"/>
          <w:szCs w:val="14"/>
          <w:color w:val="auto"/>
        </w:rPr>
        <w:t>125 Park Avenue, 25th Floor</w:t>
      </w:r>
    </w:p>
    <w:p>
      <w:pPr>
        <w:ind w:left="180"/>
        <w:spacing w:after="0"/>
        <w:rPr>
          <w:sz w:val="20"/>
          <w:szCs w:val="20"/>
          <w:color w:val="auto"/>
        </w:rPr>
      </w:pPr>
      <w:r>
        <w:rPr>
          <w:rFonts w:ascii="Arial" w:cs="Arial" w:eastAsia="Arial" w:hAnsi="Arial"/>
          <w:sz w:val="14"/>
          <w:szCs w:val="14"/>
          <w:color w:val="auto"/>
        </w:rPr>
        <w:t>New York, NY 10017</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Iroquois Master Fund Ltd.</w:t>
      </w:r>
      <w:r>
        <w:rPr>
          <w:rFonts w:ascii="Arial" w:cs="Arial" w:eastAsia="Arial" w:hAnsi="Arial"/>
          <w:sz w:val="19"/>
          <w:szCs w:val="19"/>
          <w:color w:val="auto"/>
          <w:vertAlign w:val="superscript"/>
        </w:rPr>
        <w:t>(9)</w:t>
      </w:r>
    </w:p>
    <w:p>
      <w:pPr>
        <w:ind w:left="180"/>
        <w:spacing w:after="0" w:line="221" w:lineRule="auto"/>
        <w:rPr>
          <w:sz w:val="20"/>
          <w:szCs w:val="20"/>
          <w:color w:val="auto"/>
        </w:rPr>
      </w:pPr>
      <w:r>
        <w:rPr>
          <w:rFonts w:ascii="Arial" w:cs="Arial" w:eastAsia="Arial" w:hAnsi="Arial"/>
          <w:sz w:val="14"/>
          <w:szCs w:val="14"/>
          <w:color w:val="auto"/>
        </w:rPr>
        <w:t>125 Park Avenue, 25th Floor</w:t>
      </w:r>
    </w:p>
    <w:p>
      <w:pPr>
        <w:ind w:left="180"/>
        <w:spacing w:after="0"/>
        <w:rPr>
          <w:sz w:val="20"/>
          <w:szCs w:val="20"/>
          <w:color w:val="auto"/>
        </w:rPr>
      </w:pPr>
      <w:r>
        <w:rPr>
          <w:rFonts w:ascii="Arial" w:cs="Arial" w:eastAsia="Arial" w:hAnsi="Arial"/>
          <w:sz w:val="14"/>
          <w:szCs w:val="14"/>
          <w:color w:val="auto"/>
        </w:rPr>
        <w:t>New York, NY 10017</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Lind Global Fund II LP</w:t>
      </w:r>
      <w:r>
        <w:rPr>
          <w:rFonts w:ascii="Arial" w:cs="Arial" w:eastAsia="Arial" w:hAnsi="Arial"/>
          <w:sz w:val="19"/>
          <w:szCs w:val="19"/>
          <w:color w:val="auto"/>
          <w:vertAlign w:val="superscript"/>
        </w:rPr>
        <w:t>(10)</w:t>
      </w:r>
    </w:p>
    <w:p>
      <w:pPr>
        <w:ind w:left="180"/>
        <w:spacing w:after="0" w:line="221" w:lineRule="auto"/>
        <w:rPr>
          <w:sz w:val="20"/>
          <w:szCs w:val="20"/>
          <w:color w:val="auto"/>
        </w:rPr>
      </w:pPr>
      <w:r>
        <w:rPr>
          <w:rFonts w:ascii="Arial" w:cs="Arial" w:eastAsia="Arial" w:hAnsi="Arial"/>
          <w:sz w:val="14"/>
          <w:szCs w:val="14"/>
          <w:color w:val="auto"/>
        </w:rPr>
        <w:t>444 Madison Avenue, 41st Floor</w:t>
      </w:r>
    </w:p>
    <w:p>
      <w:pPr>
        <w:ind w:left="180"/>
        <w:spacing w:after="0"/>
        <w:rPr>
          <w:sz w:val="20"/>
          <w:szCs w:val="20"/>
          <w:color w:val="auto"/>
        </w:rPr>
      </w:pPr>
      <w:r>
        <w:rPr>
          <w:rFonts w:ascii="Arial" w:cs="Arial" w:eastAsia="Arial" w:hAnsi="Arial"/>
          <w:sz w:val="14"/>
          <w:szCs w:val="14"/>
          <w:color w:val="auto"/>
        </w:rPr>
        <w:t>New York, NY 10022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120" w:type="dxa"/>
            <w:vAlign w:val="bottom"/>
          </w:tcPr>
          <w:p>
            <w:pPr>
              <w:jc w:val="center"/>
              <w:ind w:right="488"/>
              <w:spacing w:after="0"/>
              <w:rPr>
                <w:sz w:val="20"/>
                <w:szCs w:val="20"/>
                <w:color w:val="auto"/>
              </w:rPr>
            </w:pPr>
            <w:r>
              <w:rPr>
                <w:rFonts w:ascii="Arial" w:cs="Arial" w:eastAsia="Arial" w:hAnsi="Arial"/>
                <w:sz w:val="14"/>
                <w:szCs w:val="14"/>
                <w:color w:val="auto"/>
                <w:w w:val="92"/>
              </w:rPr>
              <w:t>Number of Shares of</w:t>
            </w:r>
          </w:p>
        </w:tc>
      </w:tr>
      <w:tr>
        <w:trPr>
          <w:trHeight w:val="155"/>
        </w:trPr>
        <w:tc>
          <w:tcPr>
            <w:tcW w:w="2440" w:type="dxa"/>
            <w:vAlign w:val="bottom"/>
            <w:gridSpan w:val="2"/>
          </w:tcPr>
          <w:p>
            <w:pPr>
              <w:jc w:val="center"/>
              <w:ind w:right="140"/>
              <w:spacing w:after="0" w:line="155" w:lineRule="exact"/>
              <w:rPr>
                <w:sz w:val="20"/>
                <w:szCs w:val="20"/>
                <w:color w:val="auto"/>
              </w:rPr>
            </w:pPr>
            <w:r>
              <w:rPr>
                <w:rFonts w:ascii="Arial" w:cs="Arial" w:eastAsia="Arial" w:hAnsi="Arial"/>
                <w:sz w:val="14"/>
                <w:szCs w:val="14"/>
                <w:color w:val="auto"/>
                <w:w w:val="93"/>
              </w:rPr>
              <w:t>Number of Shares of Common Stock</w:t>
            </w:r>
          </w:p>
        </w:tc>
        <w:tc>
          <w:tcPr>
            <w:tcW w:w="2860" w:type="dxa"/>
            <w:vAlign w:val="bottom"/>
          </w:tcPr>
          <w:p>
            <w:pPr>
              <w:jc w:val="center"/>
              <w:spacing w:after="0" w:line="155" w:lineRule="exact"/>
              <w:rPr>
                <w:sz w:val="20"/>
                <w:szCs w:val="20"/>
                <w:color w:val="auto"/>
              </w:rPr>
            </w:pPr>
            <w:r>
              <w:rPr>
                <w:rFonts w:ascii="Arial" w:cs="Arial" w:eastAsia="Arial" w:hAnsi="Arial"/>
                <w:sz w:val="14"/>
                <w:szCs w:val="14"/>
                <w:color w:val="auto"/>
                <w:w w:val="94"/>
              </w:rPr>
              <w:t>Maximum Number of Shares of Common Stock</w:t>
            </w:r>
          </w:p>
        </w:tc>
        <w:tc>
          <w:tcPr>
            <w:tcW w:w="2120" w:type="dxa"/>
            <w:vAlign w:val="bottom"/>
          </w:tcPr>
          <w:p>
            <w:pPr>
              <w:jc w:val="center"/>
              <w:ind w:right="508"/>
              <w:spacing w:after="0" w:line="155" w:lineRule="exact"/>
              <w:rPr>
                <w:sz w:val="20"/>
                <w:szCs w:val="20"/>
                <w:color w:val="auto"/>
              </w:rPr>
            </w:pPr>
            <w:r>
              <w:rPr>
                <w:rFonts w:ascii="Arial" w:cs="Arial" w:eastAsia="Arial" w:hAnsi="Arial"/>
                <w:sz w:val="14"/>
                <w:szCs w:val="14"/>
                <w:color w:val="auto"/>
                <w:w w:val="93"/>
              </w:rPr>
              <w:t>Common Stock Owned</w:t>
            </w:r>
          </w:p>
        </w:tc>
      </w:tr>
      <w:tr>
        <w:trPr>
          <w:trHeight w:val="174"/>
        </w:trPr>
        <w:tc>
          <w:tcPr>
            <w:tcW w:w="2440" w:type="dxa"/>
            <w:vAlign w:val="bottom"/>
            <w:gridSpan w:val="2"/>
          </w:tcPr>
          <w:p>
            <w:pPr>
              <w:jc w:val="center"/>
              <w:ind w:right="160"/>
              <w:spacing w:after="0" w:line="174" w:lineRule="exact"/>
              <w:rPr>
                <w:sz w:val="20"/>
                <w:szCs w:val="20"/>
                <w:color w:val="auto"/>
              </w:rPr>
            </w:pPr>
            <w:r>
              <w:rPr>
                <w:rFonts w:ascii="Arial" w:cs="Arial" w:eastAsia="Arial" w:hAnsi="Arial"/>
                <w:sz w:val="14"/>
                <w:szCs w:val="14"/>
                <w:color w:val="auto"/>
                <w:w w:val="92"/>
              </w:rPr>
              <w:t>Owned Prior to Offering</w:t>
            </w:r>
            <w:r>
              <w:rPr>
                <w:rFonts w:ascii="Arial" w:cs="Arial" w:eastAsia="Arial" w:hAnsi="Arial"/>
                <w:sz w:val="19"/>
                <w:szCs w:val="19"/>
                <w:color w:val="auto"/>
                <w:w w:val="92"/>
                <w:vertAlign w:val="superscript"/>
              </w:rPr>
              <w:t>(1)(2)</w:t>
            </w:r>
          </w:p>
        </w:tc>
        <w:tc>
          <w:tcPr>
            <w:tcW w:w="2860" w:type="dxa"/>
            <w:vAlign w:val="bottom"/>
          </w:tcPr>
          <w:p>
            <w:pPr>
              <w:jc w:val="center"/>
              <w:spacing w:after="0" w:line="174" w:lineRule="exact"/>
              <w:rPr>
                <w:sz w:val="20"/>
                <w:szCs w:val="20"/>
                <w:color w:val="auto"/>
              </w:rPr>
            </w:pPr>
            <w:r>
              <w:rPr>
                <w:rFonts w:ascii="Arial" w:cs="Arial" w:eastAsia="Arial" w:hAnsi="Arial"/>
                <w:sz w:val="14"/>
                <w:szCs w:val="14"/>
                <w:color w:val="auto"/>
                <w:w w:val="89"/>
              </w:rPr>
              <w:t>to be Sold Pursuant to this Prospectus</w:t>
            </w:r>
            <w:r>
              <w:rPr>
                <w:rFonts w:ascii="Arial" w:cs="Arial" w:eastAsia="Arial" w:hAnsi="Arial"/>
                <w:sz w:val="19"/>
                <w:szCs w:val="19"/>
                <w:color w:val="auto"/>
                <w:w w:val="89"/>
                <w:vertAlign w:val="superscript"/>
              </w:rPr>
              <w:t>(1)(2)</w:t>
            </w:r>
          </w:p>
        </w:tc>
        <w:tc>
          <w:tcPr>
            <w:tcW w:w="2120" w:type="dxa"/>
            <w:vAlign w:val="bottom"/>
          </w:tcPr>
          <w:p>
            <w:pPr>
              <w:jc w:val="center"/>
              <w:ind w:right="508"/>
              <w:spacing w:after="0" w:line="174" w:lineRule="exact"/>
              <w:rPr>
                <w:sz w:val="20"/>
                <w:szCs w:val="20"/>
                <w:color w:val="auto"/>
              </w:rPr>
            </w:pPr>
            <w:r>
              <w:rPr>
                <w:rFonts w:ascii="Arial" w:cs="Arial" w:eastAsia="Arial" w:hAnsi="Arial"/>
                <w:sz w:val="14"/>
                <w:szCs w:val="14"/>
                <w:color w:val="auto"/>
                <w:w w:val="92"/>
              </w:rPr>
              <w:t>After Offering</w:t>
            </w:r>
            <w:r>
              <w:rPr>
                <w:rFonts w:ascii="Arial" w:cs="Arial" w:eastAsia="Arial" w:hAnsi="Arial"/>
                <w:sz w:val="19"/>
                <w:szCs w:val="19"/>
                <w:color w:val="auto"/>
                <w:w w:val="92"/>
                <w:vertAlign w:val="superscript"/>
              </w:rPr>
              <w:t>(1)(2)</w:t>
            </w:r>
          </w:p>
        </w:tc>
      </w:tr>
      <w:tr>
        <w:trPr>
          <w:trHeight w:val="251"/>
        </w:trPr>
        <w:tc>
          <w:tcPr>
            <w:tcW w:w="228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color w:val="auto"/>
                <w:w w:val="90"/>
              </w:rPr>
              <w:t>362,318</w:t>
            </w:r>
          </w:p>
        </w:tc>
        <w:tc>
          <w:tcPr>
            <w:tcW w:w="160" w:type="dxa"/>
            <w:vAlign w:val="bottom"/>
          </w:tcPr>
          <w:p>
            <w:pPr>
              <w:spacing w:after="0"/>
              <w:rPr>
                <w:sz w:val="21"/>
                <w:szCs w:val="21"/>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362,318</w:t>
            </w:r>
          </w:p>
        </w:tc>
        <w:tc>
          <w:tcPr>
            <w:tcW w:w="2120" w:type="dxa"/>
            <w:vAlign w:val="bottom"/>
            <w:tcBorders>
              <w:top w:val="single" w:sz="8" w:color="auto"/>
            </w:tcBorders>
          </w:tcPr>
          <w:p>
            <w:pPr>
              <w:jc w:val="right"/>
              <w:ind w:right="908"/>
              <w:spacing w:after="0"/>
              <w:rPr>
                <w:sz w:val="20"/>
                <w:szCs w:val="20"/>
                <w:color w:val="auto"/>
              </w:rPr>
            </w:pPr>
            <w:r>
              <w:rPr>
                <w:rFonts w:ascii="Arial" w:cs="Arial" w:eastAsia="Arial" w:hAnsi="Arial"/>
                <w:sz w:val="14"/>
                <w:szCs w:val="14"/>
                <w:color w:val="auto"/>
              </w:rPr>
              <w:t>0</w:t>
            </w:r>
          </w:p>
        </w:tc>
      </w:tr>
      <w:tr>
        <w:trPr>
          <w:trHeight w:val="797"/>
        </w:trPr>
        <w:tc>
          <w:tcPr>
            <w:tcW w:w="2280" w:type="dxa"/>
            <w:vAlign w:val="bottom"/>
          </w:tcPr>
          <w:p>
            <w:pPr>
              <w:jc w:val="center"/>
              <w:ind w:right="68"/>
              <w:spacing w:after="0"/>
              <w:rPr>
                <w:sz w:val="20"/>
                <w:szCs w:val="20"/>
                <w:color w:val="auto"/>
              </w:rPr>
            </w:pPr>
            <w:r>
              <w:rPr>
                <w:rFonts w:ascii="Arial" w:cs="Arial" w:eastAsia="Arial" w:hAnsi="Arial"/>
                <w:sz w:val="14"/>
                <w:szCs w:val="14"/>
                <w:color w:val="auto"/>
                <w:w w:val="93"/>
              </w:rPr>
              <w:t>4,347,828</w:t>
            </w:r>
          </w:p>
        </w:tc>
        <w:tc>
          <w:tcPr>
            <w:tcW w:w="160" w:type="dxa"/>
            <w:vAlign w:val="bottom"/>
          </w:tcPr>
          <w:p>
            <w:pPr>
              <w:spacing w:after="0"/>
              <w:rPr>
                <w:sz w:val="24"/>
                <w:szCs w:val="24"/>
                <w:color w:val="auto"/>
              </w:rPr>
            </w:pPr>
          </w:p>
        </w:tc>
        <w:tc>
          <w:tcPr>
            <w:tcW w:w="2860" w:type="dxa"/>
            <w:vAlign w:val="bottom"/>
          </w:tcPr>
          <w:p>
            <w:pPr>
              <w:jc w:val="center"/>
              <w:ind w:right="8"/>
              <w:spacing w:after="0"/>
              <w:rPr>
                <w:sz w:val="20"/>
                <w:szCs w:val="20"/>
                <w:color w:val="auto"/>
              </w:rPr>
            </w:pPr>
            <w:r>
              <w:rPr>
                <w:rFonts w:ascii="Arial" w:cs="Arial" w:eastAsia="Arial" w:hAnsi="Arial"/>
                <w:sz w:val="14"/>
                <w:szCs w:val="14"/>
                <w:color w:val="auto"/>
                <w:w w:val="93"/>
              </w:rPr>
              <w:t>4,347,828</w:t>
            </w:r>
          </w:p>
        </w:tc>
        <w:tc>
          <w:tcPr>
            <w:tcW w:w="2120" w:type="dxa"/>
            <w:vAlign w:val="bottom"/>
          </w:tcPr>
          <w:p>
            <w:pPr>
              <w:jc w:val="right"/>
              <w:ind w:right="908"/>
              <w:spacing w:after="0"/>
              <w:rPr>
                <w:sz w:val="20"/>
                <w:szCs w:val="20"/>
                <w:color w:val="auto"/>
              </w:rPr>
            </w:pPr>
            <w:r>
              <w:rPr>
                <w:rFonts w:ascii="Arial" w:cs="Arial" w:eastAsia="Arial" w:hAnsi="Arial"/>
                <w:sz w:val="14"/>
                <w:szCs w:val="14"/>
                <w:color w:val="auto"/>
              </w:rPr>
              <w:t>0</w:t>
            </w:r>
          </w:p>
        </w:tc>
      </w:tr>
      <w:tr>
        <w:trPr>
          <w:trHeight w:val="810"/>
        </w:trPr>
        <w:tc>
          <w:tcPr>
            <w:tcW w:w="2280" w:type="dxa"/>
            <w:vAlign w:val="bottom"/>
          </w:tcPr>
          <w:p>
            <w:pPr>
              <w:jc w:val="center"/>
              <w:ind w:right="68"/>
              <w:spacing w:after="0"/>
              <w:rPr>
                <w:sz w:val="20"/>
                <w:szCs w:val="20"/>
                <w:color w:val="auto"/>
              </w:rPr>
            </w:pPr>
            <w:r>
              <w:rPr>
                <w:rFonts w:ascii="Arial" w:cs="Arial" w:eastAsia="Arial" w:hAnsi="Arial"/>
                <w:sz w:val="14"/>
                <w:szCs w:val="14"/>
                <w:color w:val="auto"/>
                <w:w w:val="90"/>
              </w:rPr>
              <w:t>362,320</w:t>
            </w:r>
          </w:p>
        </w:tc>
        <w:tc>
          <w:tcPr>
            <w:tcW w:w="1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4"/>
              </w:rPr>
              <w:t>362,320</w:t>
            </w:r>
          </w:p>
        </w:tc>
        <w:tc>
          <w:tcPr>
            <w:tcW w:w="2120" w:type="dxa"/>
            <w:vAlign w:val="bottom"/>
          </w:tcPr>
          <w:p>
            <w:pPr>
              <w:jc w:val="right"/>
              <w:ind w:right="908"/>
              <w:spacing w:after="0"/>
              <w:rPr>
                <w:sz w:val="20"/>
                <w:szCs w:val="20"/>
                <w:color w:val="auto"/>
              </w:rPr>
            </w:pPr>
            <w:r>
              <w:rPr>
                <w:rFonts w:ascii="Arial" w:cs="Arial" w:eastAsia="Arial" w:hAnsi="Arial"/>
                <w:sz w:val="14"/>
                <w:szCs w:val="14"/>
                <w:color w:val="auto"/>
              </w:rPr>
              <w:t>0</w:t>
            </w:r>
          </w:p>
        </w:tc>
      </w:tr>
      <w:tr>
        <w:trPr>
          <w:trHeight w:val="702"/>
        </w:trPr>
        <w:tc>
          <w:tcPr>
            <w:tcW w:w="2280" w:type="dxa"/>
            <w:vAlign w:val="bottom"/>
          </w:tcPr>
          <w:p>
            <w:pPr>
              <w:jc w:val="center"/>
              <w:ind w:right="68"/>
              <w:spacing w:after="0"/>
              <w:rPr>
                <w:sz w:val="20"/>
                <w:szCs w:val="20"/>
                <w:color w:val="auto"/>
              </w:rPr>
            </w:pPr>
            <w:r>
              <w:rPr>
                <w:rFonts w:ascii="Arial" w:cs="Arial" w:eastAsia="Arial" w:hAnsi="Arial"/>
                <w:sz w:val="14"/>
                <w:szCs w:val="14"/>
                <w:color w:val="auto"/>
                <w:w w:val="90"/>
              </w:rPr>
              <w:t>362,318</w:t>
            </w:r>
          </w:p>
        </w:tc>
        <w:tc>
          <w:tcPr>
            <w:tcW w:w="1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4"/>
              </w:rPr>
              <w:t>362,318</w:t>
            </w:r>
          </w:p>
        </w:tc>
        <w:tc>
          <w:tcPr>
            <w:tcW w:w="2120" w:type="dxa"/>
            <w:vAlign w:val="bottom"/>
          </w:tcPr>
          <w:p>
            <w:pPr>
              <w:jc w:val="right"/>
              <w:ind w:right="908"/>
              <w:spacing w:after="0"/>
              <w:rPr>
                <w:sz w:val="20"/>
                <w:szCs w:val="20"/>
                <w:color w:val="auto"/>
              </w:rPr>
            </w:pPr>
            <w:r>
              <w:rPr>
                <w:rFonts w:ascii="Arial" w:cs="Arial" w:eastAsia="Arial" w:hAnsi="Arial"/>
                <w:sz w:val="14"/>
                <w:szCs w:val="14"/>
                <w:color w:val="auto"/>
              </w:rPr>
              <w:t>0</w:t>
            </w:r>
          </w:p>
        </w:tc>
      </w:tr>
      <w:tr>
        <w:trPr>
          <w:trHeight w:val="729"/>
        </w:trPr>
        <w:tc>
          <w:tcPr>
            <w:tcW w:w="2280" w:type="dxa"/>
            <w:vAlign w:val="bottom"/>
          </w:tcPr>
          <w:p>
            <w:pPr>
              <w:jc w:val="center"/>
              <w:ind w:right="68"/>
              <w:spacing w:after="0"/>
              <w:rPr>
                <w:sz w:val="20"/>
                <w:szCs w:val="20"/>
                <w:color w:val="auto"/>
              </w:rPr>
            </w:pPr>
            <w:r>
              <w:rPr>
                <w:rFonts w:ascii="Arial" w:cs="Arial" w:eastAsia="Arial" w:hAnsi="Arial"/>
                <w:sz w:val="14"/>
                <w:szCs w:val="14"/>
                <w:color w:val="auto"/>
                <w:w w:val="90"/>
              </w:rPr>
              <w:t>724,636</w:t>
            </w:r>
          </w:p>
        </w:tc>
        <w:tc>
          <w:tcPr>
            <w:tcW w:w="1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4"/>
              </w:rPr>
              <w:t>724,636</w:t>
            </w:r>
          </w:p>
        </w:tc>
        <w:tc>
          <w:tcPr>
            <w:tcW w:w="2120" w:type="dxa"/>
            <w:vAlign w:val="bottom"/>
          </w:tcPr>
          <w:p>
            <w:pPr>
              <w:jc w:val="right"/>
              <w:ind w:right="908"/>
              <w:spacing w:after="0"/>
              <w:rPr>
                <w:sz w:val="20"/>
                <w:szCs w:val="20"/>
                <w:color w:val="auto"/>
              </w:rPr>
            </w:pPr>
            <w:r>
              <w:rPr>
                <w:rFonts w:ascii="Arial" w:cs="Arial" w:eastAsia="Arial" w:hAnsi="Arial"/>
                <w:sz w:val="14"/>
                <w:szCs w:val="14"/>
                <w:color w:val="auto"/>
              </w:rPr>
              <w:t>0</w:t>
            </w:r>
          </w:p>
        </w:tc>
      </w:tr>
      <w:tr>
        <w:trPr>
          <w:trHeight w:val="850"/>
        </w:trPr>
        <w:tc>
          <w:tcPr>
            <w:tcW w:w="2280" w:type="dxa"/>
            <w:vAlign w:val="bottom"/>
          </w:tcPr>
          <w:p>
            <w:pPr>
              <w:jc w:val="center"/>
              <w:ind w:right="68"/>
              <w:spacing w:after="0"/>
              <w:rPr>
                <w:sz w:val="20"/>
                <w:szCs w:val="20"/>
                <w:color w:val="auto"/>
              </w:rPr>
            </w:pPr>
            <w:r>
              <w:rPr>
                <w:rFonts w:ascii="Arial" w:cs="Arial" w:eastAsia="Arial" w:hAnsi="Arial"/>
                <w:sz w:val="14"/>
                <w:szCs w:val="14"/>
                <w:color w:val="auto"/>
                <w:w w:val="90"/>
              </w:rPr>
              <w:t>181,160</w:t>
            </w:r>
          </w:p>
        </w:tc>
        <w:tc>
          <w:tcPr>
            <w:tcW w:w="1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4"/>
              </w:rPr>
              <w:t>181,160</w:t>
            </w:r>
          </w:p>
        </w:tc>
        <w:tc>
          <w:tcPr>
            <w:tcW w:w="2120" w:type="dxa"/>
            <w:vAlign w:val="bottom"/>
          </w:tcPr>
          <w:p>
            <w:pPr>
              <w:jc w:val="right"/>
              <w:ind w:right="908"/>
              <w:spacing w:after="0"/>
              <w:rPr>
                <w:sz w:val="20"/>
                <w:szCs w:val="20"/>
                <w:color w:val="auto"/>
              </w:rPr>
            </w:pPr>
            <w:r>
              <w:rPr>
                <w:rFonts w:ascii="Arial" w:cs="Arial" w:eastAsia="Arial" w:hAnsi="Arial"/>
                <w:sz w:val="14"/>
                <w:szCs w:val="14"/>
                <w:color w:val="auto"/>
              </w:rPr>
              <w:t>0</w:t>
            </w:r>
          </w:p>
        </w:tc>
      </w:tr>
      <w:tr>
        <w:trPr>
          <w:trHeight w:val="702"/>
        </w:trPr>
        <w:tc>
          <w:tcPr>
            <w:tcW w:w="2280" w:type="dxa"/>
            <w:vAlign w:val="bottom"/>
          </w:tcPr>
          <w:p>
            <w:pPr>
              <w:jc w:val="center"/>
              <w:ind w:right="68"/>
              <w:spacing w:after="0"/>
              <w:rPr>
                <w:sz w:val="20"/>
                <w:szCs w:val="20"/>
                <w:color w:val="auto"/>
              </w:rPr>
            </w:pPr>
            <w:r>
              <w:rPr>
                <w:rFonts w:ascii="Arial" w:cs="Arial" w:eastAsia="Arial" w:hAnsi="Arial"/>
                <w:sz w:val="14"/>
                <w:szCs w:val="14"/>
                <w:color w:val="auto"/>
                <w:w w:val="88"/>
              </w:rPr>
              <w:t>54,348</w:t>
            </w:r>
          </w:p>
        </w:tc>
        <w:tc>
          <w:tcPr>
            <w:tcW w:w="1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3"/>
              </w:rPr>
              <w:t>54,348</w:t>
            </w:r>
          </w:p>
        </w:tc>
        <w:tc>
          <w:tcPr>
            <w:tcW w:w="2120" w:type="dxa"/>
            <w:vAlign w:val="bottom"/>
          </w:tcPr>
          <w:p>
            <w:pPr>
              <w:jc w:val="right"/>
              <w:ind w:right="908"/>
              <w:spacing w:after="0"/>
              <w:rPr>
                <w:sz w:val="20"/>
                <w:szCs w:val="20"/>
                <w:color w:val="auto"/>
              </w:rPr>
            </w:pPr>
            <w:r>
              <w:rPr>
                <w:rFonts w:ascii="Arial" w:cs="Arial" w:eastAsia="Arial" w:hAnsi="Arial"/>
                <w:sz w:val="14"/>
                <w:szCs w:val="14"/>
                <w:color w:val="auto"/>
              </w:rPr>
              <w:t>0</w:t>
            </w:r>
          </w:p>
        </w:tc>
      </w:tr>
      <w:tr>
        <w:trPr>
          <w:trHeight w:val="702"/>
        </w:trPr>
        <w:tc>
          <w:tcPr>
            <w:tcW w:w="2280" w:type="dxa"/>
            <w:vAlign w:val="bottom"/>
          </w:tcPr>
          <w:p>
            <w:pPr>
              <w:jc w:val="center"/>
              <w:ind w:right="68"/>
              <w:spacing w:after="0"/>
              <w:rPr>
                <w:sz w:val="20"/>
                <w:szCs w:val="20"/>
                <w:color w:val="auto"/>
              </w:rPr>
            </w:pPr>
            <w:r>
              <w:rPr>
                <w:rFonts w:ascii="Arial" w:cs="Arial" w:eastAsia="Arial" w:hAnsi="Arial"/>
                <w:sz w:val="14"/>
                <w:szCs w:val="14"/>
                <w:color w:val="auto"/>
                <w:w w:val="90"/>
              </w:rPr>
              <w:t>126,812</w:t>
            </w:r>
          </w:p>
        </w:tc>
        <w:tc>
          <w:tcPr>
            <w:tcW w:w="1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4"/>
              </w:rPr>
              <w:t>126,812</w:t>
            </w:r>
          </w:p>
        </w:tc>
        <w:tc>
          <w:tcPr>
            <w:tcW w:w="2120" w:type="dxa"/>
            <w:vAlign w:val="bottom"/>
          </w:tcPr>
          <w:p>
            <w:pPr>
              <w:jc w:val="right"/>
              <w:ind w:right="908"/>
              <w:spacing w:after="0"/>
              <w:rPr>
                <w:sz w:val="20"/>
                <w:szCs w:val="20"/>
                <w:color w:val="auto"/>
              </w:rPr>
            </w:pPr>
            <w:r>
              <w:rPr>
                <w:rFonts w:ascii="Arial" w:cs="Arial" w:eastAsia="Arial" w:hAnsi="Arial"/>
                <w:sz w:val="14"/>
                <w:szCs w:val="14"/>
                <w:color w:val="auto"/>
              </w:rPr>
              <w:t>0</w:t>
            </w:r>
          </w:p>
        </w:tc>
      </w:tr>
      <w:tr>
        <w:trPr>
          <w:trHeight w:val="702"/>
        </w:trPr>
        <w:tc>
          <w:tcPr>
            <w:tcW w:w="2280" w:type="dxa"/>
            <w:vAlign w:val="bottom"/>
          </w:tcPr>
          <w:p>
            <w:pPr>
              <w:jc w:val="center"/>
              <w:ind w:right="68"/>
              <w:spacing w:after="0"/>
              <w:rPr>
                <w:sz w:val="20"/>
                <w:szCs w:val="20"/>
                <w:color w:val="auto"/>
              </w:rPr>
            </w:pPr>
            <w:r>
              <w:rPr>
                <w:rFonts w:ascii="Arial" w:cs="Arial" w:eastAsia="Arial" w:hAnsi="Arial"/>
                <w:sz w:val="14"/>
                <w:szCs w:val="14"/>
                <w:color w:val="auto"/>
                <w:w w:val="90"/>
              </w:rPr>
              <w:t>724,638</w:t>
            </w:r>
          </w:p>
        </w:tc>
        <w:tc>
          <w:tcPr>
            <w:tcW w:w="1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4"/>
              </w:rPr>
              <w:t>724,638</w:t>
            </w:r>
          </w:p>
        </w:tc>
        <w:tc>
          <w:tcPr>
            <w:tcW w:w="2120" w:type="dxa"/>
            <w:vAlign w:val="bottom"/>
          </w:tcPr>
          <w:p>
            <w:pPr>
              <w:jc w:val="right"/>
              <w:ind w:right="908"/>
              <w:spacing w:after="0"/>
              <w:rPr>
                <w:sz w:val="20"/>
                <w:szCs w:val="20"/>
                <w:color w:val="auto"/>
              </w:rPr>
            </w:pPr>
            <w:r>
              <w:rPr>
                <w:rFonts w:ascii="Arial" w:cs="Arial" w:eastAsia="Arial" w:hAnsi="Arial"/>
                <w:sz w:val="14"/>
                <w:szCs w:val="14"/>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00" w:space="720"/>
            <w:col w:w="7420"/>
          </w:cols>
          <w:pgMar w:left="320" w:top="540" w:right="339" w:bottom="1440" w:gutter="0" w:footer="0" w:header="0"/>
        </w:sectPr>
      </w:pPr>
    </w:p>
    <w:bookmarkStart w:id="9" w:name="page10"/>
    <w:bookmarkEnd w:id="9"/>
    <w:p>
      <w:pPr>
        <w:ind w:left="452" w:hanging="452"/>
        <w:spacing w:after="0"/>
        <w:tabs>
          <w:tab w:leader="none" w:pos="452" w:val="left"/>
        </w:tabs>
        <w:numPr>
          <w:ilvl w:val="0"/>
          <w:numId w:val="3"/>
        </w:numPr>
        <w:rPr>
          <w:rFonts w:ascii="Arial" w:cs="Arial" w:eastAsia="Arial" w:hAnsi="Arial"/>
          <w:sz w:val="14"/>
          <w:szCs w:val="14"/>
          <w:color w:val="auto"/>
        </w:rPr>
      </w:pPr>
      <w:r>
        <w:rPr>
          <w:rFonts w:ascii="Arial" w:cs="Arial" w:eastAsia="Arial" w:hAnsi="Arial"/>
          <w:sz w:val="14"/>
          <w:szCs w:val="14"/>
          <w:color w:val="auto"/>
        </w:rPr>
        <w:t>Beneficial ownership is determined in accordance with Rule 13d-3(d) promulgated by the SEC under the Exchange Act.</w:t>
      </w:r>
    </w:p>
    <w:p>
      <w:pPr>
        <w:ind w:left="452" w:hanging="452"/>
        <w:spacing w:after="0" w:line="221" w:lineRule="auto"/>
        <w:tabs>
          <w:tab w:leader="none" w:pos="452" w:val="left"/>
        </w:tabs>
        <w:numPr>
          <w:ilvl w:val="0"/>
          <w:numId w:val="3"/>
        </w:numPr>
        <w:rPr>
          <w:rFonts w:ascii="Arial" w:cs="Arial" w:eastAsia="Arial" w:hAnsi="Arial"/>
          <w:sz w:val="14"/>
          <w:szCs w:val="14"/>
          <w:color w:val="auto"/>
        </w:rPr>
      </w:pPr>
      <w:r>
        <w:rPr>
          <w:rFonts w:ascii="Arial" w:cs="Arial" w:eastAsia="Arial" w:hAnsi="Arial"/>
          <w:sz w:val="14"/>
          <w:szCs w:val="14"/>
          <w:color w:val="auto"/>
        </w:rPr>
        <w:t>Assumes the exercise of all Warrants for Warrants Shares covered by this registration statement.</w:t>
      </w:r>
    </w:p>
    <w:p>
      <w:pPr>
        <w:ind w:left="452" w:hanging="452"/>
        <w:spacing w:after="0" w:line="221" w:lineRule="auto"/>
        <w:tabs>
          <w:tab w:leader="none" w:pos="452" w:val="left"/>
        </w:tabs>
        <w:numPr>
          <w:ilvl w:val="0"/>
          <w:numId w:val="3"/>
        </w:numPr>
        <w:rPr>
          <w:rFonts w:ascii="Arial" w:cs="Arial" w:eastAsia="Arial" w:hAnsi="Arial"/>
          <w:sz w:val="14"/>
          <w:szCs w:val="14"/>
          <w:color w:val="auto"/>
        </w:rPr>
      </w:pPr>
      <w:r>
        <w:rPr>
          <w:rFonts w:ascii="Arial" w:cs="Arial" w:eastAsia="Arial" w:hAnsi="Arial"/>
          <w:sz w:val="14"/>
          <w:szCs w:val="14"/>
          <w:color w:val="auto"/>
        </w:rPr>
        <w:t>Konrad Ackermann has sole voting and dispositive power over the securities held for the account of this selling stockholder.</w:t>
      </w:r>
    </w:p>
    <w:p>
      <w:pPr>
        <w:jc w:val="both"/>
        <w:ind w:left="452" w:right="240" w:hanging="452"/>
        <w:spacing w:after="0" w:line="221" w:lineRule="auto"/>
        <w:tabs>
          <w:tab w:leader="none" w:pos="452"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shares of common stock are directly held by Armistice Capital Master Fund Ltd., a Cayman Islands exempted company (the "Master Fund"), and may be deemed to be indirectly beneficially owned by: (i) Armistice Capital, LLC ("Armistice Capital"), as the investment manager of the Master Fund; and (ii) Steven Boyd, as the Managing Member of Armistice Capital. Armistice Capital and Steven Boyd disclaim beneficial ownership of the securities except to the extent of their respective pecuniary interests therein. Certain of the shares of common stock are issuable only upon the exercise of warrants, which are subject to a beneficial ownership limitation that prohibits the Master Fund from exercising any portion of the warrants if such exercise would result in the Master Fund owning more than 4.99% of our outstanding common stock.</w:t>
      </w:r>
    </w:p>
    <w:p>
      <w:pPr>
        <w:spacing w:after="0" w:line="1" w:lineRule="exact"/>
        <w:rPr>
          <w:rFonts w:ascii="Arial" w:cs="Arial" w:eastAsia="Arial" w:hAnsi="Arial"/>
          <w:sz w:val="14"/>
          <w:szCs w:val="14"/>
          <w:color w:val="auto"/>
        </w:rPr>
      </w:pPr>
    </w:p>
    <w:p>
      <w:pPr>
        <w:ind w:left="452" w:right="280" w:hanging="452"/>
        <w:spacing w:after="0" w:line="221" w:lineRule="auto"/>
        <w:tabs>
          <w:tab w:leader="none" w:pos="452" w:val="left"/>
        </w:tabs>
        <w:numPr>
          <w:ilvl w:val="0"/>
          <w:numId w:val="3"/>
        </w:numPr>
        <w:rPr>
          <w:rFonts w:ascii="Arial" w:cs="Arial" w:eastAsia="Arial" w:hAnsi="Arial"/>
          <w:sz w:val="14"/>
          <w:szCs w:val="14"/>
          <w:color w:val="auto"/>
        </w:rPr>
      </w:pPr>
      <w:r>
        <w:rPr>
          <w:rFonts w:ascii="Arial" w:cs="Arial" w:eastAsia="Arial" w:hAnsi="Arial"/>
          <w:sz w:val="14"/>
          <w:szCs w:val="14"/>
          <w:color w:val="auto"/>
        </w:rPr>
        <w:t>Thomas Walsh, manager of Cavalry Fund I LP, has sole voting and dispositive power over the securities held by Cavalry Fund I LP. Mr. Walsh, manager of Cavalry Special Ops Fund LLC, has sole voting and dispositive power over the securities held by Cavalry Special Ops Fund LLC.</w:t>
      </w:r>
    </w:p>
    <w:p>
      <w:pPr>
        <w:ind w:left="452" w:hanging="452"/>
        <w:spacing w:after="0" w:line="221" w:lineRule="auto"/>
        <w:tabs>
          <w:tab w:leader="none" w:pos="452" w:val="left"/>
        </w:tabs>
        <w:numPr>
          <w:ilvl w:val="0"/>
          <w:numId w:val="3"/>
        </w:numPr>
        <w:rPr>
          <w:rFonts w:ascii="Arial" w:cs="Arial" w:eastAsia="Arial" w:hAnsi="Arial"/>
          <w:sz w:val="14"/>
          <w:szCs w:val="14"/>
          <w:color w:val="auto"/>
        </w:rPr>
      </w:pPr>
      <w:r>
        <w:rPr>
          <w:rFonts w:ascii="Arial" w:cs="Arial" w:eastAsia="Arial" w:hAnsi="Arial"/>
          <w:sz w:val="14"/>
          <w:szCs w:val="14"/>
          <w:color w:val="auto"/>
        </w:rPr>
        <w:t>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 of the shares. CVI is affiliated with one or more FINRA members, none of whom are currently expected to participate in the sale of shares pursuant to this prospectus. The selling stockholder’s address is c/o Heights Capital Management, 101 California St., Suite 3250, San Francisco, CA 94111.</w:t>
      </w:r>
    </w:p>
    <w:p>
      <w:pPr>
        <w:spacing w:after="0" w:line="1" w:lineRule="exact"/>
        <w:rPr>
          <w:rFonts w:ascii="Arial" w:cs="Arial" w:eastAsia="Arial" w:hAnsi="Arial"/>
          <w:sz w:val="14"/>
          <w:szCs w:val="14"/>
          <w:color w:val="auto"/>
        </w:rPr>
      </w:pPr>
    </w:p>
    <w:p>
      <w:pPr>
        <w:ind w:left="452" w:right="20" w:hanging="452"/>
        <w:spacing w:after="0" w:line="221" w:lineRule="auto"/>
        <w:tabs>
          <w:tab w:leader="none" w:pos="452" w:val="left"/>
        </w:tabs>
        <w:numPr>
          <w:ilvl w:val="0"/>
          <w:numId w:val="3"/>
        </w:numPr>
        <w:rPr>
          <w:rFonts w:ascii="Arial" w:cs="Arial" w:eastAsia="Arial" w:hAnsi="Arial"/>
          <w:sz w:val="14"/>
          <w:szCs w:val="14"/>
          <w:color w:val="auto"/>
        </w:rPr>
      </w:pPr>
      <w:r>
        <w:rPr>
          <w:rFonts w:ascii="Arial" w:cs="Arial" w:eastAsia="Arial" w:hAnsi="Arial"/>
          <w:sz w:val="14"/>
          <w:szCs w:val="14"/>
          <w:color w:val="auto"/>
        </w:rPr>
        <w:t>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w:t>
      </w:r>
    </w:p>
    <w:p>
      <w:pPr>
        <w:ind w:left="452" w:right="80" w:hanging="452"/>
        <w:spacing w:after="0" w:line="221" w:lineRule="auto"/>
        <w:tabs>
          <w:tab w:leader="none" w:pos="452" w:val="left"/>
        </w:tabs>
        <w:numPr>
          <w:ilvl w:val="0"/>
          <w:numId w:val="3"/>
        </w:numPr>
        <w:rPr>
          <w:rFonts w:ascii="Arial" w:cs="Arial" w:eastAsia="Arial" w:hAnsi="Arial"/>
          <w:sz w:val="14"/>
          <w:szCs w:val="14"/>
          <w:color w:val="auto"/>
        </w:rPr>
      </w:pPr>
      <w:r>
        <w:rPr>
          <w:rFonts w:ascii="Arial" w:cs="Arial" w:eastAsia="Arial" w:hAnsi="Arial"/>
          <w:sz w:val="14"/>
          <w:szCs w:val="14"/>
          <w:color w:val="auto"/>
        </w:rPr>
        <w:t>Richard Abbe is the managing member of Iroquois Capital Investment Group LLC. Mr. Abbe has voting control and investment discretion over securities held by Iroquois Capital Investment Group LLC. As such, Mr. Abbe may be deemed to be the beneficial owner (as determined under Section 13(d) of the Exchange Act) of the securities held by Iroquois Capital Investment Group LLC.</w:t>
      </w:r>
    </w:p>
    <w:p>
      <w:pPr>
        <w:ind w:left="452" w:right="40" w:hanging="452"/>
        <w:spacing w:after="0" w:line="221" w:lineRule="auto"/>
        <w:tabs>
          <w:tab w:leader="none" w:pos="452" w:val="left"/>
        </w:tabs>
        <w:numPr>
          <w:ilvl w:val="0"/>
          <w:numId w:val="3"/>
        </w:numPr>
        <w:rPr>
          <w:rFonts w:ascii="Arial" w:cs="Arial" w:eastAsia="Arial" w:hAnsi="Arial"/>
          <w:sz w:val="14"/>
          <w:szCs w:val="14"/>
          <w:color w:val="auto"/>
        </w:rPr>
      </w:pPr>
      <w:r>
        <w:rPr>
          <w:rFonts w:ascii="Arial" w:cs="Arial" w:eastAsia="Arial" w:hAnsi="Arial"/>
          <w:sz w:val="14"/>
          <w:szCs w:val="14"/>
          <w:color w:val="auto"/>
        </w:rPr>
        <w:t>Iroquois Capital Management, LLC is the investment manager of Iroquois Master Fund, Ltd. Iroquois Capital Management, LLC has voting control and investment discretion over securities held by Iroquois Master Fund. As managing member of Iroquois Capital, Kimberly Page makes voting and investment decisions on behalf of Iroquois Capital Management, LLC in its capacity as investment manager to Iroquois Master Fund Ltd. As a result of the foregoing, Ms. Page may be deemed to have beneficial ownership (as determined under Section 13(d) of the Exchange Act) of the securities held by Iroquois Capital Management, LLC and Iroquois Master Fund.</w:t>
      </w:r>
    </w:p>
    <w:p>
      <w:pPr>
        <w:spacing w:after="0" w:line="1" w:lineRule="exact"/>
        <w:rPr>
          <w:rFonts w:ascii="Arial" w:cs="Arial" w:eastAsia="Arial" w:hAnsi="Arial"/>
          <w:sz w:val="14"/>
          <w:szCs w:val="14"/>
          <w:color w:val="auto"/>
        </w:rPr>
      </w:pPr>
    </w:p>
    <w:p>
      <w:pPr>
        <w:ind w:left="452" w:right="20" w:hanging="452"/>
        <w:spacing w:after="0" w:line="237" w:lineRule="auto"/>
        <w:tabs>
          <w:tab w:leader="none" w:pos="452" w:val="left"/>
        </w:tabs>
        <w:numPr>
          <w:ilvl w:val="0"/>
          <w:numId w:val="3"/>
        </w:numPr>
        <w:rPr>
          <w:rFonts w:ascii="Arial" w:cs="Arial" w:eastAsia="Arial" w:hAnsi="Arial"/>
          <w:sz w:val="14"/>
          <w:szCs w:val="14"/>
          <w:color w:val="auto"/>
        </w:rPr>
      </w:pPr>
      <w:r>
        <w:rPr>
          <w:rFonts w:ascii="Arial" w:cs="Arial" w:eastAsia="Arial" w:hAnsi="Arial"/>
          <w:sz w:val="14"/>
          <w:szCs w:val="14"/>
          <w:color w:val="auto"/>
        </w:rPr>
        <w:t>Jeff Easton is the Managing Member of Lind Global Partners II, LLC, which is the General Partner of Lind Global Fund II LP, and in such capacity has the right to vote and dispose of the securities held by such entities. Mr. Easton disclaims beneficial ownership over the securities listed except to the extent of his pecuniary interest therein.</w:t>
      </w:r>
    </w:p>
    <w:p>
      <w:pPr>
        <w:spacing w:after="0" w:line="1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52" w:right="35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DESCRIPTION OF OUR COMMON STOCK</w:t>
      </w:r>
    </w:p>
    <w:p>
      <w:pPr>
        <w:spacing w:after="0" w:line="229"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The following is only a summary of the terms and conditions applicable to our Common Stock and it not intended to be complete. Our Company is a Delaware corporation and our Common Stock is subject to the provisions of our Certificate of Incorporation ("Certificate of Incorporation") and our Bylaws ("Bylaws").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00" w:firstLine="432"/>
        <w:spacing w:after="0" w:line="301" w:lineRule="auto"/>
        <w:rPr>
          <w:sz w:val="20"/>
          <w:szCs w:val="20"/>
          <w:color w:val="auto"/>
        </w:rPr>
      </w:pPr>
      <w:r>
        <w:rPr>
          <w:rFonts w:ascii="Arial" w:cs="Arial" w:eastAsia="Arial" w:hAnsi="Arial"/>
          <w:sz w:val="16"/>
          <w:szCs w:val="16"/>
          <w:color w:val="auto"/>
        </w:rPr>
        <w:t>The Company has fifty million (50,000,000) shares of common stock, $0.001 par value per share, authorized by its Certificate of Incorporation. The holders of the common stock of the Company shall be entitled at all meetings of stockholders to one vote for each share of such stock held by them. Cumulative voting is expressly prohibited by the Certificate of Incorporation. With respect to any matter, a quorum shall be present at a meeting of stockholders if the holders of a majority of the shares entitled to vote on that matter are represented at the meeting in person or by proxy.</w:t>
      </w:r>
    </w:p>
    <w:p>
      <w:pPr>
        <w:spacing w:after="0" w:line="15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Stockholders of the Company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 The Company has not paid a cash dividend on our common stock and does not anticipate doing so in the foreseeable future. The Company intends to retain earnings to fund future working capital requirements, infrastructure needs, growth, product development.</w:t>
      </w:r>
    </w:p>
    <w:p>
      <w:pPr>
        <w:spacing w:after="0" w:line="192"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The Board of Directors has the authority to issue the authorized but unissued shares of common stock without action by the stockholders. Any future issuance of such shares would reduce the percentage ownership held by existing stockholders and might dilute the book value of their shares.</w:t>
      </w:r>
    </w:p>
    <w:p>
      <w:pPr>
        <w:spacing w:after="0" w:line="146"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outstanding shares of Common Stock outstanding will be able to satisfy the quorum requirement and be able to elect all of our directors by a plurality of the voting power of the shares present in person or by proxy. Our Certificate of Incorporation and Bylaws provide that all stockholder actions must be effected at a duly called meeting of stockholders and not by written consent. A special meeting of stockholders may be called by a resolution adopted by a majority of our board, our chair of the board, our chief executive officer or the president in absence of the chief executive officer. Any power of the stockholders to call a special meeting is specifically denied by the terms of our Certificate of Incorporation.</w:t>
      </w:r>
    </w:p>
    <w:p>
      <w:pPr>
        <w:spacing w:after="0" w:line="19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We are subject to Section 203 of the Delaware General Corporation Law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11" w:lineRule="exact"/>
        <w:rPr>
          <w:sz w:val="20"/>
          <w:szCs w:val="20"/>
          <w:color w:val="auto"/>
        </w:rPr>
      </w:pPr>
    </w:p>
    <w:p>
      <w:pPr>
        <w:ind w:left="320" w:right="80" w:hanging="285"/>
        <w:spacing w:after="0" w:line="27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89" w:lineRule="exact"/>
        <w:rPr>
          <w:rFonts w:ascii="Arial" w:cs="Arial" w:eastAsia="Arial" w:hAnsi="Arial"/>
          <w:sz w:val="18"/>
          <w:szCs w:val="18"/>
          <w:color w:val="auto"/>
        </w:rPr>
      </w:pPr>
    </w:p>
    <w:p>
      <w:pPr>
        <w:ind w:left="320" w:right="40" w:hanging="285"/>
        <w:spacing w:after="0" w:line="256"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3" w:lineRule="exact"/>
        <w:rPr>
          <w:rFonts w:ascii="Arial" w:cs="Arial" w:eastAsia="Arial" w:hAnsi="Arial"/>
          <w:sz w:val="18"/>
          <w:szCs w:val="18"/>
          <w:color w:val="auto"/>
        </w:rPr>
      </w:pPr>
    </w:p>
    <w:p>
      <w:pPr>
        <w:ind w:left="320" w:right="160" w:hanging="285"/>
        <w:spacing w:after="0" w:line="263"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sixty-six and two-third percent (66 2/3%) of the outstanding voting stock that is not owned by the interested stockholder.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39" w:lineRule="exact"/>
        <w:rPr>
          <w:sz w:val="20"/>
          <w:szCs w:val="20"/>
          <w:color w:val="auto"/>
        </w:rPr>
      </w:pPr>
    </w:p>
    <w:p>
      <w:pPr>
        <w:ind w:left="360" w:hanging="330"/>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36" w:lineRule="exact"/>
        <w:rPr>
          <w:rFonts w:ascii="Arial" w:cs="Arial" w:eastAsia="Arial" w:hAnsi="Arial"/>
          <w:sz w:val="18"/>
          <w:szCs w:val="18"/>
          <w:color w:val="auto"/>
        </w:rPr>
      </w:pPr>
    </w:p>
    <w:p>
      <w:pPr>
        <w:ind w:left="360" w:right="360" w:hanging="330"/>
        <w:spacing w:after="0" w:line="266"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the assets of the corporation involving the interested stockholder;</w:t>
      </w:r>
    </w:p>
    <w:p>
      <w:pPr>
        <w:ind w:left="360" w:hanging="330"/>
        <w:spacing w:after="0" w:line="266"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ind w:left="360" w:right="20" w:hanging="330"/>
        <w:spacing w:after="0" w:line="266"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ind w:left="360" w:right="600" w:hanging="330"/>
        <w:spacing w:after="0" w:line="277"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84"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NASDAQ Capital Market under the trading symbol “CLRO.”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Colonial Stock Transfer.</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Each Selling Stockholder of the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214" w:lineRule="exact"/>
        <w:rPr>
          <w:sz w:val="20"/>
          <w:szCs w:val="20"/>
          <w:color w:val="auto"/>
        </w:rPr>
      </w:pPr>
    </w:p>
    <w:p>
      <w:pPr>
        <w:ind w:left="1300"/>
        <w:spacing w:after="0" w:line="207" w:lineRule="exact"/>
        <w:rPr>
          <w:sz w:val="20"/>
          <w:szCs w:val="20"/>
          <w:color w:val="auto"/>
        </w:rPr>
      </w:pPr>
      <w:r>
        <w:rPr>
          <w:rFonts w:ascii="Arial" w:cs="Arial" w:eastAsia="Arial" w:hAnsi="Arial"/>
          <w:sz w:val="18"/>
          <w:szCs w:val="18"/>
          <w:color w:val="auto"/>
        </w:rPr>
        <w:t>ordinary brokerage transactions and transactions in which the broker</w:t>
      </w:r>
      <w:r>
        <w:rPr>
          <w:rFonts w:ascii="MS PGothic" w:cs="MS PGothic" w:eastAsia="MS PGothic" w:hAnsi="MS PGothic"/>
          <w:sz w:val="18"/>
          <w:szCs w:val="18"/>
          <w:color w:val="auto"/>
        </w:rPr>
        <w:t>‑</w:t>
      </w:r>
      <w:r>
        <w:rPr>
          <w:rFonts w:ascii="Arial" w:cs="Arial" w:eastAsia="Arial" w:hAnsi="Arial"/>
          <w:sz w:val="18"/>
          <w:szCs w:val="18"/>
          <w:color w:val="auto"/>
        </w:rPr>
        <w:t>dealer solicits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-83185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1300" w:right="280"/>
        <w:spacing w:after="0" w:line="216" w:lineRule="exact"/>
        <w:rPr>
          <w:sz w:val="20"/>
          <w:szCs w:val="20"/>
          <w:color w:val="auto"/>
        </w:rPr>
      </w:pPr>
      <w:r>
        <w:rPr>
          <w:rFonts w:ascii="Arial" w:cs="Arial" w:eastAsia="Arial" w:hAnsi="Arial"/>
          <w:sz w:val="18"/>
          <w:szCs w:val="18"/>
          <w:color w:val="auto"/>
        </w:rPr>
        <w:t>block trades in which the broker</w:t>
      </w:r>
      <w:r>
        <w:rPr>
          <w:rFonts w:ascii="MS PGothic" w:cs="MS PGothic" w:eastAsia="MS PGothic" w:hAnsi="MS PGothic"/>
          <w:sz w:val="18"/>
          <w:szCs w:val="18"/>
          <w:color w:val="auto"/>
        </w:rPr>
        <w:t>‑</w:t>
      </w:r>
      <w:r>
        <w:rPr>
          <w:rFonts w:ascii="Arial" w:cs="Arial" w:eastAsia="Arial" w:hAnsi="Arial"/>
          <w:sz w:val="18"/>
          <w:szCs w:val="18"/>
          <w:color w:val="auto"/>
        </w:rPr>
        <w:t>dealer will attempt to sell the securities as agent but may position and resell a portion of the block as principal to facilitate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-234315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300"/>
        <w:spacing w:after="0" w:line="188" w:lineRule="exact"/>
        <w:rPr>
          <w:sz w:val="20"/>
          <w:szCs w:val="20"/>
          <w:color w:val="auto"/>
        </w:rPr>
      </w:pPr>
      <w:r>
        <w:rPr>
          <w:rFonts w:ascii="Arial" w:cs="Arial" w:eastAsia="Arial" w:hAnsi="Arial"/>
          <w:sz w:val="18"/>
          <w:szCs w:val="18"/>
          <w:color w:val="auto"/>
        </w:rPr>
        <w:t>purchases by a broker</w:t>
      </w:r>
      <w:r>
        <w:rPr>
          <w:rFonts w:ascii="MS PGothic" w:cs="MS PGothic" w:eastAsia="MS PGothic" w:hAnsi="MS PGothic"/>
          <w:sz w:val="18"/>
          <w:szCs w:val="18"/>
          <w:color w:val="auto"/>
        </w:rPr>
        <w:t>‑</w:t>
      </w:r>
      <w:r>
        <w:rPr>
          <w:rFonts w:ascii="Arial" w:cs="Arial" w:eastAsia="Arial" w:hAnsi="Arial"/>
          <w:sz w:val="18"/>
          <w:szCs w:val="18"/>
          <w:color w:val="auto"/>
        </w:rPr>
        <w:t>dealer as principal and resale by the broker</w:t>
      </w:r>
      <w:r>
        <w:rPr>
          <w:rFonts w:ascii="MS PGothic" w:cs="MS PGothic" w:eastAsia="MS PGothic" w:hAnsi="MS PGothic"/>
          <w:sz w:val="18"/>
          <w:szCs w:val="18"/>
          <w:color w:val="auto"/>
        </w:rPr>
        <w:t>‑</w:t>
      </w:r>
      <w:r>
        <w:rPr>
          <w:rFonts w:ascii="Arial" w:cs="Arial" w:eastAsia="Arial" w:hAnsi="Arial"/>
          <w:sz w:val="18"/>
          <w:szCs w:val="18"/>
          <w:color w:val="auto"/>
        </w:rPr>
        <w:t>dealer for its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-92075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an exchange distribution in accordance with the rules of the applicable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-92075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privately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-92075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settlement of short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-92075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300" w:right="20"/>
        <w:spacing w:after="0" w:line="205" w:lineRule="exact"/>
        <w:rPr>
          <w:sz w:val="20"/>
          <w:szCs w:val="20"/>
          <w:color w:val="auto"/>
        </w:rPr>
      </w:pPr>
      <w:r>
        <w:rPr>
          <w:rFonts w:ascii="Arial" w:cs="Arial" w:eastAsia="Arial" w:hAnsi="Arial"/>
          <w:sz w:val="18"/>
          <w:szCs w:val="18"/>
          <w:color w:val="auto"/>
        </w:rPr>
        <w:t>in transactions through broker</w:t>
      </w:r>
      <w:r>
        <w:rPr>
          <w:rFonts w:ascii="MS PGothic" w:cs="MS PGothic" w:eastAsia="MS PGothic" w:hAnsi="MS PGothic"/>
          <w:sz w:val="18"/>
          <w:szCs w:val="18"/>
          <w:color w:val="auto"/>
        </w:rPr>
        <w:t>‑</w:t>
      </w:r>
      <w:r>
        <w:rPr>
          <w:rFonts w:ascii="Arial" w:cs="Arial" w:eastAsia="Arial" w:hAnsi="Arial"/>
          <w:sz w:val="18"/>
          <w:szCs w:val="18"/>
          <w:color w:val="auto"/>
        </w:rPr>
        <w:t>dealers that agree with the Selling Stockholders to sell a specified number of such securities at a stipulated price per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-234315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300" w:right="840"/>
        <w:spacing w:after="0" w:line="250" w:lineRule="auto"/>
        <w:rPr>
          <w:sz w:val="20"/>
          <w:szCs w:val="20"/>
          <w:color w:val="auto"/>
        </w:rPr>
      </w:pPr>
      <w:r>
        <w:rPr>
          <w:rFonts w:ascii="Arial" w:cs="Arial" w:eastAsia="Arial" w:hAnsi="Arial"/>
          <w:sz w:val="18"/>
          <w:szCs w:val="18"/>
          <w:color w:val="auto"/>
        </w:rPr>
        <w:t>through the writing or settlement of options or other hedging transactions, whether through an options exchange or otherwise; a combination of any such methods of sale;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-234315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-97155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any other method permitted pursuant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-92075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3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Selling Stockholders may also sell securities under Rule 144 or any other exemption from registration under the Securities Act, if available, rather than under this prospectus.</w:t>
      </w:r>
    </w:p>
    <w:p>
      <w:pPr>
        <w:spacing w:after="0" w:line="211" w:lineRule="exact"/>
        <w:rPr>
          <w:sz w:val="20"/>
          <w:szCs w:val="20"/>
          <w:color w:val="auto"/>
        </w:rPr>
      </w:pPr>
    </w:p>
    <w:p>
      <w:pPr>
        <w:ind w:right="20" w:firstLine="432"/>
        <w:spacing w:after="0" w:line="219" w:lineRule="exact"/>
        <w:rPr>
          <w:sz w:val="20"/>
          <w:szCs w:val="20"/>
          <w:color w:val="auto"/>
        </w:rPr>
      </w:pPr>
      <w:r>
        <w:rPr>
          <w:rFonts w:ascii="Arial" w:cs="Arial" w:eastAsia="Arial" w:hAnsi="Arial"/>
          <w:sz w:val="18"/>
          <w:szCs w:val="18"/>
          <w:color w:val="auto"/>
        </w:rPr>
        <w:t>Broker</w:t>
      </w:r>
      <w:r>
        <w:rPr>
          <w:rFonts w:ascii="MS PGothic" w:cs="MS PGothic" w:eastAsia="MS PGothic" w:hAnsi="MS PGothic"/>
          <w:sz w:val="18"/>
          <w:szCs w:val="18"/>
          <w:color w:val="auto"/>
        </w:rPr>
        <w:t>‑</w:t>
      </w:r>
      <w:r>
        <w:rPr>
          <w:rFonts w:ascii="Arial" w:cs="Arial" w:eastAsia="Arial" w:hAnsi="Arial"/>
          <w:sz w:val="18"/>
          <w:szCs w:val="18"/>
          <w:color w:val="auto"/>
        </w:rPr>
        <w:t>dealers engaged by the Selling Stockholders may arrange for other brokers</w:t>
      </w:r>
      <w:r>
        <w:rPr>
          <w:rFonts w:ascii="MS PGothic" w:cs="MS PGothic" w:eastAsia="MS PGothic" w:hAnsi="MS PGothic"/>
          <w:sz w:val="18"/>
          <w:szCs w:val="18"/>
          <w:color w:val="auto"/>
        </w:rPr>
        <w:t>‑</w:t>
      </w:r>
      <w:r>
        <w:rPr>
          <w:rFonts w:ascii="Arial" w:cs="Arial" w:eastAsia="Arial" w:hAnsi="Arial"/>
          <w:sz w:val="18"/>
          <w:szCs w:val="18"/>
          <w:color w:val="auto"/>
        </w:rPr>
        <w:t>dealers to participate in sales. Broker</w:t>
      </w:r>
      <w:r>
        <w:rPr>
          <w:rFonts w:ascii="MS PGothic" w:cs="MS PGothic" w:eastAsia="MS PGothic" w:hAnsi="MS PGothic"/>
          <w:sz w:val="18"/>
          <w:szCs w:val="18"/>
          <w:color w:val="auto"/>
        </w:rPr>
        <w:t>‑</w:t>
      </w:r>
      <w:r>
        <w:rPr>
          <w:rFonts w:ascii="Arial" w:cs="Arial" w:eastAsia="Arial" w:hAnsi="Arial"/>
          <w:sz w:val="18"/>
          <w:szCs w:val="18"/>
          <w:color w:val="auto"/>
        </w:rPr>
        <w:t>dealers may receive commissions or discounts from the Selling Stockholders (or, if any broker</w:t>
      </w:r>
      <w:r>
        <w:rPr>
          <w:rFonts w:ascii="MS PGothic" w:cs="MS PGothic" w:eastAsia="MS PGothic" w:hAnsi="MS PGothic"/>
          <w:sz w:val="18"/>
          <w:szCs w:val="18"/>
          <w:color w:val="auto"/>
        </w:rPr>
        <w:t>‑</w:t>
      </w:r>
      <w:r>
        <w:rPr>
          <w:rFonts w:ascii="Arial" w:cs="Arial" w:eastAsia="Arial" w:hAnsi="Arial"/>
          <w:sz w:val="18"/>
          <w:szCs w:val="18"/>
          <w:color w:val="auto"/>
        </w:rPr>
        <w:t>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32"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23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228"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3" w:name="page14"/>
    <w:bookmarkEnd w:id="13"/>
    <w:p>
      <w:pPr>
        <w:ind w:right="20" w:firstLine="432"/>
        <w:spacing w:after="0" w:line="254"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2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consolidated financial statements of ClearOne, Inc. incorporated in this prospectus by reference from ClearOne Inc.'s Annual Report on Form 10-K for the year ended December 31, 2020 were audited by Tanner LLC, an independent registered public accounting firm, as stated in their report which is incorporated herein by reference. Such consolidated statements have been so incorporated in reliance upon the report of such firm given upon their authority as experts in accounting and auditing.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validity of the securities being offered hereby will be passed upon by Seyfarth Shaw LLP.</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229" w:lineRule="exact"/>
        <w:rPr>
          <w:sz w:val="20"/>
          <w:szCs w:val="20"/>
          <w:color w:val="auto"/>
        </w:rPr>
      </w:pPr>
    </w:p>
    <w:p>
      <w:pPr>
        <w:ind w:right="120" w:firstLine="576"/>
        <w:spacing w:after="0" w:line="263" w:lineRule="auto"/>
        <w:rPr>
          <w:sz w:val="20"/>
          <w:szCs w:val="20"/>
          <w:color w:val="auto"/>
        </w:rPr>
      </w:pPr>
      <w:r>
        <w:rPr>
          <w:rFonts w:ascii="Arial" w:cs="Arial" w:eastAsia="Arial" w:hAnsi="Arial"/>
          <w:sz w:val="18"/>
          <w:szCs w:val="18"/>
          <w:color w:val="auto"/>
        </w:rPr>
        <w:t>Set forth below is an estimate (except in the case of the registration fee) of the amount of fees and expenses to be incurred in connection with the issuance and distribution of the offered securities registered hereby, other than underwriting discounts and commission, if any, incurred in connection with the sale of the offered securities. All such amounts will be borne by ClearOne, Inc.</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8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r>
      <w:tr>
        <w:trPr>
          <w:trHeight w:val="243"/>
        </w:trPr>
        <w:tc>
          <w:tcPr>
            <w:tcW w:w="91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r>
      <w:tr>
        <w:trPr>
          <w:trHeight w:val="243"/>
        </w:trPr>
        <w:tc>
          <w:tcPr>
            <w:tcW w:w="9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 Fees and Expenses</w:t>
            </w: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r>
      <w:tr>
        <w:trPr>
          <w:trHeight w:val="243"/>
        </w:trPr>
        <w:tc>
          <w:tcPr>
            <w:tcW w:w="9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2"/>
              <w:spacing w:after="0" w:line="237" w:lineRule="exact"/>
              <w:rPr>
                <w:sz w:val="20"/>
                <w:szCs w:val="20"/>
                <w:color w:val="auto"/>
              </w:rPr>
            </w:pPr>
            <w:r>
              <w:rPr>
                <w:rFonts w:ascii="Arial" w:cs="Arial" w:eastAsia="Arial" w:hAnsi="Arial"/>
                <w:sz w:val="22"/>
                <w:szCs w:val="22"/>
                <w:color w:val="auto"/>
                <w:w w:val="8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72,961</w:t>
            </w:r>
          </w:p>
        </w:tc>
      </w:tr>
    </w:tbl>
    <w:p>
      <w:pPr>
        <w:spacing w:after="0" w:line="34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are incorporated under the laws of the State of Delaware. Section 145 of the Delaware General Corporation Law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partnership, joint venture, trust or other enterprise. The indemnification may include expenses (including attorneys’ fees), judgments, fines and amounts paid in settlement actually and reasonably incurred by such person in connection with defending or settling such action, suit or proceeding, provided that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18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Our certificate of incorporation and bylaws provide for the indemnification of its directors and officers to the fullest extent permitted under the Delaware General Corporation Law.</w:t>
      </w:r>
    </w:p>
    <w:p>
      <w:pPr>
        <w:spacing w:after="0" w:line="170"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84" w:lineRule="exact"/>
        <w:rPr>
          <w:sz w:val="20"/>
          <w:szCs w:val="20"/>
          <w:color w:val="auto"/>
        </w:rPr>
      </w:pPr>
    </w:p>
    <w:p>
      <w:pPr>
        <w:ind w:left="780" w:hanging="340"/>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Breach of director’s duty of loyalty to the corporation or its stockholders.</w:t>
      </w:r>
    </w:p>
    <w:p>
      <w:pPr>
        <w:spacing w:after="0" w:line="117" w:lineRule="exact"/>
        <w:rPr>
          <w:rFonts w:ascii="Arial" w:cs="Arial" w:eastAsia="Arial" w:hAnsi="Arial"/>
          <w:sz w:val="18"/>
          <w:szCs w:val="18"/>
          <w:color w:val="auto"/>
        </w:rPr>
      </w:pPr>
    </w:p>
    <w:p>
      <w:pPr>
        <w:ind w:left="780" w:hanging="340"/>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780" w:hanging="340"/>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Unlawful payment of dividends or unlawful purchase or redemption of shares; or</w:t>
      </w:r>
    </w:p>
    <w:p>
      <w:pPr>
        <w:spacing w:after="0" w:line="117" w:lineRule="exact"/>
        <w:rPr>
          <w:rFonts w:ascii="Arial" w:cs="Arial" w:eastAsia="Arial" w:hAnsi="Arial"/>
          <w:sz w:val="18"/>
          <w:szCs w:val="18"/>
          <w:color w:val="auto"/>
        </w:rPr>
      </w:pPr>
    </w:p>
    <w:p>
      <w:pPr>
        <w:ind w:left="780" w:hanging="340"/>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ind w:right="100" w:firstLine="432"/>
        <w:spacing w:after="0" w:line="286" w:lineRule="auto"/>
        <w:rPr>
          <w:sz w:val="20"/>
          <w:szCs w:val="20"/>
          <w:color w:val="auto"/>
        </w:rPr>
      </w:pPr>
      <w:r>
        <w:rPr>
          <w:rFonts w:ascii="Arial" w:cs="Arial" w:eastAsia="Arial" w:hAnsi="Arial"/>
          <w:sz w:val="17"/>
          <w:szCs w:val="17"/>
          <w:color w:val="auto"/>
        </w:rPr>
        <w:t>Our certificate of incorporation includes such a provision. Expenses incurred by any officer or director in defending any such action, suit or proceeding in advance of its final disposition shall be paid by us upon delivery to us of an undertaking, by or on behalf of such director or officer, to repay all amounts so advanced if we shall ultimately be determined that such director or officer is not entitled to be indemnified by us.</w:t>
      </w:r>
    </w:p>
    <w:p>
      <w:pPr>
        <w:spacing w:after="0" w:line="1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tab/>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Exhibit Index to this Registration Statement on Form S-3 which is incorporated herein by reference.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17.</w:t>
        <w:tab/>
        <w:t>UNDERTAKINGS.</w:t>
      </w:r>
    </w:p>
    <w:p>
      <w:pPr>
        <w:spacing w:after="0" w:line="229" w:lineRule="exact"/>
        <w:rPr>
          <w:sz w:val="20"/>
          <w:szCs w:val="20"/>
          <w:color w:val="auto"/>
        </w:rPr>
      </w:pPr>
    </w:p>
    <w:p>
      <w:pPr>
        <w:ind w:left="740" w:hanging="7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440" w:hanging="719"/>
        <w:spacing w:after="0"/>
        <w:tabs>
          <w:tab w:leader="none" w:pos="14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160" w:hanging="726"/>
        <w:spacing w:after="0"/>
        <w:tabs>
          <w:tab w:leader="none" w:pos="216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2140" w:right="40" w:hanging="706"/>
        <w:spacing w:after="0" w:line="271" w:lineRule="auto"/>
        <w:tabs>
          <w:tab w:leader="none" w:pos="2133" w:val="left"/>
        </w:tabs>
        <w:numPr>
          <w:ilvl w:val="2"/>
          <w:numId w:val="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left="2140" w:right="540" w:hanging="706"/>
        <w:spacing w:after="0" w:line="277" w:lineRule="auto"/>
        <w:tabs>
          <w:tab w:leader="none" w:pos="217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44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(i), (ii) and (iii)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ind w:left="719" w:right="140" w:hanging="719"/>
        <w:spacing w:after="0" w:line="263" w:lineRule="auto"/>
        <w:tabs>
          <w:tab w:leader="none" w:pos="72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719" w:right="120" w:hanging="719"/>
        <w:spacing w:after="0" w:line="277" w:lineRule="auto"/>
        <w:tabs>
          <w:tab w:leader="none" w:pos="722"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19" w:hanging="719"/>
        <w:spacing w:after="0"/>
        <w:tabs>
          <w:tab w:leader="none" w:pos="71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419" w:right="160" w:hanging="668"/>
        <w:spacing w:after="0" w:line="277" w:lineRule="auto"/>
        <w:tabs>
          <w:tab w:leader="none" w:pos="1442" w:val="left"/>
        </w:tabs>
        <w:numPr>
          <w:ilvl w:val="2"/>
          <w:numId w:val="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419" w:right="20" w:hanging="668"/>
        <w:spacing w:after="0" w:line="268" w:lineRule="auto"/>
        <w:tabs>
          <w:tab w:leader="none" w:pos="1411" w:val="left"/>
        </w:tabs>
        <w:numPr>
          <w:ilvl w:val="2"/>
          <w:numId w:val="8"/>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6" w:lineRule="exact"/>
        <w:rPr>
          <w:rFonts w:ascii="Arial" w:cs="Arial" w:eastAsia="Arial" w:hAnsi="Arial"/>
          <w:sz w:val="17"/>
          <w:szCs w:val="17"/>
          <w:color w:val="auto"/>
        </w:rPr>
      </w:pPr>
    </w:p>
    <w:p>
      <w:pPr>
        <w:ind w:left="719" w:hanging="719"/>
        <w:spacing w:after="0" w:line="275" w:lineRule="auto"/>
        <w:tabs>
          <w:tab w:leader="none" w:pos="72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6" w:lineRule="exact"/>
        <w:rPr>
          <w:rFonts w:ascii="Arial" w:cs="Arial" w:eastAsia="Arial" w:hAnsi="Arial"/>
          <w:sz w:val="17"/>
          <w:szCs w:val="17"/>
          <w:color w:val="auto"/>
        </w:rPr>
      </w:pPr>
    </w:p>
    <w:p>
      <w:pPr>
        <w:ind w:left="1419" w:hanging="706"/>
        <w:spacing w:after="0" w:line="277" w:lineRule="auto"/>
        <w:tabs>
          <w:tab w:leader="none" w:pos="1443"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419" w:right="80" w:hanging="706"/>
        <w:spacing w:after="0" w:line="277" w:lineRule="auto"/>
        <w:tabs>
          <w:tab w:leader="none" w:pos="1453"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419" w:right="880" w:hanging="706"/>
        <w:spacing w:after="0" w:line="308" w:lineRule="auto"/>
        <w:tabs>
          <w:tab w:leader="none" w:pos="1462"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6" w:lineRule="exact"/>
        <w:rPr>
          <w:rFonts w:ascii="Arial" w:cs="Arial" w:eastAsia="Arial" w:hAnsi="Arial"/>
          <w:sz w:val="17"/>
          <w:szCs w:val="17"/>
          <w:color w:val="auto"/>
        </w:rPr>
      </w:pPr>
    </w:p>
    <w:p>
      <w:pPr>
        <w:ind w:left="1439" w:hanging="726"/>
        <w:spacing w:after="0"/>
        <w:tabs>
          <w:tab w:leader="none" w:pos="143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sz w:val="20"/>
          <w:szCs w:val="20"/>
          <w:color w:val="auto"/>
        </w:rPr>
      </w:pPr>
    </w:p>
    <w:p>
      <w:pPr>
        <w:ind w:left="47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9"/>
          </w:cols>
          <w:pgMar w:left="1041" w:top="557" w:right="339" w:bottom="1440" w:gutter="0" w:footer="0" w:header="0"/>
        </w:sectPr>
      </w:pPr>
    </w:p>
    <w:bookmarkStart w:id="17" w:name="page18"/>
    <w:bookmarkEnd w:id="17"/>
    <w:p>
      <w:pPr>
        <w:ind w:left="712" w:right="40" w:hanging="712"/>
        <w:spacing w:after="0" w:line="275" w:lineRule="auto"/>
        <w:tabs>
          <w:tab w:leader="none" w:pos="718"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6" w:lineRule="exact"/>
        <w:rPr>
          <w:rFonts w:ascii="Arial" w:cs="Arial" w:eastAsia="Arial" w:hAnsi="Arial"/>
          <w:sz w:val="17"/>
          <w:szCs w:val="17"/>
          <w:color w:val="auto"/>
        </w:rPr>
      </w:pPr>
    </w:p>
    <w:p>
      <w:pPr>
        <w:ind w:left="712" w:hanging="712"/>
        <w:spacing w:after="0" w:line="271" w:lineRule="auto"/>
        <w:tabs>
          <w:tab w:leader="none" w:pos="718"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Pursuant to the requirements of the Securities Act, the registrant hereby certifies that it has reasonable grounds to believe that it meets all of the requirements for filing on Form S-3 and has duly caused this registration statement to be signed on its behalf by the undersigned, thereunto duly authorized, in the city of Salt Lake City, Utah on this 24th day of September, 2021.</w:t>
      </w:r>
    </w:p>
    <w:p>
      <w:pPr>
        <w:spacing w:after="0" w:line="184" w:lineRule="exact"/>
        <w:rPr>
          <w:sz w:val="20"/>
          <w:szCs w:val="20"/>
          <w:color w:val="auto"/>
        </w:rPr>
      </w:pPr>
    </w:p>
    <w:p>
      <w:pPr>
        <w:ind w:left="6100"/>
        <w:spacing w:after="0"/>
        <w:rPr>
          <w:sz w:val="20"/>
          <w:szCs w:val="20"/>
          <w:color w:val="auto"/>
        </w:rPr>
      </w:pPr>
      <w:r>
        <w:rPr>
          <w:rFonts w:ascii="Arial" w:cs="Arial" w:eastAsia="Arial" w:hAnsi="Arial"/>
          <w:sz w:val="18"/>
          <w:szCs w:val="18"/>
          <w:u w:val="single" w:color="auto"/>
          <w:color w:val="auto"/>
        </w:rPr>
        <w:t>CLEARONE, INC.</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Zeynep Hakimoglu</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-130175</wp:posOffset>
            </wp:positionV>
            <wp:extent cx="3265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firstLine="45"/>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Zeynep Hakimoglu, Narsi Narayanan, or any one of them, his or her attorneys-in-fact and agents, each with full power of substitution and re-substitution for him in any and all capacities, to sign any or all amendments or post-effective amendments to this registration statement on Form S-3 or a registration statement prepared in accordance with Rule 462 of the Securities Act of 1933, as amended, and to file the same, with exhibits thereto and other documents in connection herewith or in connection with the registration of the offered securities under the Securities Exchange Act of 1934, as amended, with the Securities and Exchange Commission, granting unto each of such attorneys-in-fact and agents full power to do and perform each and every act and thing requisite and necessary in connection with such matters and hereby ratifying and confirming all that each of such attorneys-in-fact and agents or his substitutes may do or cause to be done by virtue hereof.</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Date</w:t>
            </w:r>
          </w:p>
        </w:tc>
        <w:tc>
          <w:tcPr>
            <w:tcW w:w="2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Signatures</w:t>
            </w:r>
          </w:p>
        </w:tc>
        <w:tc>
          <w:tcPr>
            <w:tcW w:w="6260" w:type="dxa"/>
            <w:vAlign w:val="bottom"/>
            <w:gridSpan w:val="7"/>
          </w:tcPr>
          <w:p>
            <w:pPr>
              <w:spacing w:after="0"/>
              <w:rPr>
                <w:sz w:val="13"/>
                <w:szCs w:val="13"/>
                <w:color w:val="auto"/>
              </w:rPr>
            </w:pPr>
          </w:p>
        </w:tc>
      </w:tr>
      <w:tr>
        <w:trPr>
          <w:trHeight w:val="385"/>
        </w:trPr>
        <w:tc>
          <w:tcPr>
            <w:tcW w:w="2660" w:type="dxa"/>
            <w:vAlign w:val="bottom"/>
            <w:gridSpan w:val="2"/>
          </w:tcPr>
          <w:p>
            <w:pPr>
              <w:spacing w:after="0"/>
              <w:rPr>
                <w:sz w:val="20"/>
                <w:szCs w:val="20"/>
                <w:color w:val="auto"/>
              </w:rPr>
            </w:pPr>
            <w:r>
              <w:rPr>
                <w:rFonts w:ascii="Arial" w:cs="Arial" w:eastAsia="Arial" w:hAnsi="Arial"/>
                <w:sz w:val="18"/>
                <w:szCs w:val="18"/>
                <w:color w:val="auto"/>
              </w:rPr>
              <w:t>September 24, 2021</w:t>
            </w:r>
          </w:p>
        </w:tc>
        <w:tc>
          <w:tcPr>
            <w:tcW w:w="1220" w:type="dxa"/>
            <w:vAlign w:val="bottom"/>
          </w:tcPr>
          <w:p>
            <w:pPr>
              <w:spacing w:after="0"/>
              <w:rPr>
                <w:sz w:val="24"/>
                <w:szCs w:val="24"/>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3"/>
              </w:rPr>
              <w:t>/s/ Zeynep Hakimoglu</w:t>
            </w:r>
          </w:p>
        </w:tc>
        <w:tc>
          <w:tcPr>
            <w:tcW w:w="5240" w:type="dxa"/>
            <w:vAlign w:val="bottom"/>
          </w:tcPr>
          <w:p>
            <w:pPr>
              <w:spacing w:after="0"/>
              <w:rPr>
                <w:sz w:val="24"/>
                <w:szCs w:val="24"/>
                <w:color w:val="auto"/>
              </w:rPr>
            </w:pPr>
          </w:p>
        </w:tc>
      </w:tr>
      <w:tr>
        <w:trPr>
          <w:trHeight w:val="222"/>
        </w:trPr>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80" w:type="dxa"/>
            <w:vAlign w:val="bottom"/>
            <w:gridSpan w:val="8"/>
          </w:tcPr>
          <w:p>
            <w:pPr>
              <w:spacing w:after="0"/>
              <w:rPr>
                <w:sz w:val="20"/>
                <w:szCs w:val="20"/>
                <w:color w:val="auto"/>
              </w:rPr>
            </w:pPr>
            <w:r>
              <w:rPr>
                <w:rFonts w:ascii="Arial" w:cs="Arial" w:eastAsia="Arial" w:hAnsi="Arial"/>
                <w:sz w:val="18"/>
                <w:szCs w:val="18"/>
                <w:color w:val="auto"/>
                <w:w w:val="91"/>
              </w:rPr>
              <w:t>Zeynep Hakimoglu, Chairman of the Board of Directors, President and Chief Executive Officer</w:t>
            </w:r>
          </w:p>
        </w:tc>
      </w:tr>
      <w:tr>
        <w:trPr>
          <w:trHeight w:val="230"/>
        </w:trPr>
        <w:tc>
          <w:tcPr>
            <w:tcW w:w="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80" w:type="dxa"/>
            <w:vAlign w:val="bottom"/>
            <w:gridSpan w:val="8"/>
          </w:tcPr>
          <w:p>
            <w:pPr>
              <w:spacing w:after="0"/>
              <w:rPr>
                <w:sz w:val="20"/>
                <w:szCs w:val="20"/>
                <w:color w:val="auto"/>
              </w:rPr>
            </w:pPr>
            <w:r>
              <w:rPr>
                <w:rFonts w:ascii="Arial" w:cs="Arial" w:eastAsia="Arial" w:hAnsi="Arial"/>
                <w:sz w:val="18"/>
                <w:szCs w:val="18"/>
                <w:color w:val="auto"/>
              </w:rPr>
              <w:t>(Principal Executive Officer)</w:t>
            </w:r>
          </w:p>
        </w:tc>
      </w:tr>
      <w:tr>
        <w:trPr>
          <w:trHeight w:val="391"/>
        </w:trPr>
        <w:tc>
          <w:tcPr>
            <w:tcW w:w="2660" w:type="dxa"/>
            <w:vAlign w:val="bottom"/>
            <w:gridSpan w:val="2"/>
          </w:tcPr>
          <w:p>
            <w:pPr>
              <w:spacing w:after="0"/>
              <w:rPr>
                <w:sz w:val="20"/>
                <w:szCs w:val="20"/>
                <w:color w:val="auto"/>
              </w:rPr>
            </w:pPr>
            <w:r>
              <w:rPr>
                <w:rFonts w:ascii="Arial" w:cs="Arial" w:eastAsia="Arial" w:hAnsi="Arial"/>
                <w:sz w:val="18"/>
                <w:szCs w:val="18"/>
                <w:color w:val="auto"/>
              </w:rPr>
              <w:t>September 24, 2021</w:t>
            </w:r>
          </w:p>
        </w:tc>
        <w:tc>
          <w:tcPr>
            <w:tcW w:w="1220" w:type="dxa"/>
            <w:vAlign w:val="bottom"/>
          </w:tcPr>
          <w:p>
            <w:pPr>
              <w:spacing w:after="0"/>
              <w:rPr>
                <w:sz w:val="24"/>
                <w:szCs w:val="24"/>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/s/ Narsi Narayanan</w:t>
            </w:r>
          </w:p>
        </w:tc>
        <w:tc>
          <w:tcPr>
            <w:tcW w:w="5440" w:type="dxa"/>
            <w:vAlign w:val="bottom"/>
            <w:gridSpan w:val="4"/>
          </w:tcPr>
          <w:p>
            <w:pPr>
              <w:spacing w:after="0"/>
              <w:rPr>
                <w:sz w:val="24"/>
                <w:szCs w:val="24"/>
                <w:color w:val="auto"/>
              </w:rPr>
            </w:pPr>
          </w:p>
        </w:tc>
      </w:tr>
      <w:tr>
        <w:trPr>
          <w:trHeight w:val="222"/>
        </w:trPr>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80" w:type="dxa"/>
            <w:vAlign w:val="bottom"/>
            <w:gridSpan w:val="8"/>
          </w:tcPr>
          <w:p>
            <w:pPr>
              <w:spacing w:after="0"/>
              <w:rPr>
                <w:sz w:val="20"/>
                <w:szCs w:val="20"/>
                <w:color w:val="auto"/>
              </w:rPr>
            </w:pPr>
            <w:r>
              <w:rPr>
                <w:rFonts w:ascii="Arial" w:cs="Arial" w:eastAsia="Arial" w:hAnsi="Arial"/>
                <w:sz w:val="18"/>
                <w:szCs w:val="18"/>
                <w:color w:val="auto"/>
              </w:rPr>
              <w:t>Narsi Narayanan, Senior Vice President of Finance</w:t>
            </w:r>
          </w:p>
        </w:tc>
      </w:tr>
      <w:tr>
        <w:trPr>
          <w:trHeight w:val="230"/>
        </w:trPr>
        <w:tc>
          <w:tcPr>
            <w:tcW w:w="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80" w:type="dxa"/>
            <w:vAlign w:val="bottom"/>
            <w:gridSpan w:val="8"/>
          </w:tcPr>
          <w:p>
            <w:pPr>
              <w:spacing w:after="0"/>
              <w:rPr>
                <w:sz w:val="20"/>
                <w:szCs w:val="20"/>
                <w:color w:val="auto"/>
              </w:rPr>
            </w:pPr>
            <w:r>
              <w:rPr>
                <w:rFonts w:ascii="Arial" w:cs="Arial" w:eastAsia="Arial" w:hAnsi="Arial"/>
                <w:sz w:val="18"/>
                <w:szCs w:val="18"/>
                <w:color w:val="auto"/>
              </w:rPr>
              <w:t>(Principal Financial and Principal Accounting Officer)</w:t>
            </w:r>
          </w:p>
        </w:tc>
      </w:tr>
      <w:tr>
        <w:trPr>
          <w:trHeight w:val="553"/>
        </w:trPr>
        <w:tc>
          <w:tcPr>
            <w:tcW w:w="2660" w:type="dxa"/>
            <w:vAlign w:val="bottom"/>
            <w:gridSpan w:val="2"/>
          </w:tcPr>
          <w:p>
            <w:pPr>
              <w:spacing w:after="0"/>
              <w:rPr>
                <w:sz w:val="20"/>
                <w:szCs w:val="20"/>
                <w:color w:val="auto"/>
              </w:rPr>
            </w:pPr>
            <w:r>
              <w:rPr>
                <w:rFonts w:ascii="Arial" w:cs="Arial" w:eastAsia="Arial" w:hAnsi="Arial"/>
                <w:sz w:val="18"/>
                <w:szCs w:val="18"/>
                <w:color w:val="auto"/>
              </w:rPr>
              <w:t>September 24, 2021</w:t>
            </w:r>
          </w:p>
        </w:tc>
        <w:tc>
          <w:tcPr>
            <w:tcW w:w="1220" w:type="dxa"/>
            <w:vAlign w:val="bottom"/>
          </w:tcPr>
          <w:p>
            <w:pPr>
              <w:spacing w:after="0"/>
              <w:rPr>
                <w:sz w:val="24"/>
                <w:szCs w:val="24"/>
                <w:color w:val="auto"/>
              </w:rPr>
            </w:pPr>
          </w:p>
        </w:tc>
        <w:tc>
          <w:tcPr>
            <w:tcW w:w="16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2"/>
              </w:rPr>
              <w:t>/s/ Larry R. Hendricks</w:t>
            </w:r>
          </w:p>
        </w:tc>
        <w:tc>
          <w:tcPr>
            <w:tcW w:w="5260" w:type="dxa"/>
            <w:vAlign w:val="bottom"/>
            <w:gridSpan w:val="2"/>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80" w:type="dxa"/>
            <w:vAlign w:val="bottom"/>
            <w:gridSpan w:val="8"/>
          </w:tcPr>
          <w:p>
            <w:pPr>
              <w:spacing w:after="0"/>
              <w:rPr>
                <w:sz w:val="20"/>
                <w:szCs w:val="20"/>
                <w:color w:val="auto"/>
              </w:rPr>
            </w:pPr>
            <w:r>
              <w:rPr>
                <w:rFonts w:ascii="Arial" w:cs="Arial" w:eastAsia="Arial" w:hAnsi="Arial"/>
                <w:sz w:val="18"/>
                <w:szCs w:val="18"/>
                <w:color w:val="auto"/>
              </w:rPr>
              <w:t>Larry R. Hendricks, Director</w:t>
            </w:r>
          </w:p>
        </w:tc>
      </w:tr>
      <w:tr>
        <w:trPr>
          <w:trHeight w:val="445"/>
        </w:trPr>
        <w:tc>
          <w:tcPr>
            <w:tcW w:w="2660" w:type="dxa"/>
            <w:vAlign w:val="bottom"/>
            <w:gridSpan w:val="2"/>
          </w:tcPr>
          <w:p>
            <w:pPr>
              <w:spacing w:after="0"/>
              <w:rPr>
                <w:sz w:val="20"/>
                <w:szCs w:val="20"/>
                <w:color w:val="auto"/>
              </w:rPr>
            </w:pPr>
            <w:r>
              <w:rPr>
                <w:rFonts w:ascii="Arial" w:cs="Arial" w:eastAsia="Arial" w:hAnsi="Arial"/>
                <w:sz w:val="18"/>
                <w:szCs w:val="18"/>
                <w:color w:val="auto"/>
              </w:rPr>
              <w:t>September 24, 2021</w:t>
            </w:r>
          </w:p>
        </w:tc>
        <w:tc>
          <w:tcPr>
            <w:tcW w:w="1220" w:type="dxa"/>
            <w:vAlign w:val="bottom"/>
          </w:tcPr>
          <w:p>
            <w:pPr>
              <w:spacing w:after="0"/>
              <w:rPr>
                <w:sz w:val="24"/>
                <w:szCs w:val="24"/>
                <w:color w:val="auto"/>
              </w:rPr>
            </w:pPr>
          </w:p>
        </w:tc>
        <w:tc>
          <w:tcPr>
            <w:tcW w:w="6880" w:type="dxa"/>
            <w:vAlign w:val="bottom"/>
            <w:gridSpan w:val="8"/>
          </w:tcPr>
          <w:p>
            <w:pPr>
              <w:spacing w:after="0"/>
              <w:rPr>
                <w:sz w:val="20"/>
                <w:szCs w:val="20"/>
                <w:color w:val="auto"/>
              </w:rPr>
            </w:pPr>
            <w:r>
              <w:rPr>
                <w:rFonts w:ascii="Arial" w:cs="Arial" w:eastAsia="Arial" w:hAnsi="Arial"/>
                <w:sz w:val="18"/>
                <w:szCs w:val="18"/>
                <w:color w:val="auto"/>
              </w:rPr>
              <w:t>/s/ Lisa Higley</w:t>
            </w:r>
          </w:p>
        </w:tc>
      </w:tr>
      <w:tr>
        <w:trPr>
          <w:trHeight w:val="20"/>
        </w:trPr>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80" w:type="dxa"/>
            <w:vAlign w:val="bottom"/>
            <w:gridSpan w:val="8"/>
          </w:tcPr>
          <w:p>
            <w:pPr>
              <w:spacing w:after="0"/>
              <w:rPr>
                <w:sz w:val="20"/>
                <w:szCs w:val="20"/>
                <w:color w:val="auto"/>
              </w:rPr>
            </w:pPr>
            <w:r>
              <w:rPr>
                <w:rFonts w:ascii="Arial" w:cs="Arial" w:eastAsia="Arial" w:hAnsi="Arial"/>
                <w:sz w:val="18"/>
                <w:szCs w:val="18"/>
                <w:color w:val="auto"/>
              </w:rPr>
              <w:t>Lisa Higley, Director</w:t>
            </w:r>
          </w:p>
        </w:tc>
      </w:tr>
      <w:tr>
        <w:trPr>
          <w:trHeight w:val="445"/>
        </w:trPr>
        <w:tc>
          <w:tcPr>
            <w:tcW w:w="2660" w:type="dxa"/>
            <w:vAlign w:val="bottom"/>
            <w:gridSpan w:val="2"/>
          </w:tcPr>
          <w:p>
            <w:pPr>
              <w:spacing w:after="0"/>
              <w:rPr>
                <w:sz w:val="20"/>
                <w:szCs w:val="20"/>
                <w:color w:val="auto"/>
              </w:rPr>
            </w:pPr>
            <w:r>
              <w:rPr>
                <w:rFonts w:ascii="Arial" w:cs="Arial" w:eastAsia="Arial" w:hAnsi="Arial"/>
                <w:sz w:val="18"/>
                <w:szCs w:val="18"/>
                <w:color w:val="auto"/>
              </w:rPr>
              <w:t>September 24, 2021</w:t>
            </w:r>
          </w:p>
        </w:tc>
        <w:tc>
          <w:tcPr>
            <w:tcW w:w="1220" w:type="dxa"/>
            <w:vAlign w:val="bottom"/>
          </w:tcPr>
          <w:p>
            <w:pPr>
              <w:spacing w:after="0"/>
              <w:rPr>
                <w:sz w:val="24"/>
                <w:szCs w:val="24"/>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/s/ Eric L. Robinson</w:t>
            </w:r>
          </w:p>
        </w:tc>
        <w:tc>
          <w:tcPr>
            <w:tcW w:w="5420" w:type="dxa"/>
            <w:vAlign w:val="bottom"/>
            <w:gridSpan w:val="3"/>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80" w:type="dxa"/>
            <w:vAlign w:val="bottom"/>
            <w:gridSpan w:val="8"/>
          </w:tcPr>
          <w:p>
            <w:pPr>
              <w:spacing w:after="0"/>
              <w:rPr>
                <w:sz w:val="20"/>
                <w:szCs w:val="20"/>
                <w:color w:val="auto"/>
              </w:rPr>
            </w:pPr>
            <w:r>
              <w:rPr>
                <w:rFonts w:ascii="Arial" w:cs="Arial" w:eastAsia="Arial" w:hAnsi="Arial"/>
                <w:sz w:val="18"/>
                <w:szCs w:val="18"/>
                <w:color w:val="auto"/>
              </w:rPr>
              <w:t>Eric L. Robinson, Director</w:t>
            </w:r>
          </w:p>
        </w:tc>
      </w:tr>
      <w:tr>
        <w:trPr>
          <w:trHeight w:val="418"/>
        </w:trPr>
        <w:tc>
          <w:tcPr>
            <w:tcW w:w="2660" w:type="dxa"/>
            <w:vAlign w:val="bottom"/>
            <w:gridSpan w:val="2"/>
          </w:tcPr>
          <w:p>
            <w:pPr>
              <w:spacing w:after="0"/>
              <w:rPr>
                <w:sz w:val="20"/>
                <w:szCs w:val="20"/>
                <w:color w:val="auto"/>
              </w:rPr>
            </w:pPr>
            <w:r>
              <w:rPr>
                <w:rFonts w:ascii="Arial" w:cs="Arial" w:eastAsia="Arial" w:hAnsi="Arial"/>
                <w:sz w:val="18"/>
                <w:szCs w:val="18"/>
                <w:color w:val="auto"/>
              </w:rPr>
              <w:t>September 24, 2021</w:t>
            </w:r>
          </w:p>
        </w:tc>
        <w:tc>
          <w:tcPr>
            <w:tcW w:w="1220" w:type="dxa"/>
            <w:vAlign w:val="bottom"/>
          </w:tcPr>
          <w:p>
            <w:pPr>
              <w:spacing w:after="0"/>
              <w:rPr>
                <w:sz w:val="24"/>
                <w:szCs w:val="24"/>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 Bruce Whaley</w:t>
            </w:r>
          </w:p>
        </w:tc>
        <w:tc>
          <w:tcPr>
            <w:tcW w:w="5620" w:type="dxa"/>
            <w:vAlign w:val="bottom"/>
            <w:gridSpan w:val="5"/>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80" w:type="dxa"/>
            <w:vAlign w:val="bottom"/>
            <w:gridSpan w:val="8"/>
          </w:tcPr>
          <w:p>
            <w:pPr>
              <w:spacing w:after="0"/>
              <w:rPr>
                <w:sz w:val="20"/>
                <w:szCs w:val="20"/>
                <w:color w:val="auto"/>
              </w:rPr>
            </w:pPr>
            <w:r>
              <w:rPr>
                <w:rFonts w:ascii="Arial" w:cs="Arial" w:eastAsia="Arial" w:hAnsi="Arial"/>
                <w:sz w:val="18"/>
                <w:szCs w:val="18"/>
                <w:color w:val="auto"/>
              </w:rPr>
              <w:t>Bruce Whaley,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26" w:lineRule="exact"/>
        <w:rPr>
          <w:sz w:val="20"/>
          <w:szCs w:val="20"/>
          <w:color w:val="auto"/>
        </w:rPr>
      </w:pPr>
    </w:p>
    <w:p>
      <w:pPr>
        <w:ind w:left="520" w:hanging="440"/>
        <w:spacing w:after="0" w:line="277" w:lineRule="auto"/>
        <w:tabs>
          <w:tab w:leader="none" w:pos="50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48">
        <w:r>
          <w:rPr>
            <w:rFonts w:ascii="Arial" w:cs="Arial" w:eastAsia="Arial" w:hAnsi="Arial"/>
            <w:sz w:val="18"/>
            <w:szCs w:val="18"/>
            <w:u w:val="single" w:color="auto"/>
            <w:color w:val="0000FF"/>
          </w:rPr>
          <w:t>Description of Securities Registered Pursuant to Section 12 of the Securities Exchange Act of 1934 (filed as Exhibit 4.1 to ClearOne, Inc.’s</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Annual Report on Form 10-K for the year ended December 31, 2020 and incorporated herein by reference).</w:t>
        </w:r>
      </w:hyperlink>
    </w:p>
    <w:p>
      <w:pPr>
        <w:spacing w:after="0" w:line="238" w:lineRule="exact"/>
        <w:rPr>
          <w:sz w:val="20"/>
          <w:szCs w:val="20"/>
          <w:color w:val="auto"/>
        </w:rPr>
      </w:pPr>
    </w:p>
    <w:p>
      <w:pPr>
        <w:ind w:left="80"/>
        <w:spacing w:after="0"/>
        <w:tabs>
          <w:tab w:leader="none" w:pos="50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21">
        <w:r>
          <w:rPr>
            <w:rFonts w:ascii="Arial" w:cs="Arial" w:eastAsia="Arial" w:hAnsi="Arial"/>
            <w:sz w:val="16"/>
            <w:szCs w:val="16"/>
            <w:u w:val="single" w:color="auto"/>
            <w:color w:val="0000EE"/>
          </w:rPr>
          <w:t>Opinion of Seyfarth Shaw LLP regarding the validity of the securities being issued.</w:t>
        </w:r>
      </w:hyperlink>
    </w:p>
    <w:p>
      <w:pPr>
        <w:spacing w:after="0" w:line="252" w:lineRule="exact"/>
        <w:rPr>
          <w:sz w:val="20"/>
          <w:szCs w:val="20"/>
          <w:color w:val="auto"/>
        </w:rPr>
      </w:pPr>
    </w:p>
    <w:p>
      <w:pPr>
        <w:spacing w:after="0"/>
        <w:tabs>
          <w:tab w:leader="none" w:pos="5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24">
        <w:r>
          <w:rPr>
            <w:rFonts w:ascii="Arial" w:cs="Arial" w:eastAsia="Arial" w:hAnsi="Arial"/>
            <w:sz w:val="16"/>
            <w:szCs w:val="16"/>
            <w:u w:val="single" w:color="auto"/>
            <w:color w:val="0000EE"/>
          </w:rPr>
          <w:t>Consent of Tanner LLC</w:t>
        </w:r>
      </w:hyperlink>
    </w:p>
    <w:p>
      <w:pPr>
        <w:spacing w:after="0" w:line="25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Seyfarth Shaw LLP (included in exhibit 5.1).</w:t>
      </w:r>
    </w:p>
    <w:p>
      <w:pPr>
        <w:spacing w:after="0" w:line="25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540"/>
          </w:cols>
          <w:pgMar w:left="600" w:top="553" w:right="7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SEYFARTH SHAW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5225 Wiley Post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84116</w:t>
      </w:r>
    </w:p>
    <w:p>
      <w:pPr>
        <w:spacing w:after="0" w:line="21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We have acted as counsel to ClearOne, Inc., a Delaware corporation (the “Company”), in connection with the Company’s registration statement on Form S-3 filed with the Securities and Exchange Commission (the “Registration Statement”) under the Securities Act of 1933, as amended (the “Securities Act”), relating to an aggregate of up to 7,246,378 shares of common stock, par value $0.001 per share, of the Company (the “Common Stock”) that may be sold or delivered by the parties listed as selling stockholders in the Registration Statement (the “Selling Stockholders”), which Securities consist of (i) 3,623,189 issued and outstanding shares of Common Stock (the “Primary Shares”), and (ii) 3,623,189 shares of Common Stock (the “Warrant Shares,” and together with the Primary Shares, the “Shares”) issuable by the Company upon the exercise of issued and outstanding warrants (the “Warrants”) currently held by the Selling Stockholdesr. The Warrant Shares, after exercise of the Warrants in accordance with the terms thereof, may each be sold or delivered, from time to time as set forth in the Registration Statement, any amendment thereto, the prospectus contained therein (the “Prospectus”) and supplements to the Prospectus, and pursuant to Rule 415 under the Securities Act.</w:t>
      </w:r>
    </w:p>
    <w:p>
      <w:pPr>
        <w:spacing w:after="0" w:line="18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our capacity as counsel to the Company and for purposes of this opinion, we have examined originals, or copies certified or otherwise identified to our satisfaction, of the following documents:</w:t>
      </w:r>
    </w:p>
    <w:p>
      <w:pPr>
        <w:spacing w:after="0" w:line="170" w:lineRule="exact"/>
        <w:rPr>
          <w:sz w:val="20"/>
          <w:szCs w:val="20"/>
          <w:color w:val="auto"/>
        </w:rPr>
      </w:pPr>
    </w:p>
    <w:p>
      <w:pPr>
        <w:ind w:left="2100" w:hanging="796"/>
        <w:spacing w:after="0"/>
        <w:tabs>
          <w:tab w:leader="none" w:pos="2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Certificate of Incorporation of the Company, as in effect on the date hereof (the “Charter”);</w:t>
      </w:r>
    </w:p>
    <w:p>
      <w:pPr>
        <w:spacing w:after="0" w:line="225" w:lineRule="exact"/>
        <w:rPr>
          <w:rFonts w:ascii="Arial" w:cs="Arial" w:eastAsia="Arial" w:hAnsi="Arial"/>
          <w:sz w:val="18"/>
          <w:szCs w:val="18"/>
          <w:color w:val="auto"/>
        </w:rPr>
      </w:pPr>
    </w:p>
    <w:p>
      <w:pPr>
        <w:ind w:left="2100" w:hanging="796"/>
        <w:spacing w:after="0"/>
        <w:tabs>
          <w:tab w:leader="none" w:pos="2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Bylaws of the Company, as in effect on the date hereof (the “By-Laws”);</w:t>
      </w:r>
    </w:p>
    <w:p>
      <w:pPr>
        <w:spacing w:after="0" w:line="225" w:lineRule="exact"/>
        <w:rPr>
          <w:rFonts w:ascii="Arial" w:cs="Arial" w:eastAsia="Arial" w:hAnsi="Arial"/>
          <w:sz w:val="18"/>
          <w:szCs w:val="18"/>
          <w:color w:val="auto"/>
        </w:rPr>
      </w:pPr>
    </w:p>
    <w:p>
      <w:pPr>
        <w:ind w:left="1960" w:hanging="656"/>
        <w:spacing w:after="0" w:line="277" w:lineRule="auto"/>
        <w:tabs>
          <w:tab w:leader="none" w:pos="22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Warrants by and between the Company and the Selling Stockholders as in effect on the date hereof, including all such amendments, supplements and waivers thereto;</w:t>
      </w:r>
    </w:p>
    <w:p>
      <w:pPr>
        <w:spacing w:after="0" w:line="170" w:lineRule="exact"/>
        <w:rPr>
          <w:rFonts w:ascii="Arial" w:cs="Arial" w:eastAsia="Arial" w:hAnsi="Arial"/>
          <w:sz w:val="18"/>
          <w:szCs w:val="18"/>
          <w:color w:val="auto"/>
        </w:rPr>
      </w:pPr>
    </w:p>
    <w:p>
      <w:pPr>
        <w:ind w:left="2100" w:hanging="796"/>
        <w:spacing w:after="0"/>
        <w:tabs>
          <w:tab w:leader="none" w:pos="2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Registration Statement and all exhibits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1960" w:right="20" w:hanging="656"/>
        <w:spacing w:after="0" w:line="277" w:lineRule="auto"/>
        <w:tabs>
          <w:tab w:leader="none" w:pos="23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corporate proceedings of the Company with respect to the authorization of the issuance of the Primary Shares and Warrants; and</w:t>
      </w:r>
    </w:p>
    <w:p>
      <w:pPr>
        <w:spacing w:after="0" w:line="170" w:lineRule="exact"/>
        <w:rPr>
          <w:rFonts w:ascii="Arial" w:cs="Arial" w:eastAsia="Arial" w:hAnsi="Arial"/>
          <w:sz w:val="18"/>
          <w:szCs w:val="18"/>
          <w:color w:val="auto"/>
        </w:rPr>
      </w:pPr>
    </w:p>
    <w:p>
      <w:pPr>
        <w:ind w:left="1960" w:hanging="656"/>
        <w:spacing w:after="0" w:line="277" w:lineRule="auto"/>
        <w:tabs>
          <w:tab w:leader="none" w:pos="21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other corporate records, documents and other instruments as we have deemed necessary or appropriate to express the opinions set forth in this letter, subject to the assumptions, limitations and qualifications stated herein.</w:t>
      </w:r>
    </w:p>
    <w:p>
      <w:pPr>
        <w:spacing w:after="0" w:line="170" w:lineRule="exact"/>
        <w:rPr>
          <w:sz w:val="20"/>
          <w:szCs w:val="20"/>
          <w:color w:val="auto"/>
        </w:rPr>
      </w:pPr>
    </w:p>
    <w:p>
      <w:pPr>
        <w:jc w:val="both"/>
        <w:ind w:firstLine="1436"/>
        <w:spacing w:after="0" w:line="277" w:lineRule="auto"/>
        <w:rPr>
          <w:sz w:val="20"/>
          <w:szCs w:val="20"/>
          <w:color w:val="auto"/>
        </w:rPr>
      </w:pPr>
      <w:r>
        <w:rPr>
          <w:rFonts w:ascii="Arial" w:cs="Arial" w:eastAsia="Arial" w:hAnsi="Arial"/>
          <w:sz w:val="18"/>
          <w:szCs w:val="18"/>
          <w:color w:val="auto"/>
        </w:rPr>
        <w:t>As to questions of fact material to this opinion, we have relied on certificates or comparable documents of public officials and of officers and representatives of the Company.</w:t>
      </w:r>
    </w:p>
    <w:p>
      <w:pPr>
        <w:spacing w:after="0" w:line="170" w:lineRule="exact"/>
        <w:rPr>
          <w:sz w:val="20"/>
          <w:szCs w:val="20"/>
          <w:color w:val="auto"/>
        </w:rPr>
      </w:pPr>
    </w:p>
    <w:p>
      <w:pPr>
        <w:jc w:val="both"/>
        <w:ind w:firstLine="1361"/>
        <w:spacing w:after="0" w:line="263" w:lineRule="auto"/>
        <w:rPr>
          <w:sz w:val="20"/>
          <w:szCs w:val="20"/>
          <w:color w:val="auto"/>
        </w:rPr>
      </w:pPr>
      <w:r>
        <w:rPr>
          <w:rFonts w:ascii="Arial" w:cs="Arial" w:eastAsia="Arial" w:hAnsi="Arial"/>
          <w:sz w:val="18"/>
          <w:szCs w:val="18"/>
          <w:color w:val="auto"/>
        </w:rPr>
        <w:t>We have assumed the genuineness of all signatures, the conformity to the originals of all documents reviewed by us as copies, the authenticity and completeness of all original documents reviewed by us in original or copy form and the legal competence of each individual executing any document.</w:t>
      </w:r>
    </w:p>
    <w:p>
      <w:pPr>
        <w:spacing w:after="0" w:line="184" w:lineRule="exact"/>
        <w:rPr>
          <w:sz w:val="20"/>
          <w:szCs w:val="20"/>
          <w:color w:val="auto"/>
        </w:rPr>
      </w:pPr>
    </w:p>
    <w:p>
      <w:pPr>
        <w:jc w:val="both"/>
        <w:ind w:firstLine="1361"/>
        <w:spacing w:after="0" w:line="275" w:lineRule="auto"/>
        <w:rPr>
          <w:sz w:val="20"/>
          <w:szCs w:val="20"/>
          <w:color w:val="auto"/>
        </w:rPr>
      </w:pPr>
      <w:r>
        <w:rPr>
          <w:rFonts w:ascii="Arial" w:cs="Arial" w:eastAsia="Arial" w:hAnsi="Arial"/>
          <w:sz w:val="17"/>
          <w:szCs w:val="17"/>
          <w:color w:val="auto"/>
        </w:rPr>
        <w:t>The scope of this opinion is limited to the laws of the State of Delaware, including without limitation applicable provisions of the Delaware Constitution and reported judicial decisions interpreting these laws. This opinion letter is issued as of the date hereof and is necessarily limited to laws now in effect and facts and circumstances presently existing and brought to our attention. We have assumed that, at or prior to the time of the issuance and delivery of any Shares, that there will not have occurred any change in law, change in the Warrants or the Company’s Charter, or further action by the Company’s board of directors, in each case affecting the validity of the issuance of the Shares.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Based on the foregoing, and subject to the assumptions, limitations and qualifications set forth herein, we are of the opinion that:</w:t>
      </w:r>
    </w:p>
    <w:p>
      <w:pPr>
        <w:spacing w:after="0" w:line="237" w:lineRule="exact"/>
        <w:rPr>
          <w:sz w:val="20"/>
          <w:szCs w:val="20"/>
          <w:color w:val="auto"/>
        </w:rPr>
      </w:pPr>
    </w:p>
    <w:p>
      <w:pPr>
        <w:ind w:left="1920" w:hanging="616"/>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Shares, have been validly issued and are fully paid and nonassessable; and</w:t>
      </w:r>
    </w:p>
    <w:p>
      <w:pPr>
        <w:spacing w:after="0" w:line="225" w:lineRule="exact"/>
        <w:rPr>
          <w:rFonts w:ascii="Arial" w:cs="Arial" w:eastAsia="Arial" w:hAnsi="Arial"/>
          <w:sz w:val="18"/>
          <w:szCs w:val="18"/>
          <w:color w:val="auto"/>
        </w:rPr>
      </w:pPr>
    </w:p>
    <w:p>
      <w:pPr>
        <w:ind w:left="1920" w:hanging="616"/>
        <w:spacing w:after="0"/>
        <w:tabs>
          <w:tab w:leader="none" w:pos="1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Warrant Shares, when issued after exercise of the Warrants in accordance with the terms thereof, will be validly issued, fully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paid and nonassessable.</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consent to the use of this opinion as an exhibit to the Registration Statement and further consent to the reference to us under the heading "Legal Matters" in the Registration Statement, the prospectus constituting a part thereof and any amendments or supplements thereto, as incorporated by reference in the Registration Statement. In giving this consent, we do not admit that we are in the category of persons whose consent is required under Section 7 of the Securities Act, or the rules and regulations promulgated thereunder. In rendering the opinions set forth above, we are opining only as to the specific legal issues expressly set forth therein, and no opinion shall be inferred as to any other matter or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firstLine="648"/>
        <w:spacing w:after="0" w:line="277" w:lineRule="auto"/>
        <w:rPr>
          <w:sz w:val="20"/>
          <w:szCs w:val="20"/>
          <w:color w:val="auto"/>
        </w:rPr>
      </w:pPr>
      <w:r>
        <w:rPr>
          <w:rFonts w:ascii="Arial" w:cs="Arial" w:eastAsia="Arial" w:hAnsi="Arial"/>
          <w:sz w:val="18"/>
          <w:szCs w:val="18"/>
          <w:color w:val="auto"/>
        </w:rPr>
        <w:t>This opinion is intended solely for use in connection with the issuance and sale of the Shares that are the subject of the Registration Statement and is not to be relied upon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SEYFARTH SHAW LLP</w:t>
      </w:r>
    </w:p>
    <w:p>
      <w:pPr>
        <w:sectPr>
          <w:pgSz w:w="11900" w:h="16838" w:orient="portrait"/>
          <w:cols w:equalWidth="0" w:num="1">
            <w:col w:w="11240"/>
          </w:cols>
          <w:pgMar w:left="320" w:top="55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hereby consent to the incorporation by reference in this Registration Statement on Form S-3 of our report dated March 31, 2021, with respect to the consolidated balance sheets of ClearOne, Inc. and subsidiaries as of December 31, 2020 and 2019, and the related consolidated statements of operations and comprehensive loss, shareholders’ equity, and cash flows for each of the years in the two-year period ended December 31, 2020, and to the reference to our firm under the heading “Experts” in the Prospectus, which is part of this Registration Statement on Form S-3.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TANNER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7">
    <w:nsid w:val="4DB127F8"/>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8">
    <w:nsid w:val="216231B"/>
    <w:multiLevelType w:val="hybridMultilevel"/>
    <w:lvl w:ilvl="0">
      <w:lvlJc w:val="left"/>
      <w:lvlText w:val="%1."/>
      <w:numFmt w:val="upperLetter"/>
      <w:start w:val="2"/>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Roman"/>
      <w:start w:val="5"/>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8" Type="http://schemas.openxmlformats.org/officeDocument/2006/relationships/hyperlink" Target="http://www.sec.gov/Archives/edgar/data/840715/000175392620000071/ex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2021-09-27T05:21:15Z</dcterms:created>
  <dcterms:modified xsi:type="dcterms:W3CDTF">2021-09-27T05:21:15Z</dcterms:modified>
</cp:coreProperties>
</file>