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SCHEDULE 13D/A</w:t>
      </w:r>
    </w:p>
    <w:p>
      <w:pPr>
        <w:spacing w:after="0" w:line="23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(Amendment No. 3)*</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185060100</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Edward Dallin Bagley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2350 Oakhill Drive</w:t>
      </w:r>
    </w:p>
    <w:p>
      <w:pPr>
        <w:jc w:val="center"/>
        <w:ind w:right="479"/>
        <w:spacing w:after="0" w:line="230" w:lineRule="auto"/>
        <w:rPr>
          <w:sz w:val="20"/>
          <w:szCs w:val="20"/>
          <w:color w:val="auto"/>
        </w:rPr>
      </w:pPr>
      <w:r>
        <w:rPr>
          <w:rFonts w:ascii="Arial" w:cs="Arial" w:eastAsia="Arial" w:hAnsi="Arial"/>
          <w:sz w:val="22"/>
          <w:szCs w:val="22"/>
          <w:b w:val="1"/>
          <w:bCs w:val="1"/>
          <w:color w:val="auto"/>
        </w:rPr>
        <w:t>Salt Lake City, Utah 84121</w:t>
      </w:r>
    </w:p>
    <w:p>
      <w:pPr>
        <w:jc w:val="center"/>
        <w:ind w:right="479"/>
        <w:spacing w:after="0" w:line="231" w:lineRule="auto"/>
        <w:rPr>
          <w:sz w:val="20"/>
          <w:szCs w:val="20"/>
          <w:color w:val="auto"/>
        </w:rPr>
      </w:pPr>
      <w:r>
        <w:rPr>
          <w:rFonts w:ascii="Arial" w:cs="Arial" w:eastAsia="Arial" w:hAnsi="Arial"/>
          <w:sz w:val="22"/>
          <w:szCs w:val="22"/>
          <w:b w:val="1"/>
          <w:bCs w:val="1"/>
          <w:u w:val="single" w:color="auto"/>
          <w:color w:val="auto"/>
        </w:rPr>
        <w:t>Tel. (801) 573-8227</w:t>
      </w:r>
    </w:p>
    <w:p>
      <w:pPr>
        <w:jc w:val="center"/>
        <w:ind w:right="479"/>
        <w:spacing w:after="0"/>
        <w:rPr>
          <w:sz w:val="20"/>
          <w:szCs w:val="20"/>
          <w:color w:val="auto"/>
        </w:rPr>
      </w:pPr>
      <w:r>
        <w:rPr>
          <w:rFonts w:ascii="Arial" w:cs="Arial" w:eastAsia="Arial" w:hAnsi="Arial"/>
          <w:sz w:val="19"/>
          <w:szCs w:val="19"/>
          <w:color w:val="auto"/>
        </w:rPr>
        <w:t>(Name, Address and Telephone Number of Person Authorized to Receive Notices and Communications)</w:t>
      </w:r>
    </w:p>
    <w:p>
      <w:pPr>
        <w:spacing w:after="0" w:line="24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March 6, 2013</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right="719"/>
        <w:spacing w:after="0"/>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which is the subject of this Schedule 13D, and is filing this schedule because of Rule 13d-1(e), (f) (g), check the following box </w:t>
      </w:r>
      <w:r>
        <w:rPr>
          <w:sz w:val="1"/>
          <w:szCs w:val="1"/>
          <w:color w:val="auto"/>
        </w:rPr>
        <w:drawing>
          <wp:inline distT="0" distB="0" distL="0" distR="0">
            <wp:extent cx="107315" cy="10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wp:posOffset>
            </wp:positionH>
            <wp:positionV relativeFrom="paragraph">
              <wp:posOffset>-23495</wp:posOffset>
            </wp:positionV>
            <wp:extent cx="10731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87" w:lineRule="exact"/>
        <w:rPr>
          <w:sz w:val="24"/>
          <w:szCs w:val="24"/>
          <w:color w:val="auto"/>
        </w:rPr>
      </w:pPr>
    </w:p>
    <w:p>
      <w:pPr>
        <w:ind w:right="639"/>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exhibits. See Rule 13d-7 for other parties to who copies are to be sent.</w:t>
      </w:r>
    </w:p>
    <w:p>
      <w:pPr>
        <w:spacing w:after="0" w:line="196" w:lineRule="exact"/>
        <w:rPr>
          <w:sz w:val="24"/>
          <w:szCs w:val="24"/>
          <w:color w:val="auto"/>
        </w:rPr>
      </w:pPr>
    </w:p>
    <w:p>
      <w:pPr>
        <w:jc w:val="both"/>
        <w:ind w:right="99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71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617474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5121910" cy="5756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1910" cy="57562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320" w:right="7279" w:hanging="1053"/>
        <w:spacing w:after="0" w:line="308" w:lineRule="auto"/>
        <w:tabs>
          <w:tab w:leader="none" w:pos="607"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Edward Dallin Bagley</w:t>
      </w:r>
    </w:p>
    <w:p>
      <w:pPr>
        <w:spacing w:after="0" w:line="160" w:lineRule="exact"/>
        <w:rPr>
          <w:sz w:val="20"/>
          <w:szCs w:val="20"/>
          <w:color w:val="auto"/>
        </w:rPr>
      </w:pPr>
    </w:p>
    <w:p>
      <w:pPr>
        <w:ind w:left="620" w:hanging="353"/>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580" w:hanging="251"/>
        <w:spacing w:after="0" w:line="238" w:lineRule="auto"/>
        <w:tabs>
          <w:tab w:leader="none" w:pos="158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07315" cy="1073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10" w:lineRule="exact"/>
        <w:rPr>
          <w:rFonts w:ascii="Arial" w:cs="Arial" w:eastAsia="Arial" w:hAnsi="Arial"/>
          <w:sz w:val="18"/>
          <w:szCs w:val="18"/>
          <w:color w:val="auto"/>
        </w:rPr>
      </w:pPr>
    </w:p>
    <w:p>
      <w:pPr>
        <w:ind w:left="1580" w:hanging="251"/>
        <w:spacing w:after="0" w:line="238" w:lineRule="auto"/>
        <w:tabs>
          <w:tab w:leader="none" w:pos="1580" w:val="left"/>
        </w:tabs>
        <w:numPr>
          <w:ilvl w:val="1"/>
          <w:numId w:val="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07315" cy="1073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26" w:lineRule="exact"/>
        <w:rPr>
          <w:sz w:val="20"/>
          <w:szCs w:val="20"/>
          <w:color w:val="auto"/>
        </w:rPr>
      </w:pPr>
    </w:p>
    <w:p>
      <w:pPr>
        <w:ind w:left="620" w:hanging="353"/>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20" w:hanging="353"/>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224" w:lineRule="exact"/>
        <w:rPr>
          <w:sz w:val="20"/>
          <w:szCs w:val="20"/>
          <w:color w:val="auto"/>
        </w:rPr>
      </w:pPr>
    </w:p>
    <w:p>
      <w:pPr>
        <w:ind w:left="1320" w:right="3559" w:hanging="1053"/>
        <w:spacing w:after="0" w:line="277" w:lineRule="auto"/>
        <w:tabs>
          <w:tab w:leader="none" w:pos="60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84" w:lineRule="exact"/>
        <w:rPr>
          <w:sz w:val="20"/>
          <w:szCs w:val="20"/>
          <w:color w:val="auto"/>
        </w:rPr>
      </w:pPr>
    </w:p>
    <w:p>
      <w:pPr>
        <w:ind w:left="1320" w:right="6979" w:hanging="1053"/>
        <w:spacing w:after="0" w:line="270" w:lineRule="auto"/>
        <w:tabs>
          <w:tab w:leader="none" w:pos="607"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392"/>
        </w:trPr>
        <w:tc>
          <w:tcPr>
            <w:tcW w:w="1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6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Shares</w:t>
            </w:r>
          </w:p>
        </w:tc>
        <w:tc>
          <w:tcPr>
            <w:tcW w:w="400" w:type="dxa"/>
            <w:vAlign w:val="bottom"/>
            <w:tcBorders>
              <w:bottom w:val="single" w:sz="8" w:color="auto"/>
              <w:right w:val="single" w:sz="8" w:color="auto"/>
            </w:tcBorders>
          </w:tcPr>
          <w:p>
            <w:pPr>
              <w:spacing w:after="0"/>
              <w:rPr>
                <w:sz w:val="20"/>
                <w:szCs w:val="20"/>
                <w:color w:val="auto"/>
              </w:rPr>
            </w:pPr>
          </w:p>
        </w:tc>
        <w:tc>
          <w:tcPr>
            <w:tcW w:w="63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2,626,515</w:t>
            </w:r>
          </w:p>
        </w:tc>
        <w:tc>
          <w:tcPr>
            <w:tcW w:w="0" w:type="dxa"/>
            <w:vAlign w:val="bottom"/>
          </w:tcPr>
          <w:p>
            <w:pPr>
              <w:spacing w:after="0"/>
              <w:rPr>
                <w:sz w:val="1"/>
                <w:szCs w:val="1"/>
                <w:color w:val="auto"/>
              </w:rPr>
            </w:pPr>
          </w:p>
        </w:tc>
      </w:tr>
      <w:tr>
        <w:trPr>
          <w:trHeight w:val="182"/>
        </w:trPr>
        <w:tc>
          <w:tcPr>
            <w:tcW w:w="13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Beneficially</w:t>
            </w:r>
          </w:p>
        </w:tc>
        <w:tc>
          <w:tcPr>
            <w:tcW w:w="400" w:type="dxa"/>
            <w:vAlign w:val="bottom"/>
            <w:tcBorders>
              <w:right w:val="single" w:sz="8" w:color="auto"/>
            </w:tcBorders>
          </w:tcPr>
          <w:p>
            <w:pPr>
              <w:spacing w:after="0"/>
              <w:rPr>
                <w:sz w:val="15"/>
                <w:szCs w:val="15"/>
                <w:color w:val="auto"/>
              </w:rPr>
            </w:pPr>
          </w:p>
        </w:tc>
        <w:tc>
          <w:tcPr>
            <w:tcW w:w="6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Owned by Each</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38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Reporting</w:t>
            </w:r>
          </w:p>
        </w:tc>
        <w:tc>
          <w:tcPr>
            <w:tcW w:w="400" w:type="dxa"/>
            <w:vAlign w:val="bottom"/>
            <w:tcBorders>
              <w:right w:val="single" w:sz="8" w:color="auto"/>
            </w:tcBorders>
          </w:tcPr>
          <w:p>
            <w:pPr>
              <w:spacing w:after="0"/>
              <w:rPr>
                <w:sz w:val="18"/>
                <w:szCs w:val="18"/>
                <w:color w:val="auto"/>
              </w:rPr>
            </w:pPr>
          </w:p>
        </w:tc>
        <w:tc>
          <w:tcPr>
            <w:tcW w:w="6380" w:type="dxa"/>
            <w:vAlign w:val="bottom"/>
          </w:tcPr>
          <w:p>
            <w:pPr>
              <w:ind w:left="62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r>
        <w:trPr>
          <w:trHeight w:val="28"/>
        </w:trPr>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Person With</w:t>
            </w:r>
          </w:p>
        </w:tc>
        <w:tc>
          <w:tcPr>
            <w:tcW w:w="40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00" w:type="dxa"/>
            <w:vAlign w:val="bottom"/>
            <w:tcBorders>
              <w:right w:val="single" w:sz="8" w:color="auto"/>
            </w:tcBorders>
            <w:vMerge w:val="continue"/>
          </w:tcPr>
          <w:p>
            <w:pPr>
              <w:spacing w:after="0"/>
              <w:rPr>
                <w:sz w:val="15"/>
                <w:szCs w:val="15"/>
                <w:color w:val="auto"/>
              </w:rPr>
            </w:pP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3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9"/>
        </w:trPr>
        <w:tc>
          <w:tcPr>
            <w:tcW w:w="1300" w:type="dxa"/>
            <w:vAlign w:val="bottom"/>
            <w:tcBorders>
              <w:right w:val="single" w:sz="8" w:color="auto"/>
            </w:tcBorders>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6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Borders>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63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2,626,515</w:t>
            </w:r>
          </w:p>
        </w:tc>
        <w:tc>
          <w:tcPr>
            <w:tcW w:w="0" w:type="dxa"/>
            <w:vAlign w:val="bottom"/>
          </w:tcPr>
          <w:p>
            <w:pPr>
              <w:spacing w:after="0"/>
              <w:rPr>
                <w:sz w:val="1"/>
                <w:szCs w:val="1"/>
                <w:color w:val="auto"/>
              </w:rPr>
            </w:pPr>
          </w:p>
        </w:tc>
      </w:tr>
      <w:tr>
        <w:trPr>
          <w:trHeight w:val="411"/>
        </w:trPr>
        <w:tc>
          <w:tcPr>
            <w:tcW w:w="1300" w:type="dxa"/>
            <w:vAlign w:val="bottom"/>
            <w:tcBorders>
              <w:right w:val="single" w:sz="8" w:color="auto"/>
            </w:tcBorders>
          </w:tcPr>
          <w:p>
            <w:pPr>
              <w:spacing w:after="0"/>
              <w:rPr>
                <w:sz w:val="24"/>
                <w:szCs w:val="24"/>
                <w:color w:val="auto"/>
              </w:rPr>
            </w:pP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3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63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20" w:right="4799" w:hanging="1095"/>
        <w:spacing w:after="0" w:line="277" w:lineRule="auto"/>
        <w:tabs>
          <w:tab w:leader="none" w:pos="6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2,752,681</w:t>
      </w:r>
    </w:p>
    <w:p>
      <w:pPr>
        <w:spacing w:after="0" w:line="183" w:lineRule="exact"/>
        <w:rPr>
          <w:rFonts w:ascii="Arial" w:cs="Arial" w:eastAsia="Arial" w:hAnsi="Arial"/>
          <w:sz w:val="18"/>
          <w:szCs w:val="18"/>
          <w:color w:val="auto"/>
        </w:rPr>
      </w:pPr>
    </w:p>
    <w:p>
      <w:pPr>
        <w:ind w:left="620" w:hanging="39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Arial" w:cs="Arial" w:eastAsia="Arial" w:hAnsi="Arial"/>
          <w:sz w:val="1"/>
          <w:szCs w:val="1"/>
          <w:color w:val="auto"/>
        </w:rPr>
        <w:drawing>
          <wp:inline distT="0" distB="0" distL="0" distR="0">
            <wp:extent cx="107315" cy="107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38" w:lineRule="exact"/>
        <w:rPr>
          <w:rFonts w:ascii="Arial" w:cs="Arial" w:eastAsia="Arial" w:hAnsi="Arial"/>
          <w:sz w:val="18"/>
          <w:szCs w:val="18"/>
          <w:color w:val="auto"/>
        </w:rPr>
      </w:pPr>
    </w:p>
    <w:p>
      <w:pPr>
        <w:ind w:left="620" w:hanging="39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29.94%</w:t>
      </w:r>
    </w:p>
    <w:p>
      <w:pPr>
        <w:spacing w:after="0" w:line="224" w:lineRule="exact"/>
        <w:rPr>
          <w:sz w:val="20"/>
          <w:szCs w:val="20"/>
          <w:color w:val="auto"/>
        </w:rPr>
      </w:pPr>
    </w:p>
    <w:p>
      <w:pPr>
        <w:ind w:left="620" w:hanging="39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617474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 Security and Issuer</w:t>
      </w:r>
    </w:p>
    <w:p>
      <w:pPr>
        <w:spacing w:after="0" w:line="239" w:lineRule="exact"/>
        <w:rPr>
          <w:sz w:val="20"/>
          <w:szCs w:val="20"/>
          <w:color w:val="auto"/>
        </w:rPr>
      </w:pPr>
    </w:p>
    <w:p>
      <w:pPr>
        <w:jc w:val="both"/>
        <w:ind w:right="479" w:firstLine="648"/>
        <w:spacing w:after="0" w:line="258" w:lineRule="auto"/>
        <w:rPr>
          <w:sz w:val="20"/>
          <w:szCs w:val="20"/>
          <w:color w:val="auto"/>
        </w:rPr>
      </w:pPr>
      <w:r>
        <w:rPr>
          <w:rFonts w:ascii="Arial" w:cs="Arial" w:eastAsia="Arial" w:hAnsi="Arial"/>
          <w:sz w:val="21"/>
          <w:szCs w:val="21"/>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Name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statement is being filed by Edward Dallin Bagley.</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 Residence or business address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Bagley’s address is 2350 Oakhill Drive, Salt Lake City, Utah 84121.</w:t>
      </w:r>
    </w:p>
    <w:p>
      <w:pPr>
        <w:spacing w:after="0" w:line="227" w:lineRule="exact"/>
        <w:rPr>
          <w:sz w:val="20"/>
          <w:szCs w:val="20"/>
          <w:color w:val="auto"/>
        </w:rPr>
      </w:pPr>
    </w:p>
    <w:p>
      <w:pPr>
        <w:ind w:right="499" w:firstLine="656"/>
        <w:spacing w:after="0" w:line="256" w:lineRule="auto"/>
        <w:tabs>
          <w:tab w:leader="none" w:pos="958"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Present principal occupation or employment and the name, principal business and address of any corporation or other organization in which such employment is conducted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principally self-employed as an investor and attorney.</w:t>
      </w:r>
    </w:p>
    <w:p>
      <w:pPr>
        <w:spacing w:after="0" w:line="227" w:lineRule="exact"/>
        <w:rPr>
          <w:sz w:val="20"/>
          <w:szCs w:val="20"/>
          <w:color w:val="auto"/>
        </w:rPr>
      </w:pPr>
    </w:p>
    <w:p>
      <w:pPr>
        <w:jc w:val="both"/>
        <w:ind w:right="479" w:firstLine="656"/>
        <w:spacing w:after="0" w:line="301" w:lineRule="auto"/>
        <w:tabs>
          <w:tab w:leader="none" w:pos="1011"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right="499" w:firstLine="656"/>
        <w:spacing w:after="0" w:line="236" w:lineRule="auto"/>
        <w:tabs>
          <w:tab w:leader="none" w:pos="959"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 Citizenship.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a citizen of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Source and Amount of Funds or Other Consideration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source of funds used to purchase the Issuer’s common stock was Mr. Bagley’s personal funds.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4.Purpose of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has acquired the Common Stock for investment purposes.</w:t>
      </w:r>
    </w:p>
    <w:p>
      <w:pPr>
        <w:spacing w:after="0" w:line="233" w:lineRule="exact"/>
        <w:rPr>
          <w:sz w:val="20"/>
          <w:szCs w:val="20"/>
          <w:color w:val="auto"/>
        </w:rPr>
      </w:pPr>
    </w:p>
    <w:p>
      <w:pPr>
        <w:jc w:val="both"/>
        <w:ind w:right="479" w:firstLine="648"/>
        <w:spacing w:after="0" w:line="272" w:lineRule="auto"/>
        <w:rPr>
          <w:sz w:val="20"/>
          <w:szCs w:val="20"/>
          <w:color w:val="auto"/>
        </w:rPr>
      </w:pPr>
      <w:r>
        <w:rPr>
          <w:rFonts w:ascii="Arial" w:cs="Arial" w:eastAsia="Arial" w:hAnsi="Arial"/>
          <w:sz w:val="19"/>
          <w:szCs w:val="19"/>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ectPr>
          <w:pgSz w:w="11900" w:h="16838" w:orient="portrait"/>
          <w:cols w:equalWidth="0" w:num="1">
            <w:col w:w="10219"/>
          </w:cols>
          <w:pgMar w:left="240" w:top="598"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598" w:right="1440" w:bottom="159"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both"/>
        <w:ind w:right="499" w:firstLine="648"/>
        <w:spacing w:after="0"/>
        <w:rPr>
          <w:sz w:val="20"/>
          <w:szCs w:val="20"/>
          <w:color w:val="auto"/>
        </w:rPr>
      </w:pPr>
      <w:r>
        <w:rPr>
          <w:rFonts w:ascii="Arial" w:cs="Arial" w:eastAsia="Arial" w:hAnsi="Arial"/>
          <w:sz w:val="22"/>
          <w:szCs w:val="22"/>
          <w:color w:val="auto"/>
        </w:rPr>
        <w:t>Mr. Bagley is dissatisfied with the board of directors’ failure to authorize the Company to pay a one-time dividend in light of the Company’s current cash position. At this time, Mr. Bagley does not intend to support the reelection of the current board of directors.</w:t>
      </w:r>
    </w:p>
    <w:p>
      <w:pPr>
        <w:spacing w:after="0" w:line="213" w:lineRule="exact"/>
        <w:rPr>
          <w:sz w:val="20"/>
          <w:szCs w:val="20"/>
          <w:color w:val="auto"/>
        </w:rPr>
      </w:pPr>
    </w:p>
    <w:p>
      <w:pPr>
        <w:jc w:val="both"/>
        <w:ind w:right="499" w:firstLine="648"/>
        <w:spacing w:after="0" w:line="282" w:lineRule="auto"/>
        <w:rPr>
          <w:sz w:val="20"/>
          <w:szCs w:val="20"/>
          <w:color w:val="auto"/>
        </w:rPr>
      </w:pPr>
      <w:r>
        <w:rPr>
          <w:rFonts w:ascii="Arial" w:cs="Arial" w:eastAsia="Arial" w:hAnsi="Arial"/>
          <w:sz w:val="19"/>
          <w:szCs w:val="19"/>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175" w:lineRule="exact"/>
        <w:rPr>
          <w:sz w:val="20"/>
          <w:szCs w:val="20"/>
          <w:color w:val="auto"/>
        </w:rPr>
      </w:pPr>
    </w:p>
    <w:p>
      <w:pPr>
        <w:jc w:val="both"/>
        <w:ind w:right="479" w:firstLine="648"/>
        <w:spacing w:after="0" w:line="245" w:lineRule="auto"/>
        <w:rPr>
          <w:sz w:val="20"/>
          <w:szCs w:val="20"/>
          <w:color w:val="auto"/>
        </w:rPr>
      </w:pPr>
      <w:r>
        <w:rPr>
          <w:rFonts w:ascii="Arial" w:cs="Arial" w:eastAsia="Arial" w:hAnsi="Arial"/>
          <w:sz w:val="21"/>
          <w:szCs w:val="21"/>
          <w:color w:val="auto"/>
        </w:rPr>
        <w:t>Mr. Bagley entered into a written stock purchase plan with a broker-dealer effective March 13, 2013 (the “Stock Purchase Plan”) pursuant to which such broker-dealer was instructed to purchase up to an aggregate of $1,000,000 of the Common Stock during a one year period following such date at a purchase price of not more than $8.00 per share. Subject to these parameters, the timing and execution of all purchases are made at the sole discretion of the broker and a copy of the plan has been delivered to the Issuer. The Stock Purchase Plan terminates on the earliest to occur of March 12, 2014, the date on which a total of $1,000,000 of Common Stock has been purchased under the Stock Purchase Plan or the death of Mr. Bagley. Mr. Bagley may also purchase shares of the Common Stock outside the Stock Purchase Plan in open market transactions or in privately negotiated transactions.</w:t>
      </w:r>
    </w:p>
    <w:p>
      <w:pPr>
        <w:spacing w:after="0" w:line="212"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Mr. Bagley had previously entered into a written stock purchase plans with a broker-dealer relating to the Common Stock which plans previously terminated in accordance with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239" w:lineRule="exact"/>
        <w:rPr>
          <w:sz w:val="20"/>
          <w:szCs w:val="20"/>
          <w:color w:val="auto"/>
        </w:rPr>
      </w:pPr>
    </w:p>
    <w:p>
      <w:pPr>
        <w:jc w:val="both"/>
        <w:ind w:right="499" w:firstLine="8"/>
        <w:spacing w:after="0" w:line="245" w:lineRule="auto"/>
        <w:tabs>
          <w:tab w:leader="none" w:pos="621" w:val="left"/>
        </w:tabs>
        <w:numPr>
          <w:ilvl w:val="0"/>
          <w:numId w:val="12"/>
        </w:numPr>
        <w:rPr>
          <w:rFonts w:ascii="Arial" w:cs="Arial" w:eastAsia="Arial" w:hAnsi="Arial"/>
          <w:sz w:val="21"/>
          <w:szCs w:val="21"/>
          <w:color w:val="auto"/>
        </w:rPr>
      </w:pPr>
      <w:r>
        <w:rPr>
          <w:rFonts w:ascii="Arial" w:cs="Arial" w:eastAsia="Arial" w:hAnsi="Arial"/>
          <w:sz w:val="21"/>
          <w:szCs w:val="21"/>
          <w:color w:val="auto"/>
        </w:rPr>
        <w:t>As of the date hereof, Mr. Bagley is the beneficial owner of 2,752,681 shares of the Common Stock, representing approximately 29.94% of the Issuer’s outstanding Common Stock based on the Issuer’s reported 9,193,552 outstanding shares of Common Stock as of November 12, 2012 as reported in the Issuer’s Form 10-Q for the quarter ended September 30, 2012. Mr. Bagely is the direct owner (of record or through broker-dealers) of 2,626,515 shares of Common Stock, holds stock options that are currently exercisable or are exercisable within 60 days with respect to 556 shares of Common Stock, and is deemed to be the beneficial owner of 126,166 shares of Common Stock owned directly (of record or through broker-dealers) by his spouse. The Reporting Person currently holds stock options with respect to a total of 834 shares of the Common Stock, of which 0 are vested as of the date of this report.</w:t>
      </w:r>
    </w:p>
    <w:p>
      <w:pPr>
        <w:spacing w:after="0" w:line="212" w:lineRule="exact"/>
        <w:rPr>
          <w:rFonts w:ascii="Arial" w:cs="Arial" w:eastAsia="Arial" w:hAnsi="Arial"/>
          <w:sz w:val="21"/>
          <w:szCs w:val="21"/>
          <w:color w:val="auto"/>
        </w:rPr>
      </w:pPr>
    </w:p>
    <w:p>
      <w:pPr>
        <w:ind w:left="620" w:hanging="612"/>
        <w:spacing w:after="0"/>
        <w:tabs>
          <w:tab w:leader="none" w:pos="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of Common Stock as to which the Reporting Person has:</w:t>
      </w:r>
    </w:p>
    <w:p>
      <w:pPr>
        <w:spacing w:after="0" w:line="233" w:lineRule="exact"/>
        <w:rPr>
          <w:rFonts w:ascii="Arial" w:cs="Arial" w:eastAsia="Arial" w:hAnsi="Arial"/>
          <w:sz w:val="22"/>
          <w:szCs w:val="22"/>
          <w:color w:val="auto"/>
        </w:rPr>
      </w:pPr>
    </w:p>
    <w:p>
      <w:pPr>
        <w:ind w:left="920" w:hanging="264"/>
        <w:spacing w:after="0"/>
        <w:tabs>
          <w:tab w:leader="none" w:pos="9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direct the vote: 2,626,515</w:t>
      </w:r>
    </w:p>
    <w:p>
      <w:pPr>
        <w:spacing w:after="0" w:line="8" w:lineRule="exact"/>
        <w:rPr>
          <w:rFonts w:ascii="Arial" w:cs="Arial" w:eastAsia="Arial" w:hAnsi="Arial"/>
          <w:sz w:val="22"/>
          <w:szCs w:val="22"/>
          <w:color w:val="auto"/>
        </w:rPr>
      </w:pPr>
    </w:p>
    <w:p>
      <w:pPr>
        <w:ind w:left="980" w:hanging="324"/>
        <w:spacing w:after="0" w:line="230" w:lineRule="auto"/>
        <w:tabs>
          <w:tab w:leader="none" w:pos="9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direct the vote: 126,166</w:t>
      </w:r>
    </w:p>
    <w:p>
      <w:pPr>
        <w:ind w:left="1040" w:hanging="384"/>
        <w:spacing w:after="0" w:line="230" w:lineRule="auto"/>
        <w:tabs>
          <w:tab w:leader="none" w:pos="104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direct the disposition: 2,626,515</w:t>
      </w:r>
    </w:p>
    <w:p>
      <w:pPr>
        <w:ind w:left="1020" w:hanging="364"/>
        <w:spacing w:after="0"/>
        <w:tabs>
          <w:tab w:leader="none" w:pos="10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126,166</w:t>
      </w:r>
    </w:p>
    <w:p>
      <w:pPr>
        <w:spacing w:after="0" w:line="215" w:lineRule="exact"/>
        <w:rPr>
          <w:rFonts w:ascii="Arial" w:cs="Arial" w:eastAsia="Arial" w:hAnsi="Arial"/>
          <w:sz w:val="22"/>
          <w:szCs w:val="22"/>
          <w:color w:val="auto"/>
        </w:rPr>
      </w:pPr>
    </w:p>
    <w:p>
      <w:pPr>
        <w:jc w:val="both"/>
        <w:ind w:right="499" w:firstLine="8"/>
        <w:spacing w:after="0" w:line="287" w:lineRule="auto"/>
        <w:tabs>
          <w:tab w:leader="none" w:pos="621"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following table sets forth all transactions with respect to the Common Stock effected during the past sixty (60) days by the Reporting Person, inclusive of any transactions effected through 5:00 p.m., Salt Lake City time, on March 13, 2013. All such transactions were purchases of Common Stock effected pursuant to acquisitions in the open market and the table includes commissions paid in the per share prices.</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8"/>
                <w:szCs w:val="18"/>
                <w:b w:val="1"/>
                <w:bCs w:val="1"/>
                <w:color w:val="auto"/>
              </w:rPr>
              <w:t>Transaction Date</w:t>
            </w:r>
          </w:p>
        </w:tc>
        <w:tc>
          <w:tcPr>
            <w:tcW w:w="318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 Shares Purchased</w:t>
            </w:r>
          </w:p>
        </w:tc>
        <w:tc>
          <w:tcPr>
            <w:tcW w:w="23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Purchase Price Per Share</w:t>
            </w:r>
          </w:p>
        </w:tc>
      </w:tr>
      <w:tr>
        <w:trPr>
          <w:trHeight w:val="216"/>
        </w:trPr>
        <w:tc>
          <w:tcPr>
            <w:tcW w:w="1880" w:type="dxa"/>
            <w:vAlign w:val="bottom"/>
          </w:tcPr>
          <w:p>
            <w:pPr>
              <w:ind w:left="240"/>
              <w:spacing w:after="0"/>
              <w:rPr>
                <w:sz w:val="20"/>
                <w:szCs w:val="20"/>
                <w:color w:val="auto"/>
              </w:rPr>
            </w:pPr>
            <w:r>
              <w:rPr>
                <w:rFonts w:ascii="Arial" w:cs="Arial" w:eastAsia="Arial" w:hAnsi="Arial"/>
                <w:sz w:val="18"/>
                <w:szCs w:val="18"/>
                <w:color w:val="auto"/>
              </w:rPr>
              <w:t>March 5, 2013</w:t>
            </w:r>
          </w:p>
        </w:tc>
        <w:tc>
          <w:tcPr>
            <w:tcW w:w="3180" w:type="dxa"/>
            <w:vAlign w:val="bottom"/>
          </w:tcPr>
          <w:p>
            <w:pPr>
              <w:jc w:val="right"/>
              <w:ind w:right="1090"/>
              <w:spacing w:after="0"/>
              <w:rPr>
                <w:sz w:val="20"/>
                <w:szCs w:val="20"/>
                <w:color w:val="auto"/>
              </w:rPr>
            </w:pPr>
            <w:r>
              <w:rPr>
                <w:rFonts w:ascii="Arial" w:cs="Arial" w:eastAsia="Arial" w:hAnsi="Arial"/>
                <w:sz w:val="18"/>
                <w:szCs w:val="18"/>
                <w:color w:val="auto"/>
              </w:rPr>
              <w:t>9,200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$6.40</w:t>
            </w:r>
          </w:p>
        </w:tc>
      </w:tr>
      <w:tr>
        <w:trPr>
          <w:trHeight w:val="230"/>
        </w:trPr>
        <w:tc>
          <w:tcPr>
            <w:tcW w:w="1880" w:type="dxa"/>
            <w:vAlign w:val="bottom"/>
          </w:tcPr>
          <w:p>
            <w:pPr>
              <w:ind w:left="240"/>
              <w:spacing w:after="0"/>
              <w:rPr>
                <w:sz w:val="20"/>
                <w:szCs w:val="20"/>
                <w:color w:val="auto"/>
              </w:rPr>
            </w:pPr>
            <w:r>
              <w:rPr>
                <w:rFonts w:ascii="Arial" w:cs="Arial" w:eastAsia="Arial" w:hAnsi="Arial"/>
                <w:sz w:val="18"/>
                <w:szCs w:val="18"/>
                <w:color w:val="auto"/>
              </w:rPr>
              <w:t>March 6, 2013</w:t>
            </w:r>
          </w:p>
        </w:tc>
        <w:tc>
          <w:tcPr>
            <w:tcW w:w="3180" w:type="dxa"/>
            <w:vAlign w:val="bottom"/>
          </w:tcPr>
          <w:p>
            <w:pPr>
              <w:jc w:val="right"/>
              <w:ind w:right="1090"/>
              <w:spacing w:after="0"/>
              <w:rPr>
                <w:sz w:val="20"/>
                <w:szCs w:val="20"/>
                <w:color w:val="auto"/>
              </w:rPr>
            </w:pPr>
            <w:r>
              <w:rPr>
                <w:rFonts w:ascii="Arial" w:cs="Arial" w:eastAsia="Arial" w:hAnsi="Arial"/>
                <w:sz w:val="18"/>
                <w:szCs w:val="18"/>
                <w:color w:val="auto"/>
              </w:rPr>
              <w:t>9,400</w:t>
            </w:r>
          </w:p>
        </w:tc>
        <w:tc>
          <w:tcPr>
            <w:tcW w:w="2340" w:type="dxa"/>
            <w:vAlign w:val="bottom"/>
          </w:tcPr>
          <w:p>
            <w:pPr>
              <w:jc w:val="center"/>
              <w:ind w:left="290"/>
              <w:spacing w:after="0"/>
              <w:rPr>
                <w:sz w:val="20"/>
                <w:szCs w:val="20"/>
                <w:color w:val="auto"/>
              </w:rPr>
            </w:pPr>
            <w:r>
              <w:rPr>
                <w:rFonts w:ascii="Arial" w:cs="Arial" w:eastAsia="Arial" w:hAnsi="Arial"/>
                <w:sz w:val="18"/>
                <w:szCs w:val="18"/>
                <w:color w:val="auto"/>
                <w:w w:val="88"/>
              </w:rPr>
              <w:t>$6.40</w:t>
            </w:r>
          </w:p>
        </w:tc>
      </w:tr>
    </w:tbl>
    <w:p>
      <w:pPr>
        <w:spacing w:after="0" w:line="222" w:lineRule="exact"/>
        <w:rPr>
          <w:sz w:val="20"/>
          <w:szCs w:val="20"/>
          <w:color w:val="auto"/>
        </w:rPr>
      </w:pPr>
    </w:p>
    <w:p>
      <w:pPr>
        <w:ind w:left="660" w:right="499" w:hanging="652"/>
        <w:spacing w:after="0" w:line="251" w:lineRule="auto"/>
        <w:tabs>
          <w:tab w:leader="none" w:pos="633" w:val="left"/>
        </w:tabs>
        <w:numPr>
          <w:ilvl w:val="0"/>
          <w:numId w:val="13"/>
        </w:numPr>
        <w:rPr>
          <w:rFonts w:ascii="Arial" w:cs="Arial" w:eastAsia="Arial" w:hAnsi="Arial"/>
          <w:sz w:val="22"/>
          <w:szCs w:val="22"/>
          <w:color w:val="auto"/>
        </w:rPr>
      </w:pPr>
      <w:r>
        <w:rPr>
          <w:rFonts w:ascii="Arial" w:cs="Arial" w:eastAsia="Arial" w:hAnsi="Arial"/>
          <w:sz w:val="22"/>
          <w:szCs w:val="22"/>
          <w:color w:val="auto"/>
        </w:rPr>
        <w:t>Mr. Bagley’s spouse has the power to direct the receipt of dividends on and the proceeds of sales on the 126,166 shares of Common Stock directly owned by her.</w:t>
      </w:r>
    </w:p>
    <w:p>
      <w:pPr>
        <w:spacing w:after="0" w:line="200" w:lineRule="exact"/>
        <w:rPr>
          <w:rFonts w:ascii="Arial" w:cs="Arial" w:eastAsia="Arial" w:hAnsi="Arial"/>
          <w:sz w:val="22"/>
          <w:szCs w:val="22"/>
          <w:color w:val="auto"/>
        </w:rPr>
      </w:pPr>
    </w:p>
    <w:p>
      <w:pPr>
        <w:ind w:left="620" w:hanging="612"/>
        <w:spacing w:after="0"/>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0219"/>
          </w:cols>
          <w:pgMar w:left="24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617474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847" w:right="1440" w:bottom="1440" w:gutter="0" w:footer="0" w:header="0"/>
          <w:type w:val="continuous"/>
        </w:sectPr>
      </w:pPr>
    </w:p>
    <w:bookmarkStart w:id="5" w:name="page6"/>
    <w:bookmarkEnd w:id="5"/>
    <w:p>
      <w:pPr>
        <w:jc w:val="both"/>
        <w:ind w:right="499"/>
        <w:spacing w:after="0" w:line="256" w:lineRule="auto"/>
        <w:rPr>
          <w:sz w:val="20"/>
          <w:szCs w:val="20"/>
          <w:color w:val="auto"/>
        </w:rPr>
      </w:pPr>
      <w:r>
        <w:rPr>
          <w:rFonts w:ascii="Arial" w:cs="Arial" w:eastAsia="Arial" w:hAnsi="Arial"/>
          <w:sz w:val="22"/>
          <w:szCs w:val="22"/>
          <w:b w:val="1"/>
          <w:bCs w:val="1"/>
          <w:color w:val="auto"/>
        </w:rPr>
        <w:t>Item 6. Contracts, Arrangements, Understandings or Relationships With Respect to Securities of the Issuer</w:t>
      </w:r>
    </w:p>
    <w:p>
      <w:pPr>
        <w:spacing w:after="0" w:line="196" w:lineRule="exact"/>
        <w:rPr>
          <w:sz w:val="20"/>
          <w:szCs w:val="20"/>
          <w:color w:val="auto"/>
        </w:rPr>
      </w:pPr>
    </w:p>
    <w:p>
      <w:pPr>
        <w:jc w:val="both"/>
        <w:ind w:right="479" w:firstLine="648"/>
        <w:spacing w:after="0" w:line="247" w:lineRule="auto"/>
        <w:rPr>
          <w:sz w:val="20"/>
          <w:szCs w:val="20"/>
          <w:color w:val="auto"/>
        </w:rPr>
      </w:pPr>
      <w:r>
        <w:rPr>
          <w:rFonts w:ascii="Arial" w:cs="Arial" w:eastAsia="Arial" w:hAnsi="Arial"/>
          <w:sz w:val="21"/>
          <w:szCs w:val="21"/>
          <w:color w:val="auto"/>
        </w:rPr>
        <w:t>Except for the stock purchase plan reference in Item 4 above and the option grants from the Issuer to Mr. Bagley as referenced in Item 5,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Materials to be Filed as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499"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Dated: March 13, 2013</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E. Dallin Bagley</w:t>
            </w:r>
          </w:p>
        </w:tc>
      </w:tr>
      <w:tr>
        <w:trPr>
          <w:trHeight w:val="237"/>
        </w:trPr>
        <w:tc>
          <w:tcPr>
            <w:tcW w:w="40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 Dallin Bagley</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sectPr>
      <w:pgSz w:w="11900" w:h="16838" w:orient="portrait"/>
      <w:cols w:equalWidth="0" w:num="1">
        <w:col w:w="10219"/>
      </w:cols>
      <w:pgMar w:left="24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2019-12-06T03:33:57Z</dcterms:created>
  <dcterms:modified xsi:type="dcterms:W3CDTF">2019-12-06T03:33:57Z</dcterms:modified>
</cp:coreProperties>
</file>