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400" w:right="1840" w:hanging="392"/>
        <w:spacing w:after="0" w:line="503" w:lineRule="auto"/>
        <w:tabs>
          <w:tab w:leader="none" w:pos="4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2016</w:t>
      </w:r>
    </w:p>
    <w:p>
      <w:pPr>
        <w:spacing w:after="0" w:line="1" w:lineRule="exact"/>
        <w:rPr>
          <w:sz w:val="24"/>
          <w:szCs w:val="24"/>
          <w:color w:val="auto"/>
        </w:rPr>
      </w:pPr>
    </w:p>
    <w:p>
      <w:pPr>
        <w:ind w:left="400"/>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For the transition period _______ to _______</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154940</wp:posOffset>
            </wp:positionV>
            <wp:extent cx="172402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402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Utah</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2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 of “large accelerated filer, “accelerated filer” and “smaller reporting company” in Rule 12b-2 of the Exchange Act. (Check one):</w:t>
      </w:r>
    </w:p>
    <w:p>
      <w:pPr>
        <w:sectPr>
          <w:pgSz w:w="11900" w:h="16838" w:orient="portrait"/>
          <w:cols w:equalWidth="0" w:num="1">
            <w:col w:w="11420"/>
          </w:cols>
          <w:pgMar w:left="240" w:top="747" w:right="239" w:bottom="1440" w:gutter="0" w:footer="0" w:header="0"/>
        </w:sect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Larger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Accelerated Filer [X] Smaller Reporting Company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4"/>
          <w:szCs w:val="24"/>
          <w:color w:val="auto"/>
        </w:rPr>
      </w:pPr>
    </w:p>
    <w:p>
      <w:pPr>
        <w:sectPr>
          <w:pgSz w:w="11900" w:h="16838" w:orient="portrait"/>
          <w:cols w:equalWidth="0" w:num="3">
            <w:col w:w="6140" w:space="720"/>
            <w:col w:w="2160" w:space="100"/>
            <w:col w:w="2300"/>
          </w:cols>
          <w:pgMar w:left="240" w:top="747"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July 31, 2016 was 8,970,114.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20" w:type="dxa"/>
            <w:vAlign w:val="bottom"/>
            <w:gridSpan w:val="10"/>
          </w:tcPr>
          <w:p>
            <w:pPr>
              <w:jc w:val="center"/>
              <w:ind w:right="3800"/>
              <w:spacing w:after="0"/>
              <w:rPr>
                <w:sz w:val="20"/>
                <w:szCs w:val="20"/>
                <w:color w:val="auto"/>
              </w:rPr>
            </w:pPr>
            <w:r>
              <w:rPr>
                <w:rFonts w:ascii="Arial" w:cs="Arial" w:eastAsia="Arial" w:hAnsi="Arial"/>
                <w:sz w:val="18"/>
                <w:szCs w:val="18"/>
                <w:b w:val="1"/>
                <w:bCs w:val="1"/>
                <w:color w:val="auto"/>
              </w:rPr>
              <w:t>CLEARONE, INC.</w:t>
            </w:r>
          </w:p>
        </w:tc>
        <w:tc>
          <w:tcPr>
            <w:tcW w:w="52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15"/>
          </w:tcPr>
          <w:p>
            <w:pPr>
              <w:jc w:val="center"/>
              <w:ind w:right="1600"/>
              <w:spacing w:after="0"/>
              <w:rPr>
                <w:sz w:val="20"/>
                <w:szCs w:val="20"/>
                <w:color w:val="auto"/>
              </w:rPr>
            </w:pPr>
            <w:r>
              <w:rPr>
                <w:rFonts w:ascii="Arial" w:cs="Arial" w:eastAsia="Arial" w:hAnsi="Arial"/>
                <w:sz w:val="18"/>
                <w:szCs w:val="18"/>
                <w:b w:val="1"/>
                <w:bCs w:val="1"/>
                <w:color w:val="auto"/>
                <w:w w:val="98"/>
              </w:rPr>
              <w:t>QUARTERLY REPORT ON FORM 10-Q FOR THE QUARTER ENDED JUNE 30, 2016</w:t>
            </w:r>
          </w:p>
        </w:tc>
        <w:tc>
          <w:tcPr>
            <w:tcW w:w="52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8"/>
          </w:tcPr>
          <w:p>
            <w:pPr>
              <w:jc w:val="center"/>
              <w:ind w:right="4640"/>
              <w:spacing w:after="0"/>
              <w:rPr>
                <w:sz w:val="20"/>
                <w:szCs w:val="20"/>
                <w:color w:val="auto"/>
              </w:rPr>
            </w:pPr>
            <w:r>
              <w:rPr>
                <w:rFonts w:ascii="Arial" w:cs="Arial" w:eastAsia="Arial" w:hAnsi="Arial"/>
                <w:sz w:val="18"/>
                <w:szCs w:val="18"/>
                <w:b w:val="1"/>
                <w:bCs w:val="1"/>
                <w:color w:val="auto"/>
              </w:rPr>
              <w:t>INDEX</w:t>
            </w:r>
          </w:p>
        </w:tc>
        <w:tc>
          <w:tcPr>
            <w:tcW w:w="520" w:type="dxa"/>
            <w:vAlign w:val="bottom"/>
          </w:tcPr>
          <w:p>
            <w:pPr>
              <w:spacing w:after="0"/>
              <w:rPr>
                <w:sz w:val="24"/>
                <w:szCs w:val="24"/>
                <w:color w:val="auto"/>
              </w:rPr>
            </w:pPr>
          </w:p>
        </w:tc>
      </w:tr>
      <w:tr>
        <w:trPr>
          <w:trHeight w:val="392"/>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780" w:type="dxa"/>
            <w:vAlign w:val="bottom"/>
            <w:gridSpan w:val="12"/>
          </w:tcPr>
          <w:p>
            <w:pPr>
              <w:jc w:val="center"/>
              <w:ind w:right="25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2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1840" w:type="dxa"/>
            <w:vAlign w:val="bottom"/>
            <w:gridSpan w:val="3"/>
          </w:tcPr>
          <w:p>
            <w:pPr>
              <w:spacing w:after="0"/>
              <w:rPr>
                <w:sz w:val="24"/>
                <w:szCs w:val="24"/>
                <w:color w:val="auto"/>
              </w:rPr>
            </w:pPr>
          </w:p>
        </w:tc>
        <w:tc>
          <w:tcPr>
            <w:tcW w:w="3160" w:type="dxa"/>
            <w:vAlign w:val="bottom"/>
            <w:tcBorders>
              <w:top w:val="single" w:sz="8" w:color="0000EE"/>
            </w:tcBorders>
            <w:gridSpan w:val="7"/>
          </w:tcPr>
          <w:p>
            <w:pPr>
              <w:spacing w:after="0"/>
              <w:rPr>
                <w:sz w:val="24"/>
                <w:szCs w:val="24"/>
                <w:color w:val="auto"/>
              </w:rPr>
            </w:pPr>
          </w:p>
        </w:tc>
        <w:tc>
          <w:tcPr>
            <w:tcW w:w="360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0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2016 and December 31, 2015 Unaudited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76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and Comprehensive Income for the three and six months ended June 30, 2016 and 2015</w:t>
              </w:r>
            </w:hyperlink>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2016 and 2015 Unaudited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800" w:type="dxa"/>
            <w:vAlign w:val="bottom"/>
          </w:tcPr>
          <w:p>
            <w:pPr>
              <w:spacing w:after="0"/>
              <w:rPr>
                <w:sz w:val="24"/>
                <w:szCs w:val="24"/>
                <w:color w:val="auto"/>
              </w:rPr>
            </w:pPr>
          </w:p>
        </w:tc>
        <w:tc>
          <w:tcPr>
            <w:tcW w:w="8080" w:type="dxa"/>
            <w:vAlign w:val="bottom"/>
            <w:tcBorders>
              <w:top w:val="single" w:sz="8" w:color="0000EE"/>
            </w:tcBorders>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202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Quantitative and Qualitative Disclosures About Market Risk</w:t>
              </w:r>
            </w:hyperlink>
          </w:p>
        </w:tc>
        <w:tc>
          <w:tcPr>
            <w:tcW w:w="574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010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8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20" w:type="dxa"/>
            <w:vAlign w:val="bottom"/>
            <w:gridSpan w:val="10"/>
          </w:tcPr>
          <w:p>
            <w:pPr>
              <w:jc w:val="center"/>
              <w:ind w:right="3760"/>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520" w:type="dxa"/>
            <w:vAlign w:val="bottom"/>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3480" w:type="dxa"/>
            <w:vAlign w:val="bottom"/>
            <w:gridSpan w:val="1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2860" w:type="dxa"/>
            <w:vAlign w:val="bottom"/>
            <w:tcBorders>
              <w:top w:val="single" w:sz="8" w:color="0000EE"/>
            </w:tcBorders>
            <w:gridSpan w:val="4"/>
          </w:tcPr>
          <w:p>
            <w:pPr>
              <w:spacing w:after="0"/>
              <w:rPr>
                <w:sz w:val="24"/>
                <w:szCs w:val="24"/>
                <w:color w:val="auto"/>
              </w:rPr>
            </w:pPr>
          </w:p>
        </w:tc>
        <w:tc>
          <w:tcPr>
            <w:tcW w:w="376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78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576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Defaults Upon Senior Securities</w:t>
              </w:r>
            </w:hyperlink>
          </w:p>
        </w:tc>
        <w:tc>
          <w:tcPr>
            <w:tcW w:w="778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010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834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800" w:type="dxa"/>
            <w:vAlign w:val="bottom"/>
            <w:gridSpan w:val="1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60"/>
        </w:trPr>
        <w:tc>
          <w:tcPr>
            <w:tcW w:w="8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gridSpan w:val="14"/>
          </w:tcPr>
          <w:p>
            <w:pPr>
              <w:jc w:val="center"/>
              <w:ind w:left="339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June 30, 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2015</w:t>
            </w:r>
          </w:p>
        </w:tc>
      </w:tr>
      <w:tr>
        <w:trPr>
          <w:trHeight w:val="210"/>
        </w:trPr>
        <w:tc>
          <w:tcPr>
            <w:tcW w:w="7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32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7,161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$86 and $54, respectively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12,668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13,447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1,806</w:t>
            </w:r>
          </w:p>
        </w:tc>
      </w:tr>
      <w:tr>
        <w:trPr>
          <w:trHeight w:val="210"/>
        </w:trPr>
        <w:tc>
          <w:tcPr>
            <w:tcW w:w="7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20,287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19,204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1,589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5,093</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30"/>
        </w:trPr>
        <w:tc>
          <w:tcPr>
            <w:tcW w:w="7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7140" w:type="dxa"/>
            <w:vAlign w:val="bottom"/>
          </w:tcPr>
          <w:p>
            <w:pPr>
              <w:ind w:left="1660"/>
              <w:spacing w:after="0" w:line="203"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2,097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2,815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4,549</w:t>
            </w:r>
          </w:p>
        </w:tc>
      </w:tr>
      <w:tr>
        <w:trPr>
          <w:trHeight w:val="210"/>
        </w:trPr>
        <w:tc>
          <w:tcPr>
            <w:tcW w:w="7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r>
      <w:tr>
        <w:trPr>
          <w:trHeight w:val="210"/>
        </w:trPr>
        <w:tc>
          <w:tcPr>
            <w:tcW w:w="7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10,960</w:t>
            </w:r>
          </w:p>
        </w:tc>
        <w:tc>
          <w:tcPr>
            <w:tcW w:w="100" w:type="dxa"/>
            <w:vAlign w:val="bottom"/>
            <w:tcBorders>
              <w:bottom w:val="single" w:sz="8" w:color="CCEEFF"/>
            </w:tcBorders>
          </w:tcPr>
          <w:p>
            <w:pPr>
              <w:spacing w:after="0"/>
              <w:rPr>
                <w:sz w:val="18"/>
                <w:szCs w:val="18"/>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140" w:type="dxa"/>
            <w:vAlign w:val="bottom"/>
          </w:tcPr>
          <w:p>
            <w:pPr>
              <w:spacing w:after="0" w:line="201" w:lineRule="exact"/>
              <w:rPr>
                <w:sz w:val="20"/>
                <w:szCs w:val="20"/>
                <w:color w:val="auto"/>
              </w:rPr>
            </w:pPr>
            <w:r>
              <w:rPr>
                <w:rFonts w:ascii="Arial" w:cs="Arial" w:eastAsia="Arial" w:hAnsi="Arial"/>
                <w:sz w:val="18"/>
                <w:szCs w:val="18"/>
                <w:color w:val="auto"/>
                <w:w w:val="91"/>
              </w:rPr>
              <w:t>Common stock, par value $0.001, 50,000,000 shares authorized, 8,933,582 and 9,183,957 shares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issued and outstanding</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36,435</w:t>
            </w:r>
          </w:p>
        </w:tc>
      </w:tr>
      <w:tr>
        <w:trPr>
          <w:trHeight w:val="210"/>
        </w:trPr>
        <w:tc>
          <w:tcPr>
            <w:tcW w:w="7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79,783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82,569</w:t>
            </w:r>
          </w:p>
        </w:tc>
        <w:tc>
          <w:tcPr>
            <w:tcW w:w="100" w:type="dxa"/>
            <w:vAlign w:val="bottom"/>
            <w:tcBorders>
              <w:bottom w:val="single" w:sz="8" w:color="CCEEFF"/>
            </w:tcBorders>
          </w:tcPr>
          <w:p>
            <w:pPr>
              <w:spacing w:after="0"/>
              <w:rPr>
                <w:sz w:val="18"/>
                <w:szCs w:val="18"/>
                <w:color w:val="auto"/>
              </w:rPr>
            </w:pPr>
          </w:p>
        </w:tc>
      </w:tr>
      <w:tr>
        <w:trPr>
          <w:trHeight w:val="217"/>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2"/>
              </w:rPr>
              <w:t>Three months ended June 30,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4,302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5,022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8,870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2,681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2,753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5,306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4,365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3,165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0.24</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9,112,613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9,119,907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9,154,658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9,110,062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9,362,037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9,603,682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9,512,559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9,560,914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1,515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2,323</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ind w:left="340"/>
              <w:spacing w:after="0" w:line="201" w:lineRule="exact"/>
              <w:rPr>
                <w:sz w:val="20"/>
                <w:szCs w:val="20"/>
                <w:color w:val="auto"/>
              </w:rPr>
            </w:pPr>
            <w:r>
              <w:rPr>
                <w:rFonts w:ascii="Arial" w:cs="Arial" w:eastAsia="Arial" w:hAnsi="Arial"/>
                <w:sz w:val="18"/>
                <w:szCs w:val="18"/>
                <w:color w:val="auto"/>
              </w:rPr>
              <w:t>Change in unrealized gains (losses) on available- for-sale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foreign currency translation adjustment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52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6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w:t>
            </w:r>
          </w:p>
        </w:tc>
        <w:tc>
          <w:tcPr>
            <w:tcW w:w="246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2,323</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rent</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(recoveries of) doubtful accounts, net</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Write-down of inventory to net realizable value</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assets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Tax benefit from exercise of stock options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(676)</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548</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(719)</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and sales of marketable securities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(4,250)</w:t>
            </w:r>
          </w:p>
        </w:tc>
        <w:tc>
          <w:tcPr>
            <w:tcW w:w="3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and cancellation of stock options</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(1,752)</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Tax benefits from exercise of stock options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Repurchase and cancellation of stock</w:t>
            </w: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(4,115)</w:t>
            </w:r>
          </w:p>
        </w:tc>
        <w:tc>
          <w:tcPr>
            <w:tcW w:w="30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(5,639</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(3,867)</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13,412</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Cash and cash equivalents at the end of the period</w:t>
            </w:r>
          </w:p>
        </w:tc>
        <w:tc>
          <w:tcPr>
            <w:tcW w:w="15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9,545</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88"/>
              </w:rPr>
              <w:t>Six months ended 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715</w:t>
            </w:r>
          </w:p>
        </w:tc>
        <w:tc>
          <w:tcPr>
            <w:tcW w:w="172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2,280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9"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30"/>
          <w:szCs w:val="30"/>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condensed consolidated financial statements for the three and six months ended June 30, 2016 and 2015,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June 30, 2016 and December 31, 2015, the results of operations for the three and six months ended June 30, 2016 and 2015, and the cash flows for the six months ended June 30, 2016 and 2015. The results of operations for the three and six months ended June 30, 2016 and 2015 are not necessarily indicative of the results for a full-year period. These interim condensed consolidated financial statements should be read in conjunction with the financial statements included in our Annual Report on Form 10-K for the year ended December 31, 2015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2015. There have been no changes to these policies during the six months ended June 30, 2016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The updated standard becomes effective for the Company on January 1, 2018. Early adoption is permitted. The Company has not yet selected a transition method and is currently evaluating the effect that the updated standard will have on the consolidated financial statements.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2015, the FASB issued ASU 2015-17, Income Taxes (Topic 740), simplifying the presentation of deferred taxes on the balance sheet by requiring companies to classify everything as either a non-current asset or non-current liability. Early adoption of this ASU is permitted. ClearOne has adopted this standard update early as it simplified the presentation of taxes on the balance sheet and within the income tax footnote.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FASB released Accounting Standards Update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2016, the FASB issued ASU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is effective for the Company on January 1, 2017 and we are currently evaluating the impact that ASU 2016-09 will have on our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ind w:left="1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955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9,112,613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9,119,907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9,154,568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9,110,062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483,775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9,362,037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9,603,682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9,512,559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9,560,914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1,037,978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935,021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277,195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74,209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277,195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171,459</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June 30, 2016 and December 31, 2015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620" w:type="dxa"/>
            <w:vAlign w:val="bottom"/>
          </w:tcPr>
          <w:p>
            <w:pPr>
              <w:spacing w:after="0"/>
              <w:rPr>
                <w:sz w:val="20"/>
                <w:szCs w:val="20"/>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holding losses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2016</w:t>
            </w: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 and notes</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20,460</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6,968</w:t>
            </w:r>
          </w:p>
        </w:tc>
      </w:tr>
      <w:tr>
        <w:trPr>
          <w:trHeight w:val="217"/>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42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62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holding losses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 and notes</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20,744</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5,621</w:t>
            </w:r>
          </w:p>
        </w:tc>
      </w:tr>
      <w:tr>
        <w:trPr>
          <w:trHeight w:val="217"/>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46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439"/>
        </w:trPr>
        <w:tc>
          <w:tcPr>
            <w:tcW w:w="5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ind w:left="60"/>
              <w:spacing w:after="0"/>
              <w:rPr>
                <w:sz w:val="20"/>
                <w:szCs w:val="20"/>
                <w:color w:val="auto"/>
              </w:rPr>
            </w:pPr>
            <w:r>
              <w:rPr>
                <w:rFonts w:ascii="Arial" w:cs="Arial" w:eastAsia="Arial" w:hAnsi="Arial"/>
                <w:sz w:val="18"/>
                <w:szCs w:val="18"/>
                <w:color w:val="auto"/>
                <w:w w:val="92"/>
              </w:rPr>
              <w:t>Maturities of marketable securities classified as available-for-sale securities were as follows at June 30, 2016: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Estimated</w:t>
            </w:r>
          </w:p>
        </w:tc>
      </w:tr>
      <w:tr>
        <w:trPr>
          <w:trHeight w:val="234"/>
        </w:trPr>
        <w:tc>
          <w:tcPr>
            <w:tcW w:w="8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cost</w:t>
            </w:r>
          </w:p>
        </w:tc>
        <w:tc>
          <w:tcPr>
            <w:tcW w:w="18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2016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Due within one year</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7,129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7,141</w:t>
            </w:r>
          </w:p>
        </w:tc>
      </w:tr>
      <w:tr>
        <w:trPr>
          <w:trHeight w:val="21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19,287</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Due after five years through ten years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7"/>
        </w:trPr>
        <w:tc>
          <w:tcPr>
            <w:tcW w:w="8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Debt securities in an unrealized loss position as of June 30, 2016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June 30, 2016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6"/>
              </w:rPr>
              <w:t>Less than 12 months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2"/>
              </w:rPr>
              <w:t>More than 12 months</w:t>
            </w:r>
          </w:p>
        </w:tc>
        <w:tc>
          <w:tcPr>
            <w:tcW w:w="30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left="70"/>
              <w:spacing w:after="0" w:line="191"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unrealized</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unrealized</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78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holding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Estimated</w:t>
            </w:r>
          </w:p>
        </w:tc>
        <w:tc>
          <w:tcPr>
            <w:tcW w:w="1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holding</w:t>
            </w: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holding</w:t>
            </w:r>
          </w:p>
        </w:tc>
      </w:tr>
      <w:tr>
        <w:trPr>
          <w:trHeight w:val="234"/>
        </w:trPr>
        <w:tc>
          <w:tcPr>
            <w:tcW w:w="4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fair value</w:t>
            </w:r>
          </w:p>
        </w:tc>
        <w:tc>
          <w:tcPr>
            <w:tcW w:w="120" w:type="dxa"/>
            <w:vAlign w:val="bottom"/>
          </w:tcPr>
          <w:p>
            <w:pPr>
              <w:spacing w:after="0"/>
              <w:rPr>
                <w:sz w:val="20"/>
                <w:szCs w:val="20"/>
                <w:color w:val="auto"/>
              </w:rPr>
            </w:pPr>
          </w:p>
        </w:tc>
        <w:tc>
          <w:tcPr>
            <w:tcW w:w="780" w:type="dxa"/>
            <w:vAlign w:val="bottom"/>
          </w:tcPr>
          <w:p>
            <w:pPr>
              <w:jc w:val="center"/>
              <w:ind w:left="70"/>
              <w:spacing w:after="0"/>
              <w:rPr>
                <w:sz w:val="20"/>
                <w:szCs w:val="20"/>
                <w:color w:val="auto"/>
              </w:rPr>
            </w:pPr>
            <w:r>
              <w:rPr>
                <w:rFonts w:ascii="Arial" w:cs="Arial" w:eastAsia="Arial" w:hAnsi="Arial"/>
                <w:sz w:val="18"/>
                <w:szCs w:val="18"/>
                <w:b w:val="1"/>
                <w:bCs w:val="1"/>
                <w:color w:val="auto"/>
                <w:w w:val="74"/>
              </w:rPr>
              <w:t>losses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8"/>
              </w:rPr>
              <w:t>losses</w:t>
            </w: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fair 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78"/>
              </w:rPr>
              <w:t>losses</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June 30, 2016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1,930</w:t>
            </w:r>
          </w:p>
        </w:tc>
        <w:tc>
          <w:tcPr>
            <w:tcW w:w="9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0"/>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30"/>
        </w:trPr>
        <w:tc>
          <w:tcPr>
            <w:tcW w:w="4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419"/>
        </w:trPr>
        <w:tc>
          <w:tcPr>
            <w:tcW w:w="4580" w:type="dxa"/>
            <w:vAlign w:val="bottom"/>
          </w:tcPr>
          <w:p>
            <w:pPr>
              <w:spacing w:after="0"/>
              <w:rPr>
                <w:sz w:val="20"/>
                <w:szCs w:val="20"/>
                <w:color w:val="auto"/>
              </w:rPr>
            </w:pPr>
            <w:r>
              <w:rPr>
                <w:rFonts w:ascii="Arial" w:cs="Arial" w:eastAsia="Arial" w:hAnsi="Arial"/>
                <w:sz w:val="18"/>
                <w:szCs w:val="18"/>
                <w:b w:val="1"/>
                <w:bCs w:val="1"/>
                <w:color w:val="auto"/>
              </w:rPr>
              <w:t>4. Intangible Assets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2016 and December 31, 2015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Estimated useful</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lives</w:t>
            </w:r>
          </w:p>
        </w:tc>
        <w:tc>
          <w:tcPr>
            <w:tcW w:w="12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June 30, 2016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2015</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 to 7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 years</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5,927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5,850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15 years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 to 5 years</w:t>
            </w:r>
          </w:p>
        </w:tc>
        <w:tc>
          <w:tcPr>
            <w:tcW w:w="1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10"/>
        </w:trPr>
        <w:tc>
          <w:tcPr>
            <w:tcW w:w="5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1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(5,007)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(4,432)</w:t>
            </w:r>
          </w:p>
        </w:tc>
      </w:tr>
      <w:tr>
        <w:trPr>
          <w:trHeight w:val="217"/>
        </w:trPr>
        <w:tc>
          <w:tcPr>
            <w:tcW w:w="5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and six months ended June 30, 2016 and June 30, 2015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0"/>
                <w:szCs w:val="20"/>
                <w:color w:val="auto"/>
              </w:rPr>
            </w:pPr>
          </w:p>
        </w:tc>
        <w:tc>
          <w:tcPr>
            <w:tcW w:w="2680" w:type="dxa"/>
            <w:vAlign w:val="bottom"/>
            <w:gridSpan w:val="7"/>
          </w:tcPr>
          <w:p>
            <w:pPr>
              <w:ind w:left="1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2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79"/>
              </w:rPr>
              <w:t>576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w w:val="90"/>
              </w:rPr>
              <w:t>The estimated future amortization expense of intangible assets is as follows:</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2016 (remainder)</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r>
      <w:tr>
        <w:trPr>
          <w:trHeight w:val="217"/>
        </w:trPr>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w w:val="93"/>
              </w:rPr>
              <w:t>Inventories, net of reserves, as of June 30, 2016 and December 31, 2015 consisted of the following:</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June 30, 2016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2015</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2,736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2,735</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10,712</w:t>
            </w:r>
          </w:p>
        </w:tc>
        <w:tc>
          <w:tcPr>
            <w:tcW w:w="80" w:type="dxa"/>
            <w:vAlign w:val="bottom"/>
            <w:shd w:val="clear" w:color="auto" w:fill="CCEEFF"/>
          </w:tcPr>
          <w:p>
            <w:pPr>
              <w:spacing w:after="0"/>
              <w:rPr>
                <w:sz w:val="19"/>
                <w:szCs w:val="19"/>
                <w:color w:val="auto"/>
              </w:rPr>
            </w:pPr>
          </w:p>
        </w:tc>
      </w:tr>
      <w:tr>
        <w:trPr>
          <w:trHeight w:val="217"/>
        </w:trPr>
        <w:tc>
          <w:tcPr>
            <w:tcW w:w="7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731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w:t>
            </w:r>
          </w:p>
        </w:tc>
        <w:tc>
          <w:tcPr>
            <w:tcW w:w="80" w:type="dxa"/>
            <w:vAlign w:val="bottom"/>
            <w:shd w:val="clear" w:color="auto" w:fill="CCEEFF"/>
          </w:tcPr>
          <w:p>
            <w:pPr>
              <w:spacing w:after="0"/>
              <w:rPr>
                <w:sz w:val="19"/>
                <w:szCs w:val="19"/>
                <w:color w:val="auto"/>
              </w:rPr>
            </w:pPr>
          </w:p>
        </w:tc>
      </w:tr>
      <w:tr>
        <w:trPr>
          <w:trHeight w:val="217"/>
        </w:trPr>
        <w:tc>
          <w:tcPr>
            <w:tcW w:w="74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finished goods do not include consigned inventory in the amounts of approximately $1,669 and $1,628 as of June 30, 2016 and December 31, 2015, respectively. Distributor channel inventories represents inventory at distributors and other customers where revenue recognition criteria have not yet been achieved.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and six months ended June 30, 2016 and 2015,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Three months ended June 30,</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Net loss on valuation of inventory and write-off of obsolete inventory</w:t>
            </w: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83</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share-based incentive plans offering stock options primarily consists of two plans. Under both plans, one new share is issued for each stock option exercised. The plans are described below.</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1998 Incentive Plan (the “1998 Plan”) was the Company’s primary plan through November 2007. Under this plan shares of common stock was made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2007 Equity Incentive Plan (the “2007 Plan”) was restated and approved by the shareholders on December 12, 2014.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June 30, 2016 had contractual lives of ten years. Under the 1998 Plan, 2,500,000 shares were authorized for grant. As of June 30, 2016, there were 0 options outstanding under the 1998 Plan, which includes the cliff vesting and 3 or 4-year vesting options discussed above. As of June 30, 2016, there were 837,230 options outstanding under the 2007 Plan. As of June 30, 2016, the 2007 Plan had 906,930 authorized unissued options, while there were no options remaining that could be granted under the 1998 Plan.</w:t>
      </w:r>
    </w:p>
    <w:p>
      <w:pPr>
        <w:sectPr>
          <w:pgSz w:w="11900" w:h="16838" w:orient="portrait"/>
          <w:cols w:equalWidth="0" w:num="1">
            <w:col w:w="11420"/>
          </w:cols>
          <w:pgMar w:left="240" w:top="233"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six months ended June 30, 2016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p>
        </w:tc>
        <w:tc>
          <w:tcPr>
            <w:tcW w:w="2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 shares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157,200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(109,151)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225,542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Canceled or Expired</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(14,212)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June 30, 2016</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at end of June 30, 2016</w:t>
            </w: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line="20" w:lineRule="exact"/>
              <w:rPr>
                <w:sz w:val="1"/>
                <w:szCs w:val="1"/>
                <w:color w:val="auto"/>
              </w:rPr>
            </w:pPr>
          </w:p>
        </w:tc>
      </w:tr>
      <w:tr>
        <w:trPr>
          <w:trHeight w:val="211"/>
        </w:trPr>
        <w:tc>
          <w:tcPr>
            <w:tcW w:w="7200" w:type="dxa"/>
            <w:vAlign w:val="bottom"/>
            <w:vMerge w:val="continue"/>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549,215</w:t>
            </w:r>
          </w:p>
        </w:tc>
        <w:tc>
          <w:tcPr>
            <w:tcW w:w="1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2016, the total remaining unrecognized compensation cost related to non-vested stock options, net of forfeitures, was approximately $1,195, which will be recognized over a weighted average period of 2.45 years.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u w:val="single" w:color="auto"/>
          <w:color w:val="auto"/>
        </w:rPr>
        <w:t>Stock Option Repurchase: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March 11, 2016 to March 17, 2016, the Company offered to repurchase eligible vested options to purchase shares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1998 Plan and the 2007 Plan from employees.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at an average purchase price of $7.77.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issues shares to employees under the Company’s 2014 Employee Stock Purchase Plan (the “ESPP”). The ESPP was approved by the Company’s shareholders on December 12, 2014. As of June 30, 2016, 480,444 of the originally approved 500,000 shares were available for offerings under the ESPP. Offering periods under the ESPP commence on each January 1 and July 1, and continue for a duration of six months. The ESPP is available to all employees who do not own, or not are deemed to own, shares of stock making up an excess of 5% of the combined voting power of the Company, its parent or subsidiary. 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w w:val="97"/>
              </w:rPr>
              <w:t>Share-based compensation expense has been recorded as follows:</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260" w:type="dxa"/>
            <w:vAlign w:val="bottom"/>
          </w:tcPr>
          <w:p>
            <w:pPr>
              <w:spacing w:after="0"/>
              <w:rPr>
                <w:sz w:val="24"/>
                <w:szCs w:val="2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140</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17"/>
        </w:trPr>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 in shareholders’ equity during the three and six months ended June 30, 2016 and 2015, respectively: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w w:val="96"/>
              </w:rPr>
              <w:t>Three months ended June 30,</w:t>
            </w:r>
          </w:p>
        </w:tc>
        <w:tc>
          <w:tcPr>
            <w:tcW w:w="280" w:type="dxa"/>
            <w:vAlign w:val="bottom"/>
          </w:tcPr>
          <w:p>
            <w:pPr>
              <w:spacing w:after="0"/>
              <w:rPr>
                <w:sz w:val="18"/>
                <w:szCs w:val="18"/>
                <w:color w:val="auto"/>
              </w:rPr>
            </w:pPr>
          </w:p>
        </w:tc>
        <w:tc>
          <w:tcPr>
            <w:tcW w:w="264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07"/>
        </w:trPr>
        <w:tc>
          <w:tcPr>
            <w:tcW w:w="52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7"/>
                <w:szCs w:val="17"/>
                <w:color w:val="auto"/>
              </w:rPr>
            </w:pP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76,016</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2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repurchased</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Options repurchased</w:t>
            </w:r>
          </w:p>
        </w:tc>
        <w:tc>
          <w:tcPr>
            <w:tcW w:w="2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(1,752)</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purchase plan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Dividends</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options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Share-based compensation - ESPP</w:t>
            </w:r>
          </w:p>
        </w:tc>
        <w:tc>
          <w:tcPr>
            <w:tcW w:w="2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benefit - stock option exercise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Unrealized gain or loss on investments, net of tax</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income during the period</w:t>
            </w:r>
          </w:p>
        </w:tc>
        <w:tc>
          <w:tcPr>
            <w:tcW w:w="26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955</w:t>
            </w:r>
          </w:p>
        </w:tc>
        <w:tc>
          <w:tcPr>
            <w:tcW w:w="2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1,515</w:t>
            </w: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2,323</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2,787</w:t>
            </w:r>
          </w:p>
        </w:tc>
      </w:tr>
      <w:tr>
        <w:trPr>
          <w:trHeight w:val="217"/>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69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69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17, 2016, the Company announced a quarterly cash dividend of $0.05 per share to be paid on June 15, 2016 to shareholders of record as of June 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substantial majority of the Company’s financial instruments are valued using quoted prices in markets in active markets or based on other observable inputs. The following table sets forth the fair value of the financial instruments re-measured by the Company as of June 30, 2016 and December 31, 2015: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2016</w:t>
            </w: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20,460</w:t>
            </w:r>
          </w:p>
        </w:tc>
        <w:tc>
          <w:tcPr>
            <w:tcW w:w="11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20,460</w:t>
            </w:r>
          </w:p>
        </w:tc>
        <w:tc>
          <w:tcPr>
            <w:tcW w:w="80" w:type="dxa"/>
            <w:vAlign w:val="bottom"/>
          </w:tcPr>
          <w:p>
            <w:pPr>
              <w:spacing w:after="0"/>
              <w:rPr>
                <w:sz w:val="18"/>
                <w:szCs w:val="18"/>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6,968</w:t>
            </w:r>
          </w:p>
        </w:tc>
        <w:tc>
          <w:tcPr>
            <w:tcW w:w="80" w:type="dxa"/>
            <w:vAlign w:val="bottom"/>
            <w:shd w:val="clear" w:color="auto" w:fill="CCEEFF"/>
          </w:tcPr>
          <w:p>
            <w:pPr>
              <w:spacing w:after="0"/>
              <w:rPr>
                <w:sz w:val="19"/>
                <w:szCs w:val="19"/>
                <w:color w:val="auto"/>
              </w:rPr>
            </w:pPr>
          </w:p>
        </w:tc>
      </w:tr>
      <w:tr>
        <w:trPr>
          <w:trHeight w:val="217"/>
        </w:trPr>
        <w:tc>
          <w:tcPr>
            <w:tcW w:w="526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20,744</w:t>
            </w:r>
          </w:p>
        </w:tc>
        <w:tc>
          <w:tcPr>
            <w:tcW w:w="11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20,744</w:t>
            </w:r>
          </w:p>
        </w:tc>
        <w:tc>
          <w:tcPr>
            <w:tcW w:w="80" w:type="dxa"/>
            <w:vAlign w:val="bottom"/>
          </w:tcPr>
          <w:p>
            <w:pPr>
              <w:spacing w:after="0"/>
              <w:rPr>
                <w:sz w:val="18"/>
                <w:szCs w:val="18"/>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5,621</w:t>
            </w:r>
          </w:p>
        </w:tc>
        <w:tc>
          <w:tcPr>
            <w:tcW w:w="80" w:type="dxa"/>
            <w:vAlign w:val="bottom"/>
            <w:shd w:val="clear" w:color="auto" w:fill="CCEEFF"/>
          </w:tcPr>
          <w:p>
            <w:pPr>
              <w:spacing w:after="0"/>
              <w:rPr>
                <w:sz w:val="19"/>
                <w:szCs w:val="19"/>
                <w:color w:val="auto"/>
              </w:rPr>
            </w:pPr>
          </w:p>
        </w:tc>
      </w:tr>
      <w:tr>
        <w:trPr>
          <w:trHeight w:val="210"/>
        </w:trPr>
        <w:tc>
          <w:tcPr>
            <w:tcW w:w="526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forecasted effective tax rate at June 30, 2016 is 33.7%, a 2.1% decrease from the 35.8% effective tax rate recorded at December 31, 2015. The forecasted effective tax rate of 33.7% excludes jurisdictions for which no benefit from forecasted current year losses is anticipated. Including losses from such jurisdictions results in a forecasted effective tax rate of 34.3%. Our forecasted effective tax rate could fluctuate significantly on a quarterly basis and could change, to the extent that earnings in countries with tax rates that differ from that of the U.S. differ, from amounts anticipated at June 30, 2016.</w:t>
      </w:r>
    </w:p>
    <w:p>
      <w:pPr>
        <w:spacing w:after="0" w:line="147"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After a discrete tax benefit of $103, the effective tax rate for the quarter ended June 30, 2016 is 31.4%. The discrete tax benefit is primarily attributable to a tax benefit related to stock-based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 2, 2016 the Company announced that the quarterly cash dividend for the third quarter of 2016 at $0.05 per share will be paid on August 31, 2016 to shareholders of record as of August 17,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press releases and reports filed with the SEC, including our Annual Report on Form 10-K for the year ended December 31, 2015.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2015.</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audio/voice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large, medium and small businesses. We occupy the number one global market share position, with more than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the video conferencing &amp; collaboration, streaming and digital signage technologies to enter new growth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Capitalize on the growing adoption of unified communications and introduce new products through emerging information technology channels;</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a superior conferencing and collaboration experience;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Significantly impacting multimedia distribution and control;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greater value to our customers and partners;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and extending ClearOne technology, leadership and innovation;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our strong domestic and international channels to distribute new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Strengthening existing customer and partner relationships through dedicated support.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revenues were $12.0 million and $14.0 million during the three months ended June 30, 2016 and 2015, respectively. The revenues decreased due to overall fall in demand for our products in all major markets. Our gross profit decreased by $1.3 million during the three months ended June 30, 2016 compared to the three months ended June 30, 2015. Net income decreased by $0.5 million during the three months ended June 30, 2016 compared to the three months ended June 30, 2015. Net income for the three months ended June 30, 2016 decreased primarily due to reduction in revenues and associated gross profit, partially offset by savings due to reductions in operating expenses.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were $25.0 million and $27.6 million during the six months ended June 30, 2016 and 2015, respectively. The revenues decreased due to an overall fall in demand for our products in all major markets. Our gross profit decreased by $1.3 million during the six months ended June 30, 2016 compared to the six months ended June 30, 2015. Net income decreased by $0.5 million during the six months ended June 30, 2016 compared to the six months ended June 30, 2015. Net income for the six months ended June 30, 2016 decreased primarily due to reduction in revenues and associated gross profit, partially offset by savings due to reductions in operating expenses.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revenue growth and income growth is dependent on the recovery of the global economy. We closely monitor the economic situation around the world and have developed sound operating and financial plans to overcome the challenges posed by the weak economy.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six months ended June 30, 2016 and 2015</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and six months ended June 30, 2016 and 2015, respectively, together with the percentage of total revenue which each such item represents: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8"/>
              </w:rPr>
              <w:t>Three months ended June 30,</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92"/>
              </w:rPr>
              <w:t>Six months ended June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37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390"/>
              <w:spacing w:after="0" w:line="191" w:lineRule="exact"/>
              <w:rPr>
                <w:sz w:val="20"/>
                <w:szCs w:val="20"/>
                <w:color w:val="auto"/>
              </w:rPr>
            </w:pPr>
            <w:r>
              <w:rPr>
                <w:rFonts w:ascii="Arial" w:cs="Arial" w:eastAsia="Arial" w:hAnsi="Arial"/>
                <w:sz w:val="18"/>
                <w:szCs w:val="18"/>
                <w:b w:val="1"/>
                <w:bCs w:val="1"/>
                <w:color w:val="auto"/>
              </w:rPr>
              <w:t>% of</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2016</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Revenue</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2015</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Revenue</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2016</w:t>
            </w:r>
          </w:p>
        </w:tc>
        <w:tc>
          <w:tcPr>
            <w:tcW w:w="1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Revenue</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2015</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Revenue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14,013</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4,302</w:t>
            </w:r>
          </w:p>
        </w:tc>
        <w:tc>
          <w:tcPr>
            <w:tcW w:w="22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5,022</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8,870</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10,147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22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20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6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2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2,681</w:t>
            </w:r>
          </w:p>
        </w:tc>
        <w:tc>
          <w:tcPr>
            <w:tcW w:w="1260" w:type="dxa"/>
            <w:vAlign w:val="bottom"/>
            <w:gridSpan w:val="3"/>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2,753</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5,306</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6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2,054</w:t>
            </w: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22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1,567</w:t>
            </w:r>
          </w:p>
        </w:tc>
        <w:tc>
          <w:tcPr>
            <w:tcW w:w="22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1,891</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3,165</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3,890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2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0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6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2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2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0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6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2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w:t>
            </w:r>
          </w:p>
        </w:tc>
        <w:tc>
          <w:tcPr>
            <w:tcW w:w="1260" w:type="dxa"/>
            <w:vAlign w:val="bottom"/>
            <w:gridSpan w:val="3"/>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863</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1,064</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CEEFF"/>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CEEFF"/>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CCEEFF"/>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439"/>
        </w:trPr>
        <w:tc>
          <w:tcPr>
            <w:tcW w:w="2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three months ended June 30, 2016 was approximately $12.0 million, a decrease of approximately 15% over the three months ended June 30, 2015. The decrease in revenue was due to reduced demand for our products across all regions including North America. The decrease was especially stronger in Canada, South Africa, Japan, Korea, China, Southern Europe and Central Europe. The increase in revenues from video products was more than offset by a decline in revenues from all other product lines.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six months ended June 30, 2016 was approximately $25.0 million, a decrease of approximately 10% compared to the six months ended June 30, 2015. The decrease in revenue was due to reduced demand for our products across all regions. The decrease was especially stronger in Asia Pacific, Southern and Central Europe, Canada and South Africa. The increase in revenues from microphones and video products was more than offset by a decline in revenues from all other product lines.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change in deferred revenue during the six months ended June 30, 2016 from December 31, 2015 and the six months ended June 30, 2015 from December 31, 2014 was a net increase in deferred revenue of $0.2 million and a net decrease in deferred revenue of $0.3 million, respectively. See “Critical Accounting Policies and Estimates” under “Revenue and Associated Allowance for Revenue Adjustments and Doubtful Accounts” below for a detailed discussion of deferred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profit margin (GPM), which is gross profit as a percentage of revenue remained essentially unchanged at 64% for the three months ended June 30, 2016 and 2015. The reduction in gross profit margin for the three months ended June 30, 2016 was due to a reduction of high margin products in the revenue mix. This unfavorable change in product mix was offset by the contribution of licensing fees to revenue.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GPM was 65% and 63% for the six months ended June 30, 2016 and 2015, respectively. The increase in GPM was primarily due to an increase in sales of higher margin products in the revenue mix and the contribution of licensing fees to revenue.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profitability in the near-term continues to depend significantly on our revenues from professional audio conferencing products, which includes wired and wireless microphones. We hold long-term inventory and if we are unable to sell our long-term inventory, our profitability might be affected by inventory write-offs and price mark-downs.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for the three months ended June 30, 2016 decreased to $6.3 million from $6.7 million for three months ended June 30, 2015. Operating expenses for the six months ended June 30, 2016 decreased by approximately $0.4 million to $12.8 million compared to $13.2 million for the six months ended June 30,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S&amp;M expenses of approximately $2.7 million for the three months ended June 30, 2016 decreased by $0.1 million when compared to S&amp;M expenses of $2.8 million for the three months ended June 30, 2015. The decrease in employee related costs and commissions to independent agents were partially offset by marketing, tradeshow costs and consulting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S&amp;M expenses of approximately $5.3 million for the six months ended June 30, 2016 decreased $0.1 million, or 1%, when compared to S&amp;M expenses of approximately $5.4 million for the six months ended June 30, 2015. The decrease in employee related costs and commissions to independent agents were partially offset by marketing, tradeshow costs and consulting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R&amp;D expenses of approximately $2.1 million for the three months ended June 30, 2016 increased slightly when compared to R&amp;D expenses for the three months ended June 30, 2015. R&amp;D expenses increased mainly due to increases in costs for various R&amp;D projects and consulting expenses partially offset by declines in legal expenses and allocations of overhead expenses.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R&amp;D expenses of approximately $4.4 million for the six months ended June 30, 2016 increased by $0.4 million, or 9%, when compared to R&amp;D expenses of approximately $4.0 million for the six months ended June 30, 2015. R&amp;D expenses increased mainly due to increases in costs for various R&amp;D projects.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costs, and corporate administrative costs, including finance, information technology and human resources.</w:t>
      </w:r>
    </w:p>
    <w:p>
      <w:pPr>
        <w:sectPr>
          <w:pgSz w:w="11900" w:h="16838" w:orient="portrait"/>
          <w:cols w:equalWidth="0" w:num="1">
            <w:col w:w="11420"/>
          </w:cols>
          <w:pgMar w:left="240" w:top="233" w:right="239" w:bottom="649"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649"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G&amp;A expenses of approximately $1.6 million for the three months ended June 30, 2016 decreased by $0.3 million, or 17%, when compared to G&amp;A expenses of approximately $1.9 million for the three months ended June 30, 2015. G&amp;A expenses decreased due to decreases in legal expenses, audit and accounting fees and employee related costs and due to elimination of compensation expense relating to dividend equivalents. These decreases were partially offset by an increase in recruitment costs.</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G&amp;A expenses of approximately $3.2 million for the six months ended June 30, 2016 decreased by $0.7 million, or 19%, when compared to G&amp;A expenses of approximately $3.9 million for the six months ended June 30, 2015. G&amp;A expenses decreased due to decreases in legal expenses, audit and accounting fees, and acquisition related amortization costs and other expenses, and due to elimination of compensation expense relating to dividend equivalents. These decreases were partially offset by an increase in recruitment costs and other stock-based compensation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June 30, 2016, we accrued income taxes at the forecasted effective tax rate of 33.7% as compared to the forecasted effective tax rate of 36.0% used during the three months ended June 30, 2015. In addition, a discrete tax benefit of $103 thousand is primarily attributable to tax benefit related to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2016, our cash and cash equivalents were approximately $9.5 million, a decrease of approximately $3.9 million compared to cash and cash equivalents of approximately $13.4 million as of December 31,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$3.0 million during the six months ended June 30, 2016, an increase in cash flow of approximately $0.2 million compared to $2.9 million of cash provided by operating activities during the six months ended June 30, 2015. The decrease in operating cash flow was primarily due to a reduction in non-cash charges of $0.6 million, changes in operating assets and liabilities totaling $1.2 million, and a decrease in net income of $0.5 million.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in investing activities was approximately $1.2 million during the six months ended June 30, 2016 compared to $0.8 million of cash provided by investing activities during the six months ended June 30, 2015. Net cash used in investing activities during the six months ended June 30, 2016 included proceeds from maturities and sales of marketable investment securities, purchases of marketable securities and purchase of property and equipment.</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financing activities was approximately $5.6 million during the six months ended June 30, 2016 compared to $0.2 million of cash used in investing activities during the six months ended June 30, 2015. Financing activities during the six months ended June 30, 2016 primarily consisted of cash outflows of $4.1 million towards stock repurchases, $1.8 million for the repurchase of stock options and $0.9 million for dividend payments partially offset by cash inflows of about $0.5 million from exercises of stock options and $0.7 million from tax benefits from exercise of stock options. Financing activities during the six months ended June 30, 2015 primarily consisted of cash outflows of $0.3 million towards dividend payments partially offset by cash inflows of about $0.1 million from proceeds from exercises of stock options and $29 thousand from tax benefits from exercise of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our working capital was $33.3 million as compared to $36.5 million as of December 31, 2015.</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if and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pay cash dividends or repurchase stock.</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2016, we had open purchase orders related to our electronics manufacturing service providers of approximately $4.1 million, primarily related to inventory purchases.</w:t>
      </w:r>
    </w:p>
    <w:p>
      <w:pPr>
        <w:spacing w:after="0" w:line="163"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At June 30, 2016, we had inventory totaling $14.7 million, of which non-current inventory accounted for $2.0 million. This compares to total inventories of $15.5 million and non-current inventory of $2.0 million as of December 31,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ectPr>
          <w:pgSz w:w="11900" w:h="16838" w:orient="portrait"/>
          <w:cols w:equalWidth="0" w:num="1">
            <w:col w:w="11420"/>
          </w:cols>
          <w:pgMar w:left="240" w:top="233"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accounting policies are described in our Annual Report on Form 10-K for the year ended December 31, 2015.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Associated Allowances for Revenue Adjustments and Doubtful Accounts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20" w:firstLine="8"/>
        <w:spacing w:after="0" w:line="261" w:lineRule="auto"/>
        <w:tabs>
          <w:tab w:leader="none" w:pos="21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right of return on product sales to certain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deferred cost of goods sold was included in distributor channel inventories. The following table details the amount of deferred revenue, cost of goods sold, and gross profit (in thousands) as of June 30, 2016 and December 31,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2016</w:t>
            </w:r>
          </w:p>
        </w:tc>
        <w:tc>
          <w:tcPr>
            <w:tcW w:w="14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2015</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240" w:type="dxa"/>
            <w:vAlign w:val="bottom"/>
          </w:tcPr>
          <w:p>
            <w:pPr>
              <w:spacing w:after="0"/>
              <w:rPr>
                <w:sz w:val="19"/>
                <w:szCs w:val="19"/>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1,669</w:t>
            </w: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r>
      <w:tr>
        <w:trPr>
          <w:trHeight w:val="21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ectPr>
          <w:pgSz w:w="11900" w:h="16838" w:orient="portrait"/>
          <w:cols w:equalWidth="0" w:num="1">
            <w:col w:w="11420"/>
          </w:cols>
          <w:pgMar w:left="240" w:top="233"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There were no impairments recorded in the six months ended June 30, 2016 or 2015 as no impairment indicators existed. However, due to uncertainty in the industrial, technological, and competitive environments in which we operate, we might be required to exit or dispose of the assets acquired through our acquisitions, which could result in an impairment of 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2015 and determined that based upon available evidence it is more likely than not that certain of our deferred tax assets related to capital loss carryovers, state research and development credits, and foreign net operating loss carryforwards will not be realized and, accordingly, we have recorded a valuation allowance against these deferred tax assets in the amount of $1.1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Lower-of-Cost or Market Adjustments and Reserves for Excess and Obsolete Inventory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The updated standard becomes effective for the Company on January 1, 2018. Early adoption is permitted. The Company has not yet selected a transition method and we are currently evaluating the effect that the updated standard will have on the consolidated financial statements.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2015, the FASB issued ASU 2015-17, Income Taxes (Topic 740), simplifying the presentation of deferred taxes on the balance sheet by requiring companies to classify everything as either a non-current asset or non-current liability. Early adoption of this ASU is permitted. ClearOne has adopted this standard update early as it simplified the presentation of taxes on the balance sheet and within the income tax footnote.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FASB released Accounting Standards Update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will take effect the Company for fiscal years, and interim periods within those fiscal years, beginning after December 15, 2018. Early application will be permitted for all organizations. The Company has not yet selected a transition method and we are currently evaluating the effect that the updated standard will have on the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2016, the FASB issued ASU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is effective for the Company on January 1, 2017 and we are currently evaluating the impact that ASU 2016-09 will have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June 30, 2016 was performed under the supervision and with the participation of our management, including our Chief Executive Officer and our Principal Financial Officer. Based on this evaluation, our management, including our Chief Executive Officer and Principal Financial Officer, concluded that our disclosure controls and procedures are effective as of June 30, 2016 to ensure that information required to be disclosed by us in reports we file or submit under the Exchange Act is recorded, processed, summarized and reported as specified in the SEC’s rules and forms.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June 30, 2016 that materially affected, or that we believe is reasonably likely to materially affect, our internal control over financial reporting.</w:t>
      </w:r>
    </w:p>
    <w:p>
      <w:pPr>
        <w:sectPr>
          <w:pgSz w:w="11900" w:h="16838" w:orient="portrait"/>
          <w:cols w:equalWidth="0" w:num="1">
            <w:col w:w="11420"/>
          </w:cols>
          <w:pgMar w:left="240" w:top="233"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updates to the status of the legal proceedings and commitments and contingencies reported in our Form 10-K for the year ended December 31, 2015 under Part I, Item 3. Legal Proceedings and Note 8 - Commitments and Contingencies of the Notes to Consolidated Financial Statements (Part II, Item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2012, our Board of Directors authorized a stock repurchase program authorizing the Company to repurchase up to $2 million of our outstanding common stock. On July 30, 2012, the Board of Directors increased the repurchase amount to $3 million from the original $2 million. On February 20, 2013, the Board of Directors again increased the repurchase amount to $10 million from $3 million. On December 2, 2014, ClearOne, Inc. issued a press release announcing the declaration of future cash dividends by the Company’s Board of Directors and reported the discontinuance of this stock repurchase program. At the time of the discontinuance of this stock repurchase program, the Company had repurchased approximately $5.4 million of the Company’s stock.</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9, 2016, the Board of Directors of the Company authorized the repurchase of up to $10 million of the Company’s outstanding shares of common stock under a new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2016 we acquired the following shares of common stock under the current stock repurchase program: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w:t>
            </w: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Total Number of</w:t>
            </w: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Shares Purchased</w:t>
            </w: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w:t>
            </w:r>
          </w:p>
        </w:tc>
        <w:tc>
          <w:tcPr>
            <w:tcW w:w="200" w:type="dxa"/>
            <w:vAlign w:val="bottom"/>
          </w:tcPr>
          <w:p>
            <w:pPr>
              <w:spacing w:after="0"/>
              <w:rPr>
                <w:sz w:val="18"/>
                <w:szCs w:val="18"/>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5"/>
              </w:rPr>
              <w:t>(b)</w:t>
            </w: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as Part of Publicly</w:t>
            </w: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 Number of</w:t>
            </w:r>
          </w:p>
        </w:tc>
        <w:tc>
          <w:tcPr>
            <w:tcW w:w="200" w:type="dxa"/>
            <w:vAlign w:val="bottom"/>
          </w:tcPr>
          <w:p>
            <w:pPr>
              <w:spacing w:after="0"/>
              <w:rPr>
                <w:sz w:val="18"/>
                <w:szCs w:val="18"/>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Average Price</w:t>
            </w: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Announced Plans</w:t>
            </w: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2980" w:type="dxa"/>
            <w:vAlign w:val="bottom"/>
            <w:gridSpan w:val="2"/>
          </w:tcPr>
          <w:p>
            <w:pPr>
              <w:ind w:left="1120"/>
              <w:spacing w:after="0"/>
              <w:rPr>
                <w:sz w:val="20"/>
                <w:szCs w:val="20"/>
                <w:color w:val="auto"/>
              </w:rPr>
            </w:pPr>
            <w:r>
              <w:rPr>
                <w:rFonts w:ascii="Arial" w:cs="Arial" w:eastAsia="Arial" w:hAnsi="Arial"/>
                <w:sz w:val="18"/>
                <w:szCs w:val="18"/>
                <w:b w:val="1"/>
                <w:bCs w:val="1"/>
                <w:color w:val="auto"/>
              </w:rPr>
              <w:t>Period</w:t>
            </w: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 Purchased</w:t>
            </w:r>
          </w:p>
        </w:tc>
        <w:tc>
          <w:tcPr>
            <w:tcW w:w="200" w:type="dxa"/>
            <w:vAlign w:val="bottom"/>
          </w:tcPr>
          <w:p>
            <w:pPr>
              <w:spacing w:after="0"/>
              <w:rPr>
                <w:sz w:val="20"/>
                <w:szCs w:val="20"/>
                <w:color w:val="auto"/>
              </w:rPr>
            </w:pPr>
          </w:p>
        </w:tc>
        <w:tc>
          <w:tcPr>
            <w:tcW w:w="18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Paid per Share</w:t>
            </w: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or Programs</w:t>
            </w: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Plans or Programs</w:t>
            </w: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to April 30</w:t>
            </w:r>
          </w:p>
        </w:tc>
        <w:tc>
          <w:tcPr>
            <w:tcW w:w="2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29,675</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4"/>
              </w:rPr>
              <w:t>10.96</w:t>
            </w:r>
          </w:p>
        </w:tc>
        <w:tc>
          <w:tcPr>
            <w:tcW w:w="3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29,675</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9,270,811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May 1 to May 31</w:t>
            </w:r>
          </w:p>
        </w:tc>
        <w:tc>
          <w:tcPr>
            <w:tcW w:w="2080" w:type="dxa"/>
            <w:vAlign w:val="bottom"/>
            <w:gridSpan w:val="2"/>
          </w:tcPr>
          <w:p>
            <w:pPr>
              <w:ind w:left="1140"/>
              <w:spacing w:after="0"/>
              <w:rPr>
                <w:sz w:val="20"/>
                <w:szCs w:val="20"/>
                <w:color w:val="auto"/>
              </w:rPr>
            </w:pPr>
            <w:r>
              <w:rPr>
                <w:rFonts w:ascii="Arial" w:cs="Arial" w:eastAsia="Arial" w:hAnsi="Arial"/>
                <w:sz w:val="18"/>
                <w:szCs w:val="18"/>
                <w:color w:val="auto"/>
              </w:rPr>
              <w:t>108,513</w:t>
            </w:r>
          </w:p>
        </w:tc>
        <w:tc>
          <w:tcPr>
            <w:tcW w:w="200" w:type="dxa"/>
            <w:vAlign w:val="bottom"/>
          </w:tcPr>
          <w:p>
            <w:pPr>
              <w:spacing w:after="0"/>
              <w:rPr>
                <w:sz w:val="18"/>
                <w:szCs w:val="18"/>
                <w:color w:val="auto"/>
              </w:rPr>
            </w:pPr>
          </w:p>
        </w:tc>
        <w:tc>
          <w:tcPr>
            <w:tcW w:w="1860" w:type="dxa"/>
            <w:vAlign w:val="bottom"/>
            <w:gridSpan w:val="2"/>
          </w:tcPr>
          <w:p>
            <w:pPr>
              <w:ind w:left="1120"/>
              <w:spacing w:after="0"/>
              <w:rPr>
                <w:sz w:val="20"/>
                <w:szCs w:val="20"/>
                <w:color w:val="auto"/>
              </w:rPr>
            </w:pPr>
            <w:r>
              <w:rPr>
                <w:rFonts w:ascii="Arial" w:cs="Arial" w:eastAsia="Arial" w:hAnsi="Arial"/>
                <w:sz w:val="18"/>
                <w:szCs w:val="18"/>
                <w:color w:val="auto"/>
              </w:rPr>
              <w:t>11.29</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108,513</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8,045,158</w:t>
            </w:r>
          </w:p>
        </w:tc>
        <w:tc>
          <w:tcPr>
            <w:tcW w:w="80" w:type="dxa"/>
            <w:vAlign w:val="bottom"/>
          </w:tcPr>
          <w:p>
            <w:pPr>
              <w:spacing w:after="0"/>
              <w:rPr>
                <w:sz w:val="18"/>
                <w:szCs w:val="18"/>
                <w:color w:val="auto"/>
              </w:rPr>
            </w:pPr>
          </w:p>
        </w:tc>
      </w:tr>
      <w:tr>
        <w:trPr>
          <w:trHeight w:val="23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to June 30</w:t>
            </w:r>
          </w:p>
        </w:tc>
        <w:tc>
          <w:tcPr>
            <w:tcW w:w="20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192,327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11.28</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192,327</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5,876,335</w:t>
            </w:r>
          </w:p>
        </w:tc>
        <w:tc>
          <w:tcPr>
            <w:tcW w:w="80" w:type="dxa"/>
            <w:vAlign w:val="bottom"/>
            <w:shd w:val="clear" w:color="auto" w:fill="CCEEFF"/>
          </w:tcPr>
          <w:p>
            <w:pPr>
              <w:spacing w:after="0"/>
              <w:rPr>
                <w:sz w:val="19"/>
                <w:szCs w:val="19"/>
                <w:color w:val="auto"/>
              </w:rPr>
            </w:pPr>
          </w:p>
        </w:tc>
      </w:tr>
      <w:tr>
        <w:trPr>
          <w:trHeight w:val="217"/>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w w:val="86"/>
              </w:rPr>
              <w:t>330,515</w:t>
            </w: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w w:val="84"/>
              </w:rPr>
              <w:t>11.25</w:t>
            </w:r>
          </w:p>
        </w:tc>
        <w:tc>
          <w:tcPr>
            <w:tcW w:w="34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330,515</w:t>
            </w:r>
          </w:p>
        </w:tc>
        <w:tc>
          <w:tcPr>
            <w:tcW w:w="32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5,876,335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March 11, 2016 to March 17, 2016, the Company offered to repurchase eligible vested options to purchase shares under the 1998 Plan and the 2007 Plan from employees.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at an average purchase price of $7.77.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Title of Document</w:t>
            </w:r>
          </w:p>
        </w:tc>
      </w:tr>
      <w:tr>
        <w:trPr>
          <w:trHeight w:val="426"/>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Section 302</w:t>
            </w:r>
          </w:p>
        </w:tc>
        <w:tc>
          <w:tcPr>
            <w:tcW w:w="9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938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38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938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9"/>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ind w:left="358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4, 2016</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Zeynep Hakimoglu</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4, 2016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Narsi Narayanan</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4, 2016</w:t>
            </w: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3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4, 2016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Narsi Narayanan</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52"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June 30, 2016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4, 2016</w:t>
            </w: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3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52"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June 30, 2016,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4, 2016</w:t>
            </w: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439"/>
        </w:trPr>
        <w:tc>
          <w:tcPr>
            <w:tcW w:w="3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0" w:name="page31"/>
    <w:bookmarkEnd w:id="30"/>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2019-12-29T11:00:07Z</dcterms:created>
  <dcterms:modified xsi:type="dcterms:W3CDTF">2019-12-29T11:00:07Z</dcterms:modified>
</cp:coreProperties>
</file>