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8-K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January 24,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000-17219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87-0398877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17145</wp:posOffset>
            </wp:positionV>
            <wp:extent cx="28987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560"/>
        <w:spacing w:after="0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(I.R.S.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3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5660" w:right="2980" w:hanging="5652"/>
        <w:spacing w:after="0" w:line="871" w:lineRule="auto"/>
        <w:tabs>
          <w:tab w:leader="none" w:pos="19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-741045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-278130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9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parts of its Stock Buy-Back Program, the Company repurchased approximately 28,000 of its shares at a price of $4.60 per share, on January 24, 2008, in a private transaction. The repurchase was made under the Company’s Rule 10b5-1 Stock Repurchase Plan agreement with a broker under which the Company is conducting its share repurchases under the safe harbor provisions of Rule 10b5-1 and Rule 10b-18 promulgated under the Securities Exchange Act of 193.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24,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360"/>
      </w:cols>
      <w:pgMar w:left="240" w:top="364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2019-12-13T18:07:09Z</dcterms:created>
  <dcterms:modified xsi:type="dcterms:W3CDTF">2019-12-13T18:07:09Z</dcterms:modified>
</cp:coreProperties>
</file>