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April 30, 2009</w:t>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34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001-33660</w:t>
            </w: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400" w:type="dxa"/>
            <w:vAlign w:val="bottom"/>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40" w:type="dxa"/>
            <w:vAlign w:val="bottom"/>
            <w:gridSpan w:val="3"/>
          </w:tcPr>
          <w:p>
            <w:pPr>
              <w:jc w:val="center"/>
              <w:ind w:right="3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40" w:type="dxa"/>
            <w:vAlign w:val="bottom"/>
            <w:gridSpan w:val="3"/>
          </w:tcPr>
          <w:p>
            <w:pPr>
              <w:jc w:val="center"/>
              <w:ind w:right="37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420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9"/>
              </w:rPr>
              <w:t>5225 Wiley Post Way, Suite 500</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68"/>
        </w:trPr>
        <w:tc>
          <w:tcPr>
            <w:tcW w:w="420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2"/>
              </w:rPr>
              <w:t>Salt Lake City, Utah</w:t>
            </w:r>
          </w:p>
        </w:tc>
        <w:tc>
          <w:tcPr>
            <w:tcW w:w="26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84116</w:t>
            </w:r>
          </w:p>
        </w:tc>
      </w:tr>
      <w:tr>
        <w:trPr>
          <w:trHeight w:val="230"/>
        </w:trPr>
        <w:tc>
          <w:tcPr>
            <w:tcW w:w="4200" w:type="dxa"/>
            <w:vAlign w:val="bottom"/>
            <w:tcBorders>
              <w:top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92"/>
              </w:rPr>
              <w:t>(Address of principal executive offices)</w:t>
            </w:r>
          </w:p>
        </w:tc>
        <w:tc>
          <w:tcPr>
            <w:tcW w:w="8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361"/>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29, 2009, ClearOne Communications, Inc. (the “Company”) issued a press release announcing its financial results for the quarter ended March 31, 2009. The full text of the Company’s press release is furnished herewith as Exhibit 99.1.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4"/>
          </w:tcPr>
          <w:p>
            <w:pPr>
              <w:spacing w:after="0"/>
              <w:rPr>
                <w:sz w:val="20"/>
                <w:szCs w:val="20"/>
                <w:color w:val="auto"/>
              </w:rPr>
            </w:pPr>
            <w:r>
              <w:rPr>
                <w:rFonts w:ascii="Arial" w:cs="Arial" w:eastAsia="Arial" w:hAnsi="Arial"/>
                <w:sz w:val="18"/>
                <w:szCs w:val="18"/>
                <w:b w:val="1"/>
                <w:bCs w:val="1"/>
                <w:color w:val="auto"/>
              </w:rPr>
              <w:t>Item 9.01</w:t>
            </w:r>
          </w:p>
        </w:tc>
        <w:tc>
          <w:tcPr>
            <w:tcW w:w="8200" w:type="dxa"/>
            <w:vAlign w:val="bottom"/>
            <w:gridSpan w:val="3"/>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160" w:type="dxa"/>
            <w:vAlign w:val="bottom"/>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Exhibits.</w:t>
            </w:r>
          </w:p>
        </w:tc>
        <w:tc>
          <w:tcPr>
            <w:tcW w:w="3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9"/>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 No.</w:t>
            </w:r>
          </w:p>
        </w:tc>
        <w:tc>
          <w:tcPr>
            <w:tcW w:w="3520" w:type="dxa"/>
            <w:vAlign w:val="bottom"/>
          </w:tcPr>
          <w:p>
            <w:pPr>
              <w:spacing w:after="0"/>
              <w:rPr>
                <w:sz w:val="24"/>
                <w:szCs w:val="24"/>
                <w:color w:val="auto"/>
              </w:rPr>
            </w:pPr>
          </w:p>
        </w:tc>
        <w:tc>
          <w:tcPr>
            <w:tcW w:w="4680" w:type="dxa"/>
            <w:vAlign w:val="bottom"/>
            <w:gridSpan w:val="2"/>
          </w:tcPr>
          <w:p>
            <w:pPr>
              <w:jc w:val="center"/>
              <w:ind w:right="3300"/>
              <w:spacing w:after="0"/>
              <w:rPr>
                <w:sz w:val="20"/>
                <w:szCs w:val="20"/>
                <w:color w:val="auto"/>
              </w:rPr>
            </w:pPr>
            <w:r>
              <w:rPr>
                <w:rFonts w:ascii="Arial" w:cs="Arial" w:eastAsia="Arial" w:hAnsi="Arial"/>
                <w:sz w:val="18"/>
                <w:szCs w:val="18"/>
                <w:b w:val="1"/>
                <w:bCs w:val="1"/>
                <w:color w:val="auto"/>
                <w:w w:val="90"/>
              </w:rPr>
              <w:t>Title of Document</w:t>
            </w:r>
          </w:p>
        </w:tc>
        <w:tc>
          <w:tcPr>
            <w:tcW w:w="114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0"/>
              </w:rPr>
              <w:t>Location</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2"/>
                <w:szCs w:val="22"/>
                <w:color w:val="auto"/>
              </w:rPr>
            </w:pPr>
          </w:p>
        </w:tc>
        <w:tc>
          <w:tcPr>
            <w:tcW w:w="820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Press Release dated April 30, 2009 captioned “ClearOne Reports Fiscal 2009 Third Quarter Results.”</w:t>
            </w:r>
          </w:p>
        </w:tc>
        <w:tc>
          <w:tcPr>
            <w:tcW w:w="1140" w:type="dxa"/>
            <w:vAlign w:val="bottom"/>
            <w:gridSpan w:val="3"/>
          </w:tcPr>
          <w:p>
            <w:pPr>
              <w:jc w:val="center"/>
              <w:ind w:left="270"/>
              <w:spacing w:after="0"/>
              <w:rPr>
                <w:sz w:val="20"/>
                <w:szCs w:val="20"/>
                <w:color w:val="auto"/>
              </w:rPr>
            </w:pPr>
            <w:r>
              <w:rPr>
                <w:rFonts w:ascii="Arial" w:cs="Arial" w:eastAsia="Arial" w:hAnsi="Arial"/>
                <w:sz w:val="18"/>
                <w:szCs w:val="18"/>
                <w:color w:val="auto"/>
                <w:w w:val="95"/>
              </w:rPr>
              <w:t>This Filing</w:t>
            </w: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April 30,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President and CEO</w:t>
      </w:r>
    </w:p>
    <w:p>
      <w:pPr>
        <w:sectPr>
          <w:pgSz w:w="11900" w:h="16838" w:orient="portrait"/>
          <w:cols w:equalWidth="0" w:num="1">
            <w:col w:w="11420"/>
          </w:cols>
          <w:pgMar w:left="240" w:top="144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Contact: ClearOne Communications, Inc.</w:t>
      </w:r>
    </w:p>
    <w:p>
      <w:pPr>
        <w:spacing w:after="0" w:line="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Investor Relations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(801) 303-3555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REPORTS FISCAL 2009 THIRD QUARTER RESULTS</w:t>
      </w:r>
    </w:p>
    <w:p>
      <w:pPr>
        <w:spacing w:after="0" w:line="252"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 xml:space="preserve">Salt Lake City, UT – April 30, 2009 – </w:t>
      </w:r>
      <w:r>
        <w:rPr>
          <w:rFonts w:ascii="Arial" w:cs="Arial" w:eastAsia="Arial" w:hAnsi="Arial"/>
          <w:sz w:val="18"/>
          <w:szCs w:val="18"/>
          <w:color w:val="auto"/>
        </w:rPr>
        <w:t>ClearOne Communications, Inc. (NASDAQ: CLRO) today reported financial results for the third quarter and first</w:t>
      </w:r>
      <w:r>
        <w:rPr>
          <w:rFonts w:ascii="Arial" w:cs="Arial" w:eastAsia="Arial" w:hAnsi="Arial"/>
          <w:sz w:val="18"/>
          <w:szCs w:val="18"/>
          <w:b w:val="1"/>
          <w:bCs w:val="1"/>
          <w:color w:val="auto"/>
        </w:rPr>
        <w:t xml:space="preserve"> </w:t>
      </w:r>
      <w:r>
        <w:rPr>
          <w:rFonts w:ascii="Arial" w:cs="Arial" w:eastAsia="Arial" w:hAnsi="Arial"/>
          <w:sz w:val="18"/>
          <w:szCs w:val="18"/>
          <w:color w:val="auto"/>
        </w:rPr>
        <w:t>nine months of fiscal 2009 ended March 31, 2009.</w:t>
      </w:r>
    </w:p>
    <w:p>
      <w:pPr>
        <w:spacing w:after="0" w:line="193"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For the fiscal 2009 third quarter, revenue decreased to $7.6 million from $9.2 million in the same quarter of last year. Gross profit was $4.0 million, or 53% of revenue, compared with $5.7 million, or 62% of revenue, for the prior year period. Gross profit as a percentage of revenue in the fiscal 2009 third quarter was lower due to an inventory obsolescence charge of $686,000. Net income was $339,000, or $0.04 per diluted share, which includes the reversal of a $1.1 million contingent legal liability. Net income for the third quarter of last year was $1.1 million, or $0.10 per diluted share.</w:t>
      </w:r>
    </w:p>
    <w:p>
      <w:pPr>
        <w:spacing w:after="0" w:line="19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During the third fiscal quarter of 2009 and in accordance with generally accepted accounting principles, the company reversed the approximate $1.1 million balance of a contingent liability associated with the indemnification agreements with two former officers indicted by the U.S. Attorney’s Office in July 2007. A federal criminal trial was held and the jury reached its verdict in February 2009. As a result of the jury’s conviction of the two former officers on some or all of the crimes with which they were charged – and based on the court’s instructions to the jury – it is no longer probable that the company will be required to pay the $1.1 million amount. However, both former officers (and counsel for one of them) are plaintiffs in pending lawsuits seeking payment of defense expenses in addition to what the company has already paid in connection with the criminal proceeding. Therefore, additional payments by the company are reasonably possible. The company is vigorously contesting these lawsuits.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Under a modified Dutch auction tender offer completed in September 2008, the company purchased approximately 1.3 million shares of its common</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stock. Accordingly, diluted weighted average shares outstanding used to calculate earnings per share decreased to 9.0 million for the fiscal 2009 third quarter from 10.7 million for the same period of fiscal 2008.</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topline financial results reflect the global decline in technology spending, as well as increased pricing pressure on certain products,” said Zee Hakimoglu, president, chief executive officer and chairman of ClearOne. “While we currently are seeing signs of improvement, we have and continue to take steps to reduce costs throughout the organization.”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0" w:right="239" w:bottom="1440" w:gutter="0" w:footer="0" w:header="0"/>
        </w:sectPr>
      </w:pPr>
    </w:p>
    <w:bookmarkStart w:id="3" w:name="page4"/>
    <w:bookmarkEnd w:id="3"/>
    <w:p>
      <w:pPr>
        <w:ind w:right="140"/>
        <w:spacing w:after="0" w:line="259" w:lineRule="auto"/>
        <w:rPr>
          <w:sz w:val="20"/>
          <w:szCs w:val="20"/>
          <w:color w:val="auto"/>
        </w:rPr>
      </w:pPr>
      <w:r>
        <w:rPr>
          <w:rFonts w:ascii="Arial" w:cs="Arial" w:eastAsia="Arial" w:hAnsi="Arial"/>
          <w:sz w:val="18"/>
          <w:szCs w:val="18"/>
          <w:color w:val="auto"/>
        </w:rPr>
        <w:t>Commenting on the company’s current inventory levels, Hakimoglu said the company built up its inventory levels to mitigate supply chain risk, particularly in light of the economic downturn and its current transition to a larger, more global and capable electronic manufacturing services provider for certain product, and supply its new Asia Pacific Support Center in Hong Kong. To a lesser extent, the higher inventory reflects lower demand for products. The company expects to work through the current inventory and return to historical levels.</w:t>
      </w:r>
    </w:p>
    <w:p>
      <w:pPr>
        <w:spacing w:after="0" w:line="214"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Hakimoglu added that the company’s Asia Pacific Support Center, which has commenced fulfillment, will better serve the majority of ClearOne’s international partners and enhance profitability due to the favorable Hong Kong business environment.</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first nine months of fiscal 2009, revenue was $27.8 million, compared with $29.4 million for the first nine months of last year. Gross profit was $16.4 million, or 59% of revenue, compared with $17.2 million, or 59% of revenue, for the prior year period. Net income increased to $2.1 million, or $0.22 per diluted share, compared with net income of $1.9 million, or $0.18 per diluted share, for the same period last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2009, the company had cash, cash equivalents, and investments of $11.7 million and no long-term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4" w:name="page5"/>
    <w:bookmarkEnd w:id="4"/>
    <w:p>
      <w:pPr>
        <w:jc w:val="center"/>
        <w:ind w:right="80"/>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 thousands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(audited)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220" w:type="dxa"/>
            <w:vAlign w:val="bottom"/>
          </w:tcPr>
          <w:p>
            <w:pPr>
              <w:ind w:left="3120"/>
              <w:spacing w:after="0" w:line="201" w:lineRule="exact"/>
              <w:rPr>
                <w:sz w:val="20"/>
                <w:szCs w:val="20"/>
                <w:color w:val="auto"/>
              </w:rPr>
            </w:pPr>
            <w:r>
              <w:rPr>
                <w:rFonts w:ascii="Arial" w:cs="Arial" w:eastAsia="Arial" w:hAnsi="Arial"/>
                <w:sz w:val="18"/>
                <w:szCs w:val="18"/>
                <w:b w:val="1"/>
                <w:bCs w:val="1"/>
                <w:color w:val="auto"/>
              </w:rPr>
              <w:t>ASSETS</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ind w:left="1140"/>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5,922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8"/>
                <w:szCs w:val="18"/>
                <w:color w:val="auto"/>
              </w:rPr>
              <w:t>of $72 and $87, respectively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 bond for preliminary injunction</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Note receivable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Income tax receivable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Long-term deferred tax asset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39,373</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44,300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520"/>
              <w:spacing w:after="0"/>
              <w:rPr>
                <w:sz w:val="20"/>
                <w:szCs w:val="20"/>
                <w:color w:val="auto"/>
              </w:rPr>
            </w:pPr>
            <w:r>
              <w:rPr>
                <w:rFonts w:ascii="Arial" w:cs="Arial" w:eastAsia="Arial" w:hAnsi="Arial"/>
                <w:sz w:val="18"/>
                <w:szCs w:val="18"/>
                <w:b w:val="1"/>
                <w:bCs w:val="1"/>
                <w:color w:val="auto"/>
              </w:rPr>
              <w:t>LIABILITIES AND SHAREHOLDERS' EQUITY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2,741</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taxes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10,406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Deferred rent</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Shareholders' equity: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par value $0.001, 50,000,000 shares authorized,</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280"/>
              <w:spacing w:after="0"/>
              <w:rPr>
                <w:sz w:val="20"/>
                <w:szCs w:val="20"/>
                <w:color w:val="auto"/>
              </w:rPr>
            </w:pPr>
            <w:r>
              <w:rPr>
                <w:rFonts w:ascii="Arial" w:cs="Arial" w:eastAsia="Arial" w:hAnsi="Arial"/>
                <w:sz w:val="18"/>
                <w:szCs w:val="18"/>
                <w:color w:val="auto"/>
              </w:rPr>
              <w:t>8,928,387 and 10,228,902 shares issued and outstanding, respectively</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(9,717)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(11,794)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2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82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28,753</w:t>
            </w: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32,140</w:t>
            </w:r>
          </w:p>
        </w:tc>
        <w:tc>
          <w:tcPr>
            <w:tcW w:w="80" w:type="dxa"/>
            <w:vAlign w:val="bottom"/>
            <w:tcBorders>
              <w:top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39,373</w:t>
            </w:r>
          </w:p>
        </w:tc>
        <w:tc>
          <w:tcPr>
            <w:tcW w:w="1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44"/>
        </w:trPr>
        <w:tc>
          <w:tcPr>
            <w:tcW w:w="1160" w:type="dxa"/>
            <w:vAlign w:val="bottom"/>
          </w:tcPr>
          <w:p>
            <w:pPr>
              <w:spacing w:after="0"/>
              <w:rPr>
                <w:sz w:val="24"/>
                <w:szCs w:val="24"/>
                <w:color w:val="auto"/>
              </w:rPr>
            </w:pPr>
          </w:p>
        </w:tc>
        <w:tc>
          <w:tcPr>
            <w:tcW w:w="6220" w:type="dxa"/>
            <w:vAlign w:val="bottom"/>
            <w:tcBorders>
              <w:top w:val="single" w:sz="8" w:color="CCEEFF"/>
            </w:tcBorders>
          </w:tcPr>
          <w:p>
            <w:pPr>
              <w:ind w:left="4500"/>
              <w:spacing w:after="0"/>
              <w:rPr>
                <w:sz w:val="20"/>
                <w:szCs w:val="20"/>
                <w:color w:val="auto"/>
              </w:rPr>
            </w:pPr>
            <w:r>
              <w:rPr>
                <w:rFonts w:ascii="Arial" w:cs="Arial" w:eastAsia="Arial" w:hAnsi="Arial"/>
                <w:sz w:val="18"/>
                <w:szCs w:val="18"/>
                <w:color w:val="auto"/>
              </w:rPr>
              <w:t>3</w:t>
            </w:r>
          </w:p>
        </w:tc>
        <w:tc>
          <w:tcPr>
            <w:tcW w:w="8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6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gridSpan w:val="9"/>
          </w:tcPr>
          <w:p>
            <w:pPr>
              <w:jc w:val="center"/>
              <w:ind w:left="2190"/>
              <w:spacing w:after="0"/>
              <w:rPr>
                <w:sz w:val="20"/>
                <w:szCs w:val="20"/>
                <w:color w:val="auto"/>
              </w:rPr>
            </w:pPr>
            <w:r>
              <w:rPr>
                <w:rFonts w:ascii="Arial" w:cs="Arial" w:eastAsia="Arial" w:hAnsi="Arial"/>
                <w:sz w:val="18"/>
                <w:szCs w:val="18"/>
                <w:b w:val="1"/>
                <w:bCs w:val="1"/>
                <w:color w:val="auto"/>
              </w:rPr>
              <w:t>CLEARONE COMMUNICATIONS, INC. AND SUBSIDIARIES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040" w:type="dxa"/>
            <w:vAlign w:val="bottom"/>
            <w:gridSpan w:val="8"/>
          </w:tcPr>
          <w:p>
            <w:pPr>
              <w:jc w:val="center"/>
              <w:ind w:right="54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200" w:type="dxa"/>
            <w:vAlign w:val="bottom"/>
            <w:gridSpan w:val="6"/>
          </w:tcPr>
          <w:p>
            <w:pPr>
              <w:jc w:val="center"/>
              <w:ind w:left="190"/>
              <w:spacing w:after="0"/>
              <w:rPr>
                <w:sz w:val="20"/>
                <w:szCs w:val="20"/>
                <w:color w:val="auto"/>
              </w:rPr>
            </w:pPr>
            <w:r>
              <w:rPr>
                <w:rFonts w:ascii="Arial" w:cs="Arial" w:eastAsia="Arial" w:hAnsi="Arial"/>
                <w:sz w:val="18"/>
                <w:szCs w:val="18"/>
                <w:b w:val="1"/>
                <w:bCs w:val="1"/>
                <w:color w:val="auto"/>
                <w:w w:val="88"/>
              </w:rPr>
              <w:t>(in thousands of dollars, except per share amounts)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2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1"/>
              </w:rPr>
              <w:t>(unaudited)</w:t>
            </w:r>
          </w:p>
        </w:tc>
        <w:tc>
          <w:tcPr>
            <w:tcW w:w="2220" w:type="dxa"/>
            <w:vAlign w:val="bottom"/>
            <w:gridSpan w:val="6"/>
            <w:vMerge w:val="restart"/>
          </w:tcPr>
          <w:p>
            <w:pPr>
              <w:jc w:val="right"/>
              <w:ind w:right="480"/>
              <w:spacing w:after="0"/>
              <w:rPr>
                <w:sz w:val="20"/>
                <w:szCs w:val="20"/>
                <w:color w:val="auto"/>
              </w:rPr>
            </w:pPr>
            <w:r>
              <w:rPr>
                <w:rFonts w:ascii="Arial" w:cs="Arial" w:eastAsia="Arial" w:hAnsi="Arial"/>
                <w:sz w:val="18"/>
                <w:szCs w:val="18"/>
                <w:b w:val="1"/>
                <w:bCs w:val="1"/>
                <w:color w:val="auto"/>
                <w:w w:val="96"/>
              </w:rPr>
              <w:t>Three Months Ended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6"/>
            <w:vMerge w:val="restart"/>
          </w:tcPr>
          <w:p>
            <w:pPr>
              <w:jc w:val="right"/>
              <w:ind w:right="460"/>
              <w:spacing w:after="0"/>
              <w:rPr>
                <w:sz w:val="20"/>
                <w:szCs w:val="20"/>
                <w:color w:val="auto"/>
              </w:rPr>
            </w:pPr>
            <w:r>
              <w:rPr>
                <w:rFonts w:ascii="Arial" w:cs="Arial" w:eastAsia="Arial" w:hAnsi="Arial"/>
                <w:sz w:val="18"/>
                <w:szCs w:val="18"/>
                <w:b w:val="1"/>
                <w:bCs w:val="1"/>
                <w:color w:val="auto"/>
                <w:w w:val="97"/>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6"/>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4"/>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11,399</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ind w:left="300"/>
              <w:spacing w:after="0"/>
              <w:rPr>
                <w:sz w:val="20"/>
                <w:szCs w:val="20"/>
                <w:color w:val="auto"/>
              </w:rPr>
            </w:pPr>
            <w:r>
              <w:rPr>
                <w:rFonts w:ascii="Arial" w:cs="Arial" w:eastAsia="Arial" w:hAnsi="Arial"/>
                <w:sz w:val="18"/>
                <w:szCs w:val="18"/>
                <w:color w:val="auto"/>
              </w:rPr>
              <w:t>Gross profit</w:t>
            </w:r>
          </w:p>
        </w:tc>
        <w:tc>
          <w:tcPr>
            <w:tcW w:w="2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Operating expenses:</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&amp; Marketing</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140"/>
              <w:spacing w:after="0"/>
              <w:rPr>
                <w:sz w:val="20"/>
                <w:szCs w:val="20"/>
                <w:color w:val="auto"/>
              </w:rPr>
            </w:pPr>
            <w:r>
              <w:rPr>
                <w:rFonts w:ascii="Arial" w:cs="Arial" w:eastAsia="Arial" w:hAnsi="Arial"/>
                <w:sz w:val="18"/>
                <w:szCs w:val="18"/>
                <w:color w:val="auto"/>
                <w:w w:val="93"/>
              </w:rPr>
              <w:t>Research and product development</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6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2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Operating income</w:t>
            </w:r>
          </w:p>
        </w:tc>
        <w:tc>
          <w:tcPr>
            <w:tcW w:w="2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ind w:left="300"/>
              <w:spacing w:after="0"/>
              <w:rPr>
                <w:sz w:val="20"/>
                <w:szCs w:val="20"/>
                <w:color w:val="auto"/>
              </w:rPr>
            </w:pPr>
            <w:r>
              <w:rPr>
                <w:rFonts w:ascii="Arial" w:cs="Arial" w:eastAsia="Arial" w:hAnsi="Arial"/>
                <w:sz w:val="18"/>
                <w:szCs w:val="18"/>
                <w:color w:val="auto"/>
              </w:rPr>
              <w:t>Total other income, net</w:t>
            </w:r>
          </w:p>
        </w:tc>
        <w:tc>
          <w:tcPr>
            <w:tcW w:w="2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40" w:type="dxa"/>
            <w:vAlign w:val="bottom"/>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(1,104)</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96"/>
              </w:rPr>
              <w:t>Income from continuing operations</w:t>
            </w:r>
          </w:p>
        </w:tc>
        <w:tc>
          <w:tcPr>
            <w:tcW w:w="262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3"/>
          </w:tcPr>
          <w:p>
            <w:pPr>
              <w:ind w:left="300"/>
              <w:spacing w:after="0"/>
              <w:rPr>
                <w:sz w:val="20"/>
                <w:szCs w:val="20"/>
                <w:color w:val="auto"/>
              </w:rPr>
            </w:pPr>
            <w:r>
              <w:rPr>
                <w:rFonts w:ascii="Arial" w:cs="Arial" w:eastAsia="Arial" w:hAnsi="Arial"/>
                <w:sz w:val="18"/>
                <w:szCs w:val="18"/>
                <w:color w:val="auto"/>
              </w:rPr>
              <w:t>Income from discontinued operations, net of tax of $0 and $9</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2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339</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sectPr>
      <w:pgSz w:w="11900" w:h="16838" w:orient="portrait"/>
      <w:cols w:equalWidth="0" w:num="1">
        <w:col w:w="10280"/>
      </w:cols>
      <w:pgMar w:left="820" w:top="756"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2019-12-10T08:46:24Z</dcterms:created>
  <dcterms:modified xsi:type="dcterms:W3CDTF">2019-12-10T08:46:24Z</dcterms:modified>
</cp:coreProperties>
</file>