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June 1, 2020</w:t>
      </w:r>
    </w:p>
    <w:p>
      <w:pPr>
        <w:ind w:left="9300"/>
        <w:spacing w:after="0"/>
        <w:rPr>
          <w:sz w:val="20"/>
          <w:szCs w:val="20"/>
          <w:color w:val="auto"/>
        </w:rPr>
      </w:pPr>
      <w:r>
        <w:rPr>
          <w:rFonts w:ascii="Arial" w:cs="Arial" w:eastAsia="Arial" w:hAnsi="Arial"/>
          <w:sz w:val="12"/>
          <w:szCs w:val="12"/>
          <w:b w:val="1"/>
          <w:bCs w:val="1"/>
          <w:color w:val="auto"/>
        </w:rPr>
        <w:t>Registration No. 333- 238085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69850</wp:posOffset>
            </wp:positionH>
            <wp:positionV relativeFrom="paragraph">
              <wp:posOffset>33020</wp:posOffset>
            </wp:positionV>
            <wp:extent cx="700278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2780" cy="336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74930</wp:posOffset>
            </wp:positionV>
            <wp:extent cx="7002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2780"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S-3/A</w:t>
      </w:r>
    </w:p>
    <w:p>
      <w:pPr>
        <w:spacing w:after="0" w:line="38"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(Amendment No. 1)</w:t>
      </w:r>
    </w:p>
    <w:p>
      <w:pPr>
        <w:spacing w:after="0" w:line="22"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REGISTRATION STATEMENT UNDER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CLEARONE,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74" w:right="339" w:bottom="1440" w:gutter="0" w:footer="0" w:header="0"/>
        </w:sectPr>
      </w:pPr>
    </w:p>
    <w:p>
      <w:pPr>
        <w:spacing w:after="0" w:line="7" w:lineRule="exact"/>
        <w:rPr>
          <w:sz w:val="24"/>
          <w:szCs w:val="24"/>
          <w:color w:val="auto"/>
        </w:rPr>
      </w:pPr>
    </w:p>
    <w:p>
      <w:pPr>
        <w:ind w:left="23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87-0398877</w:t>
      </w:r>
    </w:p>
    <w:p>
      <w:pPr>
        <w:spacing w:after="0" w:line="39" w:lineRule="exact"/>
        <w:rPr>
          <w:sz w:val="24"/>
          <w:szCs w:val="24"/>
          <w:color w:val="auto"/>
        </w:rPr>
      </w:pPr>
    </w:p>
    <w:p>
      <w:pPr>
        <w:sectPr>
          <w:pgSz w:w="11900" w:h="16838" w:orient="portrait"/>
          <w:cols w:equalWidth="0" w:num="2">
            <w:col w:w="7440" w:space="720"/>
            <w:col w:w="3080"/>
          </w:cols>
          <w:pgMar w:left="320" w:top="274" w:right="339" w:bottom="1440" w:gutter="0" w:footer="0" w:header="0"/>
          <w:type w:val="continuous"/>
        </w:sectPr>
      </w:pPr>
    </w:p>
    <w:p>
      <w:pPr>
        <w:spacing w:after="0" w:line="5" w:lineRule="exact"/>
        <w:rPr>
          <w:sz w:val="24"/>
          <w:szCs w:val="24"/>
          <w:color w:val="auto"/>
        </w:rPr>
      </w:pPr>
    </w:p>
    <w:p>
      <w:pPr>
        <w:ind w:left="1040"/>
        <w:spacing w:after="0"/>
        <w:rPr>
          <w:sz w:val="20"/>
          <w:szCs w:val="20"/>
          <w:color w:val="auto"/>
        </w:rPr>
      </w:pPr>
      <w:r>
        <w:rPr>
          <w:rFonts w:ascii="Arial" w:cs="Arial" w:eastAsia="Arial" w:hAnsi="Arial"/>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Number)</w:t>
      </w:r>
    </w:p>
    <w:p>
      <w:pPr>
        <w:spacing w:after="0" w:line="1" w:lineRule="exact"/>
        <w:rPr>
          <w:sz w:val="24"/>
          <w:szCs w:val="24"/>
          <w:color w:val="auto"/>
        </w:rPr>
      </w:pPr>
    </w:p>
    <w:p>
      <w:pPr>
        <w:sectPr>
          <w:pgSz w:w="11900" w:h="16838" w:orient="portrait"/>
          <w:cols w:equalWidth="0" w:num="2">
            <w:col w:w="6640" w:space="720"/>
            <w:col w:w="3880"/>
          </w:cols>
          <w:pgMar w:left="320" w:top="274" w:right="339" w:bottom="1440" w:gutter="0" w:footer="0" w:header="0"/>
          <w:type w:val="continuous"/>
        </w:sectPr>
      </w:pPr>
    </w:p>
    <w:p>
      <w:pPr>
        <w:jc w:val="center"/>
        <w:spacing w:after="0" w:line="201" w:lineRule="auto"/>
        <w:rPr>
          <w:sz w:val="20"/>
          <w:szCs w:val="20"/>
          <w:color w:val="auto"/>
        </w:rPr>
      </w:pPr>
      <w:r>
        <w:rPr>
          <w:rFonts w:ascii="Arial" w:cs="Arial" w:eastAsia="Arial" w:hAnsi="Arial"/>
          <w:sz w:val="14"/>
          <w:szCs w:val="14"/>
          <w:b w:val="1"/>
          <w:bCs w:val="1"/>
          <w:color w:val="auto"/>
        </w:rPr>
        <w:t>5225 Wiley Post Way</w:t>
      </w:r>
    </w:p>
    <w:p>
      <w:pPr>
        <w:jc w:val="center"/>
        <w:spacing w:after="0" w:line="196" w:lineRule="auto"/>
        <w:rPr>
          <w:sz w:val="20"/>
          <w:szCs w:val="20"/>
          <w:color w:val="auto"/>
        </w:rPr>
      </w:pPr>
      <w:r>
        <w:rPr>
          <w:rFonts w:ascii="Arial" w:cs="Arial" w:eastAsia="Arial" w:hAnsi="Arial"/>
          <w:sz w:val="14"/>
          <w:szCs w:val="14"/>
          <w:b w:val="1"/>
          <w:bCs w:val="1"/>
          <w:color w:val="auto"/>
        </w:rPr>
        <w:t>Suite 500</w:t>
      </w:r>
    </w:p>
    <w:p>
      <w:pPr>
        <w:jc w:val="center"/>
        <w:spacing w:after="0" w:line="196" w:lineRule="auto"/>
        <w:rPr>
          <w:sz w:val="20"/>
          <w:szCs w:val="20"/>
          <w:color w:val="auto"/>
        </w:rPr>
      </w:pPr>
      <w:r>
        <w:rPr>
          <w:rFonts w:ascii="Arial" w:cs="Arial" w:eastAsia="Arial" w:hAnsi="Arial"/>
          <w:sz w:val="14"/>
          <w:szCs w:val="14"/>
          <w:b w:val="1"/>
          <w:bCs w:val="1"/>
          <w:color w:val="auto"/>
        </w:rPr>
        <w:t>Salt Lake City, Utah 84116</w:t>
      </w:r>
    </w:p>
    <w:p>
      <w:pPr>
        <w:jc w:val="center"/>
        <w:spacing w:after="0" w:line="195" w:lineRule="auto"/>
        <w:rPr>
          <w:sz w:val="20"/>
          <w:szCs w:val="20"/>
          <w:color w:val="auto"/>
        </w:rPr>
      </w:pPr>
      <w:r>
        <w:rPr>
          <w:rFonts w:ascii="Arial" w:cs="Arial" w:eastAsia="Arial" w:hAnsi="Arial"/>
          <w:sz w:val="14"/>
          <w:szCs w:val="14"/>
          <w:b w:val="1"/>
          <w:bCs w:val="1"/>
          <w:color w:val="auto"/>
        </w:rPr>
        <w:t>(801) 975-7200</w:t>
      </w:r>
    </w:p>
    <w:p>
      <w:pPr>
        <w:jc w:val="center"/>
        <w:spacing w:after="0" w:line="196" w:lineRule="auto"/>
        <w:rPr>
          <w:sz w:val="20"/>
          <w:szCs w:val="20"/>
          <w:color w:val="auto"/>
        </w:rPr>
      </w:pPr>
      <w:r>
        <w:rPr>
          <w:rFonts w:ascii="Arial" w:cs="Arial" w:eastAsia="Arial" w:hAnsi="Arial"/>
          <w:sz w:val="14"/>
          <w:szCs w:val="14"/>
          <w:color w:val="auto"/>
        </w:rPr>
        <w:t>(Address, including zip code, and telephone number, including</w:t>
      </w:r>
    </w:p>
    <w:p>
      <w:pPr>
        <w:jc w:val="center"/>
        <w:spacing w:after="0" w:line="235" w:lineRule="auto"/>
        <w:rPr>
          <w:sz w:val="20"/>
          <w:szCs w:val="20"/>
          <w:color w:val="auto"/>
        </w:rPr>
      </w:pPr>
      <w:r>
        <w:rPr>
          <w:rFonts w:ascii="Arial" w:cs="Arial" w:eastAsia="Arial" w:hAnsi="Arial"/>
          <w:sz w:val="14"/>
          <w:szCs w:val="14"/>
          <w:color w:val="auto"/>
        </w:rPr>
        <w:t>area code, of registrant’s principal executive offices)</w:t>
      </w:r>
    </w:p>
    <w:p>
      <w:pPr>
        <w:jc w:val="center"/>
        <w:spacing w:after="0" w:line="196" w:lineRule="auto"/>
        <w:rPr>
          <w:sz w:val="20"/>
          <w:szCs w:val="20"/>
          <w:color w:val="auto"/>
        </w:rPr>
      </w:pPr>
      <w:r>
        <w:rPr>
          <w:rFonts w:ascii="Arial" w:cs="Arial" w:eastAsia="Arial" w:hAnsi="Arial"/>
          <w:sz w:val="14"/>
          <w:szCs w:val="14"/>
          <w:b w:val="1"/>
          <w:bCs w:val="1"/>
          <w:color w:val="auto"/>
        </w:rPr>
        <w:t>Zeynep Hakimoglu</w:t>
      </w:r>
    </w:p>
    <w:p>
      <w:pPr>
        <w:jc w:val="center"/>
        <w:spacing w:after="0" w:line="195"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196" w:lineRule="auto"/>
        <w:rPr>
          <w:sz w:val="20"/>
          <w:szCs w:val="20"/>
          <w:color w:val="auto"/>
        </w:rPr>
      </w:pPr>
      <w:r>
        <w:rPr>
          <w:rFonts w:ascii="Arial" w:cs="Arial" w:eastAsia="Arial" w:hAnsi="Arial"/>
          <w:sz w:val="14"/>
          <w:szCs w:val="14"/>
          <w:b w:val="1"/>
          <w:bCs w:val="1"/>
          <w:color w:val="auto"/>
        </w:rPr>
        <w:t>ClearOne, Inc.</w:t>
      </w:r>
    </w:p>
    <w:p>
      <w:pPr>
        <w:jc w:val="center"/>
        <w:spacing w:after="0" w:line="196" w:lineRule="auto"/>
        <w:rPr>
          <w:sz w:val="20"/>
          <w:szCs w:val="20"/>
          <w:color w:val="auto"/>
        </w:rPr>
      </w:pPr>
      <w:r>
        <w:rPr>
          <w:rFonts w:ascii="Arial" w:cs="Arial" w:eastAsia="Arial" w:hAnsi="Arial"/>
          <w:sz w:val="14"/>
          <w:szCs w:val="14"/>
          <w:b w:val="1"/>
          <w:bCs w:val="1"/>
          <w:color w:val="auto"/>
        </w:rPr>
        <w:t>5225 Wiley Post Way, Suite 500</w:t>
      </w:r>
    </w:p>
    <w:p>
      <w:pPr>
        <w:jc w:val="center"/>
        <w:spacing w:after="0" w:line="195" w:lineRule="auto"/>
        <w:rPr>
          <w:sz w:val="20"/>
          <w:szCs w:val="20"/>
          <w:color w:val="auto"/>
        </w:rPr>
      </w:pPr>
      <w:r>
        <w:rPr>
          <w:rFonts w:ascii="Arial" w:cs="Arial" w:eastAsia="Arial" w:hAnsi="Arial"/>
          <w:sz w:val="14"/>
          <w:szCs w:val="14"/>
          <w:b w:val="1"/>
          <w:bCs w:val="1"/>
          <w:color w:val="auto"/>
        </w:rPr>
        <w:t>Salt Lake City, Utah 84116</w:t>
      </w:r>
    </w:p>
    <w:p>
      <w:pPr>
        <w:jc w:val="center"/>
        <w:spacing w:after="0" w:line="196" w:lineRule="auto"/>
        <w:rPr>
          <w:sz w:val="20"/>
          <w:szCs w:val="20"/>
          <w:color w:val="auto"/>
        </w:rPr>
      </w:pPr>
      <w:r>
        <w:rPr>
          <w:rFonts w:ascii="Arial" w:cs="Arial" w:eastAsia="Arial" w:hAnsi="Arial"/>
          <w:sz w:val="14"/>
          <w:szCs w:val="14"/>
          <w:b w:val="1"/>
          <w:bCs w:val="1"/>
          <w:color w:val="auto"/>
        </w:rPr>
        <w:t>(801) 975-7200</w:t>
      </w:r>
    </w:p>
    <w:p>
      <w:pPr>
        <w:jc w:val="center"/>
        <w:spacing w:after="0" w:line="196" w:lineRule="auto"/>
        <w:rPr>
          <w:sz w:val="20"/>
          <w:szCs w:val="20"/>
          <w:color w:val="auto"/>
        </w:rPr>
      </w:pPr>
      <w:r>
        <w:rPr>
          <w:rFonts w:ascii="Arial" w:cs="Arial" w:eastAsia="Arial" w:hAnsi="Arial"/>
          <w:sz w:val="14"/>
          <w:szCs w:val="14"/>
          <w:color w:val="auto"/>
        </w:rPr>
        <w:t>(Name, address, including zip code, and telephone number,</w:t>
      </w:r>
    </w:p>
    <w:p>
      <w:pPr>
        <w:jc w:val="center"/>
        <w:spacing w:after="0" w:line="235" w:lineRule="auto"/>
        <w:rPr>
          <w:sz w:val="20"/>
          <w:szCs w:val="20"/>
          <w:color w:val="auto"/>
        </w:rPr>
      </w:pPr>
      <w:r>
        <w:rPr>
          <w:rFonts w:ascii="Arial" w:cs="Arial" w:eastAsia="Arial" w:hAnsi="Arial"/>
          <w:sz w:val="14"/>
          <w:szCs w:val="14"/>
          <w:color w:val="auto"/>
        </w:rPr>
        <w:t>including area code, of agent for service)</w:t>
      </w:r>
    </w:p>
    <w:p>
      <w:pPr>
        <w:jc w:val="center"/>
        <w:spacing w:after="0" w:line="235" w:lineRule="auto"/>
        <w:rPr>
          <w:sz w:val="20"/>
          <w:szCs w:val="20"/>
          <w:color w:val="auto"/>
        </w:rPr>
      </w:pPr>
      <w:r>
        <w:rPr>
          <w:rFonts w:ascii="Arial" w:cs="Arial" w:eastAsia="Arial" w:hAnsi="Arial"/>
          <w:sz w:val="14"/>
          <w:szCs w:val="14"/>
          <w:b w:val="1"/>
          <w:bCs w:val="1"/>
          <w:color w:val="auto"/>
        </w:rPr>
        <w:t>Copies to:</w:t>
      </w:r>
    </w:p>
    <w:p>
      <w:pPr>
        <w:jc w:val="center"/>
        <w:spacing w:after="0" w:line="195" w:lineRule="auto"/>
        <w:rPr>
          <w:sz w:val="20"/>
          <w:szCs w:val="20"/>
          <w:color w:val="auto"/>
        </w:rPr>
      </w:pPr>
      <w:r>
        <w:rPr>
          <w:rFonts w:ascii="Arial" w:cs="Arial" w:eastAsia="Arial" w:hAnsi="Arial"/>
          <w:sz w:val="14"/>
          <w:szCs w:val="14"/>
          <w:b w:val="1"/>
          <w:bCs w:val="1"/>
          <w:color w:val="auto"/>
        </w:rPr>
        <w:t>Michael Dunn, Esq.</w:t>
      </w:r>
    </w:p>
    <w:p>
      <w:pPr>
        <w:jc w:val="center"/>
        <w:spacing w:after="0" w:line="196" w:lineRule="auto"/>
        <w:rPr>
          <w:sz w:val="20"/>
          <w:szCs w:val="20"/>
          <w:color w:val="auto"/>
        </w:rPr>
      </w:pPr>
      <w:r>
        <w:rPr>
          <w:rFonts w:ascii="Arial" w:cs="Arial" w:eastAsia="Arial" w:hAnsi="Arial"/>
          <w:sz w:val="14"/>
          <w:szCs w:val="14"/>
          <w:color w:val="auto"/>
        </w:rPr>
        <w:t>Seyfarth Shaw LLP</w:t>
      </w:r>
    </w:p>
    <w:p>
      <w:pPr>
        <w:jc w:val="center"/>
        <w:spacing w:after="0" w:line="196" w:lineRule="auto"/>
        <w:rPr>
          <w:sz w:val="20"/>
          <w:szCs w:val="20"/>
          <w:color w:val="auto"/>
        </w:rPr>
      </w:pPr>
      <w:r>
        <w:rPr>
          <w:rFonts w:ascii="Arial" w:cs="Arial" w:eastAsia="Arial" w:hAnsi="Arial"/>
          <w:sz w:val="14"/>
          <w:szCs w:val="14"/>
          <w:color w:val="auto"/>
        </w:rPr>
        <w:t>700 Milam Street, Suite 1400</w:t>
      </w:r>
    </w:p>
    <w:p>
      <w:pPr>
        <w:jc w:val="center"/>
        <w:spacing w:after="0" w:line="195" w:lineRule="auto"/>
        <w:rPr>
          <w:sz w:val="20"/>
          <w:szCs w:val="20"/>
          <w:color w:val="auto"/>
        </w:rPr>
      </w:pPr>
      <w:r>
        <w:rPr>
          <w:rFonts w:ascii="Arial" w:cs="Arial" w:eastAsia="Arial" w:hAnsi="Arial"/>
          <w:sz w:val="14"/>
          <w:szCs w:val="14"/>
          <w:color w:val="auto"/>
        </w:rPr>
        <w:t>Houston, TX 77002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(713) 238-1817</w:t>
      </w:r>
    </w:p>
    <w:p>
      <w:pPr>
        <w:spacing w:after="0" w:line="217" w:lineRule="exact"/>
        <w:rPr>
          <w:sz w:val="24"/>
          <w:szCs w:val="24"/>
          <w:color w:val="auto"/>
        </w:rPr>
      </w:pPr>
    </w:p>
    <w:p>
      <w:pPr>
        <w:ind w:left="320"/>
        <w:spacing w:after="0"/>
        <w:rPr>
          <w:sz w:val="20"/>
          <w:szCs w:val="20"/>
          <w:color w:val="auto"/>
        </w:rPr>
      </w:pPr>
      <w:r>
        <w:rPr>
          <w:rFonts w:ascii="Arial" w:cs="Arial" w:eastAsia="Arial" w:hAnsi="Arial"/>
          <w:sz w:val="14"/>
          <w:szCs w:val="14"/>
          <w:b w:val="1"/>
          <w:bCs w:val="1"/>
          <w:color w:val="auto"/>
        </w:rPr>
        <w:t>Approximate date of commencement of proposed sale to the public: From time to time after this registration statement becomes effective.</w:t>
      </w:r>
    </w:p>
    <w:p>
      <w:pPr>
        <w:spacing w:after="0" w:line="9" w:lineRule="exact"/>
        <w:rPr>
          <w:sz w:val="24"/>
          <w:szCs w:val="24"/>
          <w:color w:val="auto"/>
        </w:rPr>
      </w:pPr>
    </w:p>
    <w:p>
      <w:pPr>
        <w:ind w:left="320"/>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w:t>
      </w:r>
    </w:p>
    <w:p>
      <w:pPr>
        <w:ind w:right="100" w:firstLine="315"/>
        <w:spacing w:after="0" w:line="215"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w:t>
      </w:r>
    </w:p>
    <w:p>
      <w:pPr>
        <w:ind w:right="80" w:firstLine="315"/>
        <w:spacing w:after="0" w:line="215"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w:t>
      </w:r>
    </w:p>
    <w:p>
      <w:pPr>
        <w:ind w:right="280" w:firstLine="315"/>
        <w:spacing w:after="0" w:line="215" w:lineRule="auto"/>
        <w:rPr>
          <w:sz w:val="20"/>
          <w:szCs w:val="20"/>
          <w:color w:val="auto"/>
        </w:rPr>
      </w:pPr>
      <w:r>
        <w:rPr>
          <w:rFonts w:ascii="Arial" w:cs="Arial" w:eastAsia="Arial" w:hAnsi="Arial"/>
          <w:sz w:val="14"/>
          <w:szCs w:val="14"/>
          <w:color w:val="auto"/>
        </w:rPr>
        <w:t>If this form is a post-effective amendment filed pursuant to Rule 462(c) under the Securities Act of 1933, check the following box and list the Securities Act registration number of the earlier effective registration statement for the same offering.</w:t>
      </w:r>
    </w:p>
    <w:p>
      <w:pPr>
        <w:ind w:right="500" w:firstLine="315"/>
        <w:spacing w:after="0" w:line="215"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of 1933, check the following box.</w:t>
      </w:r>
    </w:p>
    <w:p>
      <w:pPr>
        <w:ind w:right="140" w:firstLine="315"/>
        <w:spacing w:after="0" w:line="222"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of 1933, check the following box.</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7240" w:type="dxa"/>
            <w:vAlign w:val="bottom"/>
          </w:tcPr>
          <w:p>
            <w:pPr>
              <w:ind w:left="2760"/>
              <w:spacing w:after="0"/>
              <w:rPr>
                <w:sz w:val="20"/>
                <w:szCs w:val="20"/>
                <w:color w:val="auto"/>
              </w:rPr>
            </w:pPr>
            <w:r>
              <w:rPr>
                <w:rFonts w:ascii="Arial" w:cs="Arial" w:eastAsia="Arial" w:hAnsi="Arial"/>
                <w:sz w:val="14"/>
                <w:szCs w:val="14"/>
                <w:color w:val="auto"/>
              </w:rPr>
              <w:t>Accelerated filer</w:t>
            </w:r>
          </w:p>
        </w:tc>
      </w:tr>
      <w:tr>
        <w:trPr>
          <w:trHeight w:val="171"/>
        </w:trPr>
        <w:tc>
          <w:tcPr>
            <w:tcW w:w="4000" w:type="dxa"/>
            <w:vAlign w:val="bottom"/>
          </w:tcPr>
          <w:p>
            <w:pPr>
              <w:spacing w:after="0"/>
              <w:rPr>
                <w:sz w:val="20"/>
                <w:szCs w:val="20"/>
                <w:color w:val="auto"/>
              </w:rPr>
            </w:pPr>
            <w:r>
              <w:rPr>
                <w:rFonts w:ascii="Arial" w:cs="Arial" w:eastAsia="Arial" w:hAnsi="Arial"/>
                <w:sz w:val="14"/>
                <w:szCs w:val="14"/>
                <w:color w:val="auto"/>
              </w:rPr>
              <w:t>Non-accelerated filer</w:t>
            </w:r>
          </w:p>
        </w:tc>
        <w:tc>
          <w:tcPr>
            <w:tcW w:w="7240" w:type="dxa"/>
            <w:vAlign w:val="bottom"/>
          </w:tcPr>
          <w:p>
            <w:pPr>
              <w:ind w:left="2760"/>
              <w:spacing w:after="0"/>
              <w:rPr>
                <w:sz w:val="20"/>
                <w:szCs w:val="20"/>
                <w:color w:val="auto"/>
              </w:rPr>
            </w:pPr>
            <w:r>
              <w:rPr>
                <w:rFonts w:ascii="Arial" w:cs="Arial" w:eastAsia="Arial" w:hAnsi="Arial"/>
                <w:sz w:val="14"/>
                <w:szCs w:val="14"/>
                <w:color w:val="auto"/>
              </w:rPr>
              <w:t>Smaller reporting company</w:t>
            </w:r>
          </w:p>
        </w:tc>
      </w:tr>
      <w:tr>
        <w:trPr>
          <w:trHeight w:val="179"/>
        </w:trPr>
        <w:tc>
          <w:tcPr>
            <w:tcW w:w="4000" w:type="dxa"/>
            <w:vAlign w:val="bottom"/>
          </w:tcPr>
          <w:p>
            <w:pPr>
              <w:spacing w:after="0"/>
              <w:rPr>
                <w:sz w:val="15"/>
                <w:szCs w:val="15"/>
                <w:color w:val="auto"/>
              </w:rPr>
            </w:pPr>
          </w:p>
        </w:tc>
        <w:tc>
          <w:tcPr>
            <w:tcW w:w="7240" w:type="dxa"/>
            <w:vAlign w:val="bottom"/>
          </w:tcPr>
          <w:p>
            <w:pPr>
              <w:ind w:left="2760"/>
              <w:spacing w:after="0"/>
              <w:rPr>
                <w:sz w:val="20"/>
                <w:szCs w:val="20"/>
                <w:color w:val="auto"/>
              </w:rPr>
            </w:pPr>
            <w:r>
              <w:rPr>
                <w:rFonts w:ascii="Arial" w:cs="Arial" w:eastAsia="Arial" w:hAnsi="Arial"/>
                <w:sz w:val="14"/>
                <w:szCs w:val="14"/>
                <w:color w:val="auto"/>
              </w:rPr>
              <w:t>Emerging growth company</w:t>
            </w:r>
          </w:p>
        </w:tc>
      </w:tr>
      <w:tr>
        <w:trPr>
          <w:trHeight w:val="542"/>
        </w:trPr>
        <w:tc>
          <w:tcPr>
            <w:tcW w:w="400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920" w:type="dxa"/>
            <w:vAlign w:val="bottom"/>
            <w:tcBorders>
              <w:top w:val="single" w:sz="8" w:color="auto"/>
              <w:bottom w:val="single" w:sz="8" w:color="auto"/>
            </w:tcBorders>
          </w:tcPr>
          <w:p>
            <w:pPr>
              <w:spacing w:after="0"/>
              <w:rPr>
                <w:sz w:val="3"/>
                <w:szCs w:val="3"/>
                <w:color w:val="auto"/>
              </w:rPr>
            </w:pPr>
          </w:p>
        </w:tc>
        <w:tc>
          <w:tcPr>
            <w:tcW w:w="224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2220" w:type="dxa"/>
            <w:vAlign w:val="bottom"/>
            <w:tcBorders>
              <w:top w:val="single" w:sz="8" w:color="auto"/>
              <w:bottom w:val="single" w:sz="8" w:color="auto"/>
            </w:tcBorders>
          </w:tcPr>
          <w:p>
            <w:pPr>
              <w:spacing w:after="0"/>
              <w:rPr>
                <w:sz w:val="3"/>
                <w:szCs w:val="3"/>
                <w:color w:val="auto"/>
              </w:rPr>
            </w:pPr>
          </w:p>
        </w:tc>
      </w:tr>
      <w:tr>
        <w:trPr>
          <w:trHeight w:val="101"/>
        </w:trPr>
        <w:tc>
          <w:tcPr>
            <w:tcW w:w="29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940" w:type="dxa"/>
            <w:vAlign w:val="bottom"/>
          </w:tcPr>
          <w:p>
            <w:pPr>
              <w:jc w:val="center"/>
              <w:ind w:right="114"/>
              <w:spacing w:after="0" w:line="102" w:lineRule="exact"/>
              <w:rPr>
                <w:sz w:val="20"/>
                <w:szCs w:val="20"/>
                <w:color w:val="auto"/>
              </w:rPr>
            </w:pPr>
            <w:r>
              <w:rPr>
                <w:rFonts w:ascii="Arial" w:cs="Arial" w:eastAsia="Arial" w:hAnsi="Arial"/>
                <w:sz w:val="10"/>
                <w:szCs w:val="10"/>
                <w:b w:val="1"/>
                <w:bCs w:val="1"/>
                <w:color w:val="auto"/>
              </w:rPr>
              <w:t>Proposed Maximum</w:t>
            </w:r>
          </w:p>
        </w:tc>
        <w:tc>
          <w:tcPr>
            <w:tcW w:w="1920" w:type="dxa"/>
            <w:vAlign w:val="bottom"/>
          </w:tcPr>
          <w:p>
            <w:pPr>
              <w:jc w:val="center"/>
              <w:ind w:right="194"/>
              <w:spacing w:after="0" w:line="102" w:lineRule="exact"/>
              <w:rPr>
                <w:sz w:val="20"/>
                <w:szCs w:val="20"/>
                <w:color w:val="auto"/>
              </w:rPr>
            </w:pPr>
            <w:r>
              <w:rPr>
                <w:rFonts w:ascii="Arial" w:cs="Arial" w:eastAsia="Arial" w:hAnsi="Arial"/>
                <w:sz w:val="10"/>
                <w:szCs w:val="10"/>
                <w:b w:val="1"/>
                <w:bCs w:val="1"/>
                <w:color w:val="auto"/>
              </w:rPr>
              <w:t>Proposed Maximum</w:t>
            </w:r>
          </w:p>
        </w:tc>
        <w:tc>
          <w:tcPr>
            <w:tcW w:w="2220" w:type="dxa"/>
            <w:vAlign w:val="bottom"/>
          </w:tcPr>
          <w:p>
            <w:pPr>
              <w:spacing w:after="0"/>
              <w:rPr>
                <w:sz w:val="8"/>
                <w:szCs w:val="8"/>
                <w:color w:val="auto"/>
              </w:rPr>
            </w:pPr>
          </w:p>
        </w:tc>
      </w:tr>
      <w:tr>
        <w:trPr>
          <w:trHeight w:val="167"/>
        </w:trPr>
        <w:tc>
          <w:tcPr>
            <w:tcW w:w="2920" w:type="dxa"/>
            <w:vAlign w:val="bottom"/>
          </w:tcPr>
          <w:p>
            <w:pPr>
              <w:spacing w:after="0"/>
              <w:rPr>
                <w:sz w:val="20"/>
                <w:szCs w:val="20"/>
                <w:color w:val="auto"/>
              </w:rPr>
            </w:pPr>
            <w:r>
              <w:rPr>
                <w:rFonts w:ascii="Arial" w:cs="Arial" w:eastAsia="Arial" w:hAnsi="Arial"/>
                <w:sz w:val="14"/>
                <w:szCs w:val="14"/>
                <w:b w:val="1"/>
                <w:bCs w:val="1"/>
                <w:color w:val="auto"/>
              </w:rPr>
              <w:t>Title of Each Class of</w:t>
            </w:r>
          </w:p>
        </w:tc>
        <w:tc>
          <w:tcPr>
            <w:tcW w:w="2240" w:type="dxa"/>
            <w:vAlign w:val="bottom"/>
          </w:tcPr>
          <w:p>
            <w:pPr>
              <w:jc w:val="center"/>
              <w:ind w:left="130"/>
              <w:spacing w:after="0"/>
              <w:rPr>
                <w:sz w:val="20"/>
                <w:szCs w:val="20"/>
                <w:color w:val="auto"/>
              </w:rPr>
            </w:pPr>
            <w:r>
              <w:rPr>
                <w:rFonts w:ascii="Arial" w:cs="Arial" w:eastAsia="Arial" w:hAnsi="Arial"/>
                <w:sz w:val="14"/>
                <w:szCs w:val="14"/>
                <w:b w:val="1"/>
                <w:bCs w:val="1"/>
                <w:color w:val="auto"/>
                <w:w w:val="91"/>
              </w:rPr>
              <w:t>Amount to</w:t>
            </w:r>
          </w:p>
        </w:tc>
        <w:tc>
          <w:tcPr>
            <w:tcW w:w="194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Offering Price Per</w:t>
            </w:r>
          </w:p>
        </w:tc>
        <w:tc>
          <w:tcPr>
            <w:tcW w:w="192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Aggregate</w:t>
            </w:r>
          </w:p>
        </w:tc>
        <w:tc>
          <w:tcPr>
            <w:tcW w:w="2220" w:type="dxa"/>
            <w:vAlign w:val="bottom"/>
          </w:tcPr>
          <w:p>
            <w:pPr>
              <w:jc w:val="center"/>
              <w:ind w:right="393"/>
              <w:spacing w:after="0"/>
              <w:rPr>
                <w:sz w:val="20"/>
                <w:szCs w:val="20"/>
                <w:color w:val="auto"/>
              </w:rPr>
            </w:pPr>
            <w:r>
              <w:rPr>
                <w:rFonts w:ascii="Arial" w:cs="Arial" w:eastAsia="Arial" w:hAnsi="Arial"/>
                <w:sz w:val="14"/>
                <w:szCs w:val="14"/>
                <w:b w:val="1"/>
                <w:bCs w:val="1"/>
                <w:color w:val="auto"/>
                <w:w w:val="91"/>
              </w:rPr>
              <w:t>Amount of</w:t>
            </w:r>
          </w:p>
        </w:tc>
      </w:tr>
      <w:tr>
        <w:trPr>
          <w:trHeight w:val="171"/>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Securities to Be Registered</w:t>
            </w:r>
          </w:p>
        </w:tc>
        <w:tc>
          <w:tcPr>
            <w:tcW w:w="2240" w:type="dxa"/>
            <w:vAlign w:val="bottom"/>
            <w:tcBorders>
              <w:bottom w:val="single" w:sz="8" w:color="auto"/>
            </w:tcBorders>
          </w:tcPr>
          <w:p>
            <w:pPr>
              <w:jc w:val="center"/>
              <w:ind w:left="110"/>
              <w:spacing w:after="0" w:line="170" w:lineRule="exact"/>
              <w:rPr>
                <w:sz w:val="20"/>
                <w:szCs w:val="20"/>
                <w:color w:val="auto"/>
              </w:rPr>
            </w:pPr>
            <w:r>
              <w:rPr>
                <w:rFonts w:ascii="Arial" w:cs="Arial" w:eastAsia="Arial" w:hAnsi="Arial"/>
                <w:sz w:val="14"/>
                <w:szCs w:val="14"/>
                <w:b w:val="1"/>
                <w:bCs w:val="1"/>
                <w:color w:val="auto"/>
                <w:w w:val="86"/>
              </w:rPr>
              <w:t xml:space="preserve">Be Registered </w:t>
            </w:r>
            <w:r>
              <w:rPr>
                <w:rFonts w:ascii="Arial" w:cs="Arial" w:eastAsia="Arial" w:hAnsi="Arial"/>
                <w:sz w:val="18"/>
                <w:szCs w:val="18"/>
                <w:color w:val="auto"/>
                <w:w w:val="86"/>
                <w:vertAlign w:val="superscript"/>
              </w:rPr>
              <w:t>(1)</w:t>
            </w:r>
          </w:p>
        </w:tc>
        <w:tc>
          <w:tcPr>
            <w:tcW w:w="1940" w:type="dxa"/>
            <w:vAlign w:val="bottom"/>
            <w:tcBorders>
              <w:bottom w:val="single" w:sz="8" w:color="auto"/>
            </w:tcBorders>
          </w:tcPr>
          <w:p>
            <w:pPr>
              <w:jc w:val="center"/>
              <w:ind w:right="114"/>
              <w:spacing w:after="0" w:line="170" w:lineRule="exact"/>
              <w:rPr>
                <w:sz w:val="20"/>
                <w:szCs w:val="20"/>
                <w:color w:val="auto"/>
              </w:rPr>
            </w:pPr>
            <w:r>
              <w:rPr>
                <w:rFonts w:ascii="Arial" w:cs="Arial" w:eastAsia="Arial" w:hAnsi="Arial"/>
                <w:sz w:val="14"/>
                <w:szCs w:val="14"/>
                <w:b w:val="1"/>
                <w:bCs w:val="1"/>
                <w:color w:val="auto"/>
                <w:w w:val="85"/>
              </w:rPr>
              <w:t>Security</w:t>
            </w:r>
            <w:r>
              <w:rPr>
                <w:rFonts w:ascii="Arial" w:cs="Arial" w:eastAsia="Arial" w:hAnsi="Arial"/>
                <w:sz w:val="18"/>
                <w:szCs w:val="18"/>
                <w:color w:val="auto"/>
                <w:w w:val="85"/>
                <w:vertAlign w:val="superscript"/>
              </w:rPr>
              <w:t>(2)(3)</w:t>
            </w:r>
          </w:p>
        </w:tc>
        <w:tc>
          <w:tcPr>
            <w:tcW w:w="1920" w:type="dxa"/>
            <w:vAlign w:val="bottom"/>
            <w:tcBorders>
              <w:bottom w:val="single" w:sz="8" w:color="auto"/>
            </w:tcBorders>
          </w:tcPr>
          <w:p>
            <w:pPr>
              <w:jc w:val="center"/>
              <w:ind w:right="194"/>
              <w:spacing w:after="0" w:line="170" w:lineRule="exact"/>
              <w:rPr>
                <w:sz w:val="20"/>
                <w:szCs w:val="20"/>
                <w:color w:val="auto"/>
              </w:rPr>
            </w:pPr>
            <w:r>
              <w:rPr>
                <w:rFonts w:ascii="Arial" w:cs="Arial" w:eastAsia="Arial" w:hAnsi="Arial"/>
                <w:sz w:val="14"/>
                <w:szCs w:val="14"/>
                <w:b w:val="1"/>
                <w:bCs w:val="1"/>
                <w:color w:val="auto"/>
                <w:w w:val="86"/>
              </w:rPr>
              <w:t>Offering Price</w:t>
            </w:r>
            <w:r>
              <w:rPr>
                <w:rFonts w:ascii="Arial" w:cs="Arial" w:eastAsia="Arial" w:hAnsi="Arial"/>
                <w:sz w:val="18"/>
                <w:szCs w:val="18"/>
                <w:color w:val="auto"/>
                <w:w w:val="86"/>
                <w:vertAlign w:val="superscript"/>
              </w:rPr>
              <w:t>(2)(3)</w:t>
            </w:r>
          </w:p>
        </w:tc>
        <w:tc>
          <w:tcPr>
            <w:tcW w:w="2220" w:type="dxa"/>
            <w:vAlign w:val="bottom"/>
            <w:tcBorders>
              <w:bottom w:val="single" w:sz="8" w:color="auto"/>
            </w:tcBorders>
          </w:tcPr>
          <w:p>
            <w:pPr>
              <w:jc w:val="center"/>
              <w:ind w:right="393"/>
              <w:spacing w:after="0" w:line="170" w:lineRule="exact"/>
              <w:rPr>
                <w:sz w:val="20"/>
                <w:szCs w:val="20"/>
                <w:color w:val="auto"/>
              </w:rPr>
            </w:pPr>
            <w:r>
              <w:rPr>
                <w:rFonts w:ascii="Arial" w:cs="Arial" w:eastAsia="Arial" w:hAnsi="Arial"/>
                <w:sz w:val="14"/>
                <w:szCs w:val="14"/>
                <w:b w:val="1"/>
                <w:bCs w:val="1"/>
                <w:color w:val="auto"/>
                <w:w w:val="86"/>
              </w:rPr>
              <w:t>Registration Fee</w:t>
            </w:r>
            <w:r>
              <w:rPr>
                <w:rFonts w:ascii="Arial" w:cs="Arial" w:eastAsia="Arial" w:hAnsi="Arial"/>
                <w:sz w:val="18"/>
                <w:szCs w:val="18"/>
                <w:color w:val="auto"/>
                <w:w w:val="86"/>
                <w:vertAlign w:val="superscript"/>
              </w:rPr>
              <w:t>(2)(3)</w:t>
            </w:r>
          </w:p>
        </w:tc>
      </w:tr>
      <w:tr>
        <w:trPr>
          <w:trHeight w:val="177"/>
        </w:trPr>
        <w:tc>
          <w:tcPr>
            <w:tcW w:w="2920" w:type="dxa"/>
            <w:vAlign w:val="bottom"/>
            <w:tcBorders>
              <w:bottom w:val="single" w:sz="8" w:color="auto"/>
            </w:tcBorders>
          </w:tcPr>
          <w:p>
            <w:pPr>
              <w:spacing w:after="0" w:line="177" w:lineRule="exact"/>
              <w:rPr>
                <w:sz w:val="20"/>
                <w:szCs w:val="20"/>
                <w:color w:val="auto"/>
              </w:rPr>
            </w:pPr>
            <w:r>
              <w:rPr>
                <w:rFonts w:ascii="Arial" w:cs="Arial" w:eastAsia="Arial" w:hAnsi="Arial"/>
                <w:sz w:val="14"/>
                <w:szCs w:val="14"/>
                <w:color w:val="auto"/>
              </w:rPr>
              <w:t>Common Stock ($0.001 par value)</w:t>
            </w:r>
            <w:r>
              <w:rPr>
                <w:rFonts w:ascii="Arial" w:cs="Arial" w:eastAsia="Arial" w:hAnsi="Arial"/>
                <w:sz w:val="18"/>
                <w:szCs w:val="18"/>
                <w:color w:val="auto"/>
                <w:vertAlign w:val="superscript"/>
              </w:rPr>
              <w:t>(1)(2)</w:t>
            </w:r>
            <w:r>
              <w:rPr>
                <w:rFonts w:ascii="Arial" w:cs="Arial" w:eastAsia="Arial" w:hAnsi="Arial"/>
                <w:sz w:val="14"/>
                <w:szCs w:val="14"/>
                <w:color w:val="auto"/>
              </w:rPr>
              <w:t>:</w:t>
            </w:r>
          </w:p>
        </w:tc>
        <w:tc>
          <w:tcPr>
            <w:tcW w:w="22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1,762,710</w:t>
            </w:r>
          </w:p>
        </w:tc>
        <w:tc>
          <w:tcPr>
            <w:tcW w:w="1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$1.65</w:t>
            </w:r>
          </w:p>
        </w:tc>
        <w:tc>
          <w:tcPr>
            <w:tcW w:w="1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$2,908,471.50</w:t>
            </w:r>
          </w:p>
        </w:tc>
        <w:tc>
          <w:tcPr>
            <w:tcW w:w="2220" w:type="dxa"/>
            <w:vAlign w:val="bottom"/>
            <w:tcBorders>
              <w:bottom w:val="single" w:sz="8" w:color="auto"/>
            </w:tcBorders>
          </w:tcPr>
          <w:p>
            <w:pPr>
              <w:jc w:val="right"/>
              <w:ind w:right="393"/>
              <w:spacing w:after="0" w:line="177" w:lineRule="exact"/>
              <w:rPr>
                <w:sz w:val="20"/>
                <w:szCs w:val="20"/>
                <w:color w:val="auto"/>
              </w:rPr>
            </w:pPr>
            <w:r>
              <w:rPr>
                <w:rFonts w:ascii="Arial" w:cs="Arial" w:eastAsia="Arial" w:hAnsi="Arial"/>
                <w:sz w:val="12"/>
                <w:szCs w:val="12"/>
                <w:color w:val="auto"/>
              </w:rPr>
              <w:t>$377.52</w:t>
            </w:r>
            <w:r>
              <w:rPr>
                <w:rFonts w:ascii="Arial" w:cs="Arial" w:eastAsia="Arial" w:hAnsi="Arial"/>
                <w:sz w:val="20"/>
                <w:szCs w:val="20"/>
                <w:color w:val="auto"/>
                <w:vertAlign w:val="superscript"/>
              </w:rPr>
              <w:t>(4)</w:t>
            </w:r>
          </w:p>
        </w:tc>
      </w:tr>
    </w:tbl>
    <w:p>
      <w:pPr>
        <w:spacing w:after="0" w:line="8" w:lineRule="exact"/>
        <w:rPr>
          <w:sz w:val="20"/>
          <w:szCs w:val="20"/>
          <w:color w:val="auto"/>
        </w:rPr>
      </w:pPr>
    </w:p>
    <w:p>
      <w:pPr>
        <w:ind w:left="360" w:hanging="355"/>
        <w:spacing w:after="0" w:line="237" w:lineRule="auto"/>
        <w:tabs>
          <w:tab w:leader="none" w:pos="36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Registration Statement registers the resale of 1,421,801 shares of common stock of ClearOne, Inc. issuable upon conversion of issued and outstanding secured convertible notes and 340,909 shares of common stock of ClearOne, Inc. issuable upon exercise of issued and outstanding warrants. This Registration Statement also relates to such additional securities (i) to be offered or issued in connection with any provision of any securities purported to be registered hereby to be offered pursuant to terms which provide for a change in the amount of securities being offered or issued to prevent dilution resulting from stock splits, stock dividends, or similar transactions and (ii) of the same class as the securities covered by this Registration Statement issued or issuable prior to completion of the distribution of the securities covered by this Registration Statement as a result of a split of, or a stock dividend on, the registered securities.</w:t>
      </w:r>
    </w:p>
    <w:p>
      <w:pPr>
        <w:ind w:left="360" w:hanging="355"/>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U.S. dollars or the equivalent thereof denominated in one or more foreign currencies or units of two or more foreign currencies or composite currencies.</w:t>
      </w:r>
    </w:p>
    <w:p>
      <w:pPr>
        <w:spacing w:after="0" w:line="50" w:lineRule="exact"/>
        <w:rPr>
          <w:rFonts w:ascii="Arial" w:cs="Arial" w:eastAsia="Arial" w:hAnsi="Arial"/>
          <w:sz w:val="14"/>
          <w:szCs w:val="14"/>
          <w:color w:val="auto"/>
        </w:rPr>
      </w:pPr>
    </w:p>
    <w:p>
      <w:pPr>
        <w:ind w:left="360" w:right="320" w:hanging="355"/>
        <w:spacing w:after="0" w:line="224" w:lineRule="auto"/>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457(c) under the Securities Act. The price per share and aggregate offering price are based on the average of the high and low sales prices of the common stock on May 4, 2020, as reported on The NASDAQ Capital Market.</w:t>
      </w:r>
    </w:p>
    <w:p>
      <w:pPr>
        <w:ind w:left="360" w:hanging="355"/>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-855980</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60325</wp:posOffset>
            </wp:positionV>
            <wp:extent cx="7002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2780"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76835</wp:posOffset>
            </wp:positionV>
            <wp:extent cx="7002780"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2780"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We hereby amend this registration statement (the “Registration Statement”) on such date or dates as may be necessary to delay its effective date until we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13613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2" w:name="page3"/>
    <w:bookmarkEnd w:id="2"/>
    <w:p>
      <w:pPr>
        <w:jc w:val="both"/>
        <w:ind w:left="140" w:right="100"/>
        <w:spacing w:after="0" w:line="330" w:lineRule="auto"/>
        <w:rPr>
          <w:sz w:val="20"/>
          <w:szCs w:val="20"/>
          <w:color w:val="auto"/>
        </w:rPr>
      </w:pPr>
      <w:r>
        <w:rPr>
          <w:rFonts w:ascii="Arial" w:cs="Arial" w:eastAsia="Arial" w:hAnsi="Arial"/>
          <w:sz w:val="15"/>
          <w:szCs w:val="15"/>
          <w:b w:val="1"/>
          <w:bCs w:val="1"/>
          <w:color w:val="F93F26"/>
        </w:rPr>
        <w:drawing>
          <wp:anchor simplePos="0" relativeHeight="251657728" behindDoc="1" locked="0" layoutInCell="0" allowOverlap="1">
            <wp:simplePos x="0" y="0"/>
            <wp:positionH relativeFrom="page">
              <wp:posOffset>245745</wp:posOffset>
            </wp:positionH>
            <wp:positionV relativeFrom="page">
              <wp:posOffset>353695</wp:posOffset>
            </wp:positionV>
            <wp:extent cx="7057390" cy="495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7390" cy="495935"/>
                    </a:xfrm>
                    <a:prstGeom prst="rect">
                      <a:avLst/>
                    </a:prstGeom>
                    <a:noFill/>
                  </pic:spPr>
                </pic:pic>
              </a:graphicData>
            </a:graphic>
          </wp:anchor>
        </w:drawing>
        <w:t>The information contained in this prospectus is not complete and may be changed. The selling stockholder named in this prospectus may not sell these securities until the Registration Statement filed with the Securities and Exchange Commission is effective. This prospectus is not an offer to sell these securities and is not a solicitation of offers to buy these securities in any jurisdiction where such offer or sale is not permitted.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Subject to Completion, Dated June 1, 2020</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1,762,710 Shares of Common Stock</w:t>
      </w:r>
    </w:p>
    <w:p>
      <w:pPr>
        <w:spacing w:after="0" w:line="201" w:lineRule="exact"/>
        <w:rPr>
          <w:sz w:val="20"/>
          <w:szCs w:val="20"/>
          <w:color w:val="auto"/>
        </w:rPr>
      </w:pPr>
    </w:p>
    <w:p>
      <w:pPr>
        <w:ind w:right="100" w:firstLine="420"/>
        <w:spacing w:after="0" w:line="247" w:lineRule="auto"/>
        <w:rPr>
          <w:sz w:val="20"/>
          <w:szCs w:val="20"/>
          <w:color w:val="auto"/>
        </w:rPr>
      </w:pPr>
      <w:r>
        <w:rPr>
          <w:rFonts w:ascii="Arial" w:cs="Arial" w:eastAsia="Arial" w:hAnsi="Arial"/>
          <w:sz w:val="18"/>
          <w:szCs w:val="18"/>
          <w:color w:val="auto"/>
        </w:rPr>
        <w:t>This prospectus relates to the possible resale, from time to time, by the selling stockholder identified in this prospectus of up to 1,762,710 shares of our common stock, par value $0.001 per share, initially issued in a private placement transaction. 1,421,801 of the shares offered by this prospectus are issuable upon conversion of $3,000,000 outstanding principal amount of secured convertible notes that are convertible to shares of common stock at an initial conversion price of $2.11 per share. 340,909 of the shares offered by this prospectus are issuable upon exercise of outstanding common stock warrants with an initial exercise price of $1.76 per share.</w:t>
      </w:r>
    </w:p>
    <w:p>
      <w:pPr>
        <w:spacing w:after="0" w:line="143" w:lineRule="exact"/>
        <w:rPr>
          <w:sz w:val="20"/>
          <w:szCs w:val="20"/>
          <w:color w:val="auto"/>
        </w:rPr>
      </w:pPr>
    </w:p>
    <w:p>
      <w:pPr>
        <w:ind w:right="220" w:firstLine="420"/>
        <w:spacing w:after="0" w:line="217" w:lineRule="auto"/>
        <w:rPr>
          <w:sz w:val="20"/>
          <w:szCs w:val="20"/>
          <w:color w:val="auto"/>
        </w:rPr>
      </w:pPr>
      <w:r>
        <w:rPr>
          <w:rFonts w:ascii="Arial" w:cs="Arial" w:eastAsia="Arial" w:hAnsi="Arial"/>
          <w:sz w:val="18"/>
          <w:szCs w:val="18"/>
          <w:color w:val="auto"/>
        </w:rPr>
        <w:t>The selling stockholder may offer the shares from time to time as such selling stockholder may determine through public or private transactions or through other means described in the section entitled “Plan of Distribution” or a supplement to this prospectus. The selling stockholder also sell shares under Rule 144 under the Securities Act of 1933, as amended, if available, rather than under this prospectus.</w:t>
      </w:r>
    </w:p>
    <w:p>
      <w:pPr>
        <w:spacing w:after="0" w:line="121" w:lineRule="exact"/>
        <w:rPr>
          <w:sz w:val="20"/>
          <w:szCs w:val="20"/>
          <w:color w:val="auto"/>
        </w:rPr>
      </w:pPr>
    </w:p>
    <w:p>
      <w:pPr>
        <w:ind w:firstLine="420"/>
        <w:spacing w:after="0" w:line="247" w:lineRule="auto"/>
        <w:rPr>
          <w:sz w:val="20"/>
          <w:szCs w:val="20"/>
          <w:color w:val="auto"/>
        </w:rPr>
      </w:pPr>
      <w:r>
        <w:rPr>
          <w:rFonts w:ascii="Arial" w:cs="Arial" w:eastAsia="Arial" w:hAnsi="Arial"/>
          <w:sz w:val="16"/>
          <w:szCs w:val="16"/>
          <w:color w:val="auto"/>
        </w:rPr>
        <w:t>The registration of these shares does not necessarily mean that the selling stockholder will sell any of its shares or convert any portion of the secured convertible notes or exercise its warrants. We are not offering for sale any shares of our common stock pursuant to this prospectus. We will not receive any cash proceeds from the sale of any of our shares of common stock by the selling stockholder, but we have agreed to pay certain registration expenses.</w:t>
      </w:r>
    </w:p>
    <w:p>
      <w:pPr>
        <w:spacing w:after="0" w:line="115" w:lineRule="exact"/>
        <w:rPr>
          <w:sz w:val="20"/>
          <w:szCs w:val="20"/>
          <w:color w:val="auto"/>
        </w:rPr>
      </w:pPr>
    </w:p>
    <w:p>
      <w:pPr>
        <w:ind w:right="340" w:firstLine="420"/>
        <w:spacing w:after="0" w:line="227" w:lineRule="auto"/>
        <w:rPr>
          <w:sz w:val="20"/>
          <w:szCs w:val="20"/>
          <w:color w:val="auto"/>
        </w:rPr>
      </w:pPr>
      <w:r>
        <w:rPr>
          <w:rFonts w:ascii="Arial" w:cs="Arial" w:eastAsia="Arial" w:hAnsi="Arial"/>
          <w:sz w:val="18"/>
          <w:szCs w:val="18"/>
          <w:color w:val="auto"/>
        </w:rPr>
        <w:t>Our common stock is listed on The NASDAQ Capital Market under the symbol “CLRO.” The closing price of our common stock as reported on The NASDAQ Capital Market on May 29, 2020 was $1.73 per share.</w:t>
      </w:r>
    </w:p>
    <w:p>
      <w:pPr>
        <w:spacing w:after="0" w:line="114" w:lineRule="exact"/>
        <w:rPr>
          <w:sz w:val="20"/>
          <w:szCs w:val="20"/>
          <w:color w:val="auto"/>
        </w:rPr>
      </w:pPr>
    </w:p>
    <w:p>
      <w:pPr>
        <w:ind w:right="140" w:firstLine="420"/>
        <w:spacing w:after="0" w:line="220" w:lineRule="auto"/>
        <w:rPr>
          <w:sz w:val="20"/>
          <w:szCs w:val="20"/>
          <w:color w:val="auto"/>
        </w:rPr>
      </w:pPr>
      <w:r>
        <w:rPr>
          <w:rFonts w:ascii="Arial" w:cs="Arial" w:eastAsia="Arial" w:hAnsi="Arial"/>
          <w:sz w:val="18"/>
          <w:szCs w:val="18"/>
          <w:b w:val="1"/>
          <w:bCs w:val="1"/>
          <w:color w:val="auto"/>
        </w:rPr>
        <w:t>You should carefully read and consider the risk factors under Part I, Item 1A contained in our most recent Annual Report on Form 10-K for risks relating to investments in our securities, as such risk factors may be supplemented or amended from time to time under Part II, Item 1A of our Quarterly Reports on Form 10-Q.</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Our mailing address and telephone number are: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5225 Wiley Post Way</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Suite 500</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Salt Lake City, Utah 84116</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(801) 975-7200</w:t>
      </w:r>
    </w:p>
    <w:p>
      <w:pPr>
        <w:spacing w:after="0" w:line="195" w:lineRule="exact"/>
        <w:rPr>
          <w:sz w:val="20"/>
          <w:szCs w:val="20"/>
          <w:color w:val="auto"/>
        </w:rPr>
      </w:pPr>
    </w:p>
    <w:p>
      <w:pPr>
        <w:ind w:right="100" w:firstLine="420"/>
        <w:spacing w:after="0" w:line="33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accuracy or completeness of this prospectus. Any representation to the contrary is a criminal offense.</w:t>
      </w:r>
    </w:p>
    <w:p>
      <w:pPr>
        <w:spacing w:after="0" w:line="129" w:lineRule="exact"/>
        <w:rPr>
          <w:sz w:val="20"/>
          <w:szCs w:val="20"/>
          <w:color w:val="auto"/>
        </w:rPr>
      </w:pPr>
    </w:p>
    <w:tbl>
      <w:tblPr>
        <w:tblLayout w:type="fixed"/>
        <w:tblInd w:w="4040" w:type="dxa"/>
        <w:tblCellMar>
          <w:top w:w="0" w:type="dxa"/>
          <w:left w:w="0" w:type="dxa"/>
          <w:bottom w:w="0" w:type="dxa"/>
          <w:right w:w="0" w:type="dxa"/>
        </w:tblCellMar>
      </w:tblP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80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06" w:lineRule="exact"/>
        <w:rPr>
          <w:sz w:val="20"/>
          <w:szCs w:val="20"/>
          <w:color w:val="auto"/>
        </w:rPr>
      </w:pPr>
    </w:p>
    <w:p>
      <w:pPr>
        <w:ind w:right="120" w:firstLine="420"/>
        <w:spacing w:after="0" w:line="233" w:lineRule="auto"/>
        <w:rPr>
          <w:sz w:val="20"/>
          <w:szCs w:val="20"/>
          <w:color w:val="auto"/>
        </w:rPr>
      </w:pPr>
      <w:r>
        <w:rPr>
          <w:rFonts w:ascii="Arial" w:cs="Arial" w:eastAsia="Arial" w:hAnsi="Arial"/>
          <w:sz w:val="16"/>
          <w:szCs w:val="16"/>
          <w:color w:val="auto"/>
        </w:rPr>
        <w:t>In considering any decision regarding an investment in the shares which are the subject of this prospectus, you should rely only upon the information contained in this prospectus and the information that we incorporate by reference into this prospectus. We have not authorized any persons to provide you with information which is different from the information contained in this prospectus or the information that we incorporate by reference into this prospectus. We take no responsibility for and can provide no assurances as to the reliability of, any other information that you may obtain from other sources. The information contained in this prospectus is accurate only as of the date on the front cover of this prospectus. Any and all information that we incorporate by reference is accurate only as of the date of the referenced document so incorporated.</w:t>
      </w:r>
    </w:p>
    <w:p>
      <w:pPr>
        <w:spacing w:after="0" w:line="123" w:lineRule="exact"/>
        <w:rPr>
          <w:sz w:val="20"/>
          <w:szCs w:val="20"/>
          <w:color w:val="auto"/>
        </w:rPr>
      </w:pPr>
    </w:p>
    <w:p>
      <w:pPr>
        <w:jc w:val="both"/>
        <w:ind w:right="40" w:firstLine="420"/>
        <w:spacing w:after="0" w:line="217" w:lineRule="auto"/>
        <w:rPr>
          <w:sz w:val="20"/>
          <w:szCs w:val="20"/>
          <w:color w:val="auto"/>
        </w:rPr>
      </w:pPr>
      <w:r>
        <w:rPr>
          <w:rFonts w:ascii="Arial" w:cs="Arial" w:eastAsia="Arial" w:hAnsi="Arial"/>
          <w:sz w:val="18"/>
          <w:szCs w:val="18"/>
          <w:color w:val="auto"/>
        </w:rPr>
        <w:t>This prospectus is an offer to sell only the securities that are offered hereby, and only where it is lawful to do so. This prospectus does not offer to sell, or ask for offers to buy, any shares of our common stock in any state or jurisdiction (within or outside the United States) where it would not be lawful or where the person making the offer is not qualified to do so.</w:t>
      </w:r>
    </w:p>
    <w:p>
      <w:pPr>
        <w:spacing w:after="0" w:line="121" w:lineRule="exact"/>
        <w:rPr>
          <w:sz w:val="20"/>
          <w:szCs w:val="20"/>
          <w:color w:val="auto"/>
        </w:rPr>
      </w:pPr>
    </w:p>
    <w:p>
      <w:pPr>
        <w:ind w:right="20" w:firstLine="420"/>
        <w:spacing w:after="0" w:line="217"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(the "SEC"). Please carefully read both this entire prospectus together with all information that we incorporate by reference. See the section of this prospectus under the caption: "Incorporation of Certain Information by Reference."</w:t>
      </w:r>
    </w:p>
    <w:p>
      <w:pPr>
        <w:spacing w:after="0" w:line="121" w:lineRule="exact"/>
        <w:rPr>
          <w:sz w:val="20"/>
          <w:szCs w:val="20"/>
          <w:color w:val="auto"/>
        </w:rPr>
      </w:pPr>
    </w:p>
    <w:p>
      <w:pPr>
        <w:ind w:right="280" w:firstLine="420"/>
        <w:spacing w:after="0" w:line="227" w:lineRule="auto"/>
        <w:rPr>
          <w:sz w:val="20"/>
          <w:szCs w:val="20"/>
          <w:color w:val="auto"/>
        </w:rPr>
      </w:pPr>
      <w:r>
        <w:rPr>
          <w:rFonts w:ascii="Arial" w:cs="Arial" w:eastAsia="Arial" w:hAnsi="Arial"/>
          <w:sz w:val="18"/>
          <w:szCs w:val="18"/>
          <w:color w:val="auto"/>
        </w:rPr>
        <w:t>Except as otherwise indicated herein or as the context otherwise requires, references in this prospectus to "ClearOne," "CLRO," "the Company," "we," "us," "our," and similar references refer to ClearOne, Inc. and its subsidiaries.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40" w:lineRule="exact"/>
        <w:rPr>
          <w:sz w:val="20"/>
          <w:szCs w:val="20"/>
          <w:color w:val="auto"/>
        </w:rPr>
      </w:pPr>
    </w:p>
    <w:p>
      <w:pPr>
        <w:ind w:firstLine="420"/>
        <w:spacing w:after="0" w:line="228" w:lineRule="auto"/>
        <w:rPr>
          <w:sz w:val="20"/>
          <w:szCs w:val="20"/>
          <w:color w:val="auto"/>
        </w:rPr>
      </w:pPr>
      <w:r>
        <w:rPr>
          <w:rFonts w:ascii="Arial" w:cs="Arial" w:eastAsia="Arial" w:hAnsi="Arial"/>
          <w:sz w:val="16"/>
          <w:szCs w:val="16"/>
          <w:color w:val="auto"/>
        </w:rPr>
        <w:t>This prospectus and the documents we incorporate by reference into this prospectus may contain forward-looking statements within the meaning of Section 27A of the Securities Act of 1933, as amended, and Section 21E of the Securities Exchange Act of 1934, as amended, about the Company and its subsidiaries. We intend the coverage of our forward-looking statements to be within the safe harbor provisions of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form of these terms or comparable qualifying words. The basis for our forward-looking statements includes our current expectations and a number of known and unknown risks and uncertainties that could cause actual outcomes to differ materially from our forward-looking statements. We caution readers not to place undue reliance on our forward-looking statements. In light of inherent uncertainties in forward-looking statements, the reader should not interpret inclusion of these statements as any representation by us or any other person that we will achieve or accomplish any of the matters expressed within the scope of any of our forward-looking statements. We assume no obligation to publicly update or revise our forward-looking statements or to advise of any changes regarding the basis of our assumptions and other factors relating to the forward-looking statements.</w:t>
      </w:r>
    </w:p>
    <w:p>
      <w:pPr>
        <w:spacing w:after="0" w:line="125" w:lineRule="exact"/>
        <w:rPr>
          <w:sz w:val="20"/>
          <w:szCs w:val="20"/>
          <w:color w:val="auto"/>
        </w:rPr>
      </w:pPr>
    </w:p>
    <w:p>
      <w:pPr>
        <w:ind w:right="140" w:firstLine="420"/>
        <w:spacing w:after="0" w:line="212" w:lineRule="auto"/>
        <w:rPr>
          <w:sz w:val="20"/>
          <w:szCs w:val="20"/>
          <w:color w:val="auto"/>
        </w:rPr>
      </w:pPr>
      <w:r>
        <w:rPr>
          <w:rFonts w:ascii="Arial" w:cs="Arial" w:eastAsia="Arial" w:hAnsi="Arial"/>
          <w:sz w:val="18"/>
          <w:szCs w:val="18"/>
          <w:color w:val="auto"/>
        </w:rPr>
        <w:t>For further information on factors which could impact us and the statements contained herein, see the “Risk Factors” under Part I, Item 1A in our most recent Annual Report on Form 10-K for risks relating to investments in our securities, as such risk factors may be supplemented or amended from time to time under Part II, Item 1A of our Quarterly Reports on Form 10-Q. We assume no obligation to update and supplement forward-looking statements that become untrue because of subsequent events, new information or otherwise.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613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6" w:lineRule="exact"/>
        <w:rPr>
          <w:sz w:val="20"/>
          <w:szCs w:val="20"/>
          <w:color w:val="auto"/>
        </w:rPr>
      </w:pPr>
    </w:p>
    <w:p>
      <w:pPr>
        <w:ind w:firstLine="420"/>
        <w:spacing w:after="0" w:line="229" w:lineRule="auto"/>
        <w:rPr>
          <w:sz w:val="20"/>
          <w:szCs w:val="20"/>
          <w:color w:val="auto"/>
        </w:rPr>
      </w:pPr>
      <w:r>
        <w:rPr>
          <w:rFonts w:ascii="Arial" w:cs="Arial" w:eastAsia="Arial" w:hAnsi="Arial"/>
          <w:sz w:val="16"/>
          <w:szCs w:val="16"/>
          <w:color w:val="auto"/>
        </w:rPr>
        <w:t xml:space="preserve">We are an SEC reporting company and file annual, quarterly and current reports, proxy statements and other information with the SEC. We have filed with the SEC a registration statement on Form S-1 under the Securities Act, with respect to the Common Stock and subscription rights being offered under this prospectus. This prospectus does not contain all of the information set forth in the registration statement and the exhibits to the registration statement. For further information with respect to us and the securities being offered under this prospectus, we refer you to the complete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Please call the SEC at 1-800-SEC-0330 for more information about the operation of the Public Reference Room. The SEC maintains an Internet site that contains reports, proxy and information statements, and other information regarding issuers that file electronically with the SEC. The SEC's Internet site can be found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You can also obtain copies of materials we file with the SEC from our Internet website found at </w:t>
      </w:r>
      <w:r>
        <w:rPr>
          <w:rFonts w:ascii="Arial" w:cs="Arial" w:eastAsia="Arial" w:hAnsi="Arial"/>
          <w:sz w:val="16"/>
          <w:szCs w:val="16"/>
          <w:i w:val="1"/>
          <w:iCs w:val="1"/>
          <w:color w:val="auto"/>
        </w:rPr>
        <w:t>http://www.clearone.com/</w:t>
      </w:r>
      <w:r>
        <w:rPr>
          <w:rFonts w:ascii="Arial" w:cs="Arial" w:eastAsia="Arial" w:hAnsi="Arial"/>
          <w:sz w:val="16"/>
          <w:szCs w:val="16"/>
          <w:color w:val="auto"/>
        </w:rPr>
        <w:t>. The information contained in our website is not a part of this prospectus.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40" w:lineRule="exact"/>
        <w:rPr>
          <w:sz w:val="20"/>
          <w:szCs w:val="20"/>
          <w:color w:val="auto"/>
        </w:rPr>
      </w:pPr>
    </w:p>
    <w:p>
      <w:pPr>
        <w:ind w:right="140" w:firstLine="420"/>
        <w:spacing w:after="0" w:line="247" w:lineRule="auto"/>
        <w:rPr>
          <w:sz w:val="20"/>
          <w:szCs w:val="20"/>
          <w:color w:val="auto"/>
        </w:rPr>
      </w:pPr>
      <w:r>
        <w:rPr>
          <w:rFonts w:ascii="Arial" w:cs="Arial" w:eastAsia="Arial" w:hAnsi="Arial"/>
          <w:sz w:val="16"/>
          <w:szCs w:val="16"/>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The following documents are incorporated by reference into this prospectus:</w:t>
      </w:r>
    </w:p>
    <w:p>
      <w:pPr>
        <w:spacing w:after="0" w:line="167" w:lineRule="exact"/>
        <w:rPr>
          <w:sz w:val="20"/>
          <w:szCs w:val="20"/>
          <w:color w:val="auto"/>
        </w:rPr>
      </w:pPr>
    </w:p>
    <w:p>
      <w:pPr>
        <w:ind w:left="860" w:hanging="39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2019, as filed with the SEC on March 30, 2020;</w:t>
      </w:r>
    </w:p>
    <w:p>
      <w:pPr>
        <w:spacing w:after="0" w:line="55" w:lineRule="exact"/>
        <w:rPr>
          <w:rFonts w:ascii="Arial" w:cs="Arial" w:eastAsia="Arial" w:hAnsi="Arial"/>
          <w:sz w:val="18"/>
          <w:szCs w:val="18"/>
          <w:color w:val="auto"/>
        </w:rPr>
      </w:pPr>
    </w:p>
    <w:p>
      <w:pPr>
        <w:ind w:left="860" w:hanging="39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2020, as filed with the SEC on May 20, 2020;</w:t>
      </w:r>
    </w:p>
    <w:p>
      <w:pPr>
        <w:spacing w:after="0" w:line="55" w:lineRule="exact"/>
        <w:rPr>
          <w:rFonts w:ascii="Arial" w:cs="Arial" w:eastAsia="Arial" w:hAnsi="Arial"/>
          <w:sz w:val="18"/>
          <w:szCs w:val="18"/>
          <w:color w:val="auto"/>
        </w:rPr>
      </w:pPr>
    </w:p>
    <w:p>
      <w:pPr>
        <w:ind w:left="860" w:hanging="395"/>
        <w:spacing w:after="0"/>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Current Reports on Form 8-K, as filed with the SEC on January 2, 2020 (Item 5.07) and February 3, 2020 (Items 1.01 and 9.01);</w:t>
      </w:r>
    </w:p>
    <w:p>
      <w:pPr>
        <w:spacing w:after="0" w:line="78" w:lineRule="exact"/>
        <w:rPr>
          <w:rFonts w:ascii="Arial" w:cs="Arial" w:eastAsia="Arial" w:hAnsi="Arial"/>
          <w:sz w:val="16"/>
          <w:szCs w:val="16"/>
          <w:color w:val="auto"/>
        </w:rPr>
      </w:pPr>
    </w:p>
    <w:p>
      <w:pPr>
        <w:ind w:left="860" w:hanging="39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filed with the SEC on December 11, 2019; and</w:t>
      </w:r>
    </w:p>
    <w:p>
      <w:pPr>
        <w:spacing w:after="0" w:line="55" w:lineRule="exact"/>
        <w:rPr>
          <w:rFonts w:ascii="Arial" w:cs="Arial" w:eastAsia="Arial" w:hAnsi="Arial"/>
          <w:sz w:val="18"/>
          <w:szCs w:val="18"/>
          <w:color w:val="auto"/>
        </w:rPr>
      </w:pPr>
    </w:p>
    <w:p>
      <w:pPr>
        <w:ind w:left="860" w:hanging="395"/>
        <w:spacing w:after="0"/>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definitive proxy statement on Schedule 14A as filed with the SEC on September 24, 2018.</w:t>
      </w:r>
    </w:p>
    <w:p>
      <w:pPr>
        <w:spacing w:after="0" w:line="236" w:lineRule="exact"/>
        <w:rPr>
          <w:sz w:val="20"/>
          <w:szCs w:val="20"/>
          <w:color w:val="auto"/>
        </w:rPr>
      </w:pPr>
    </w:p>
    <w:p>
      <w:pPr>
        <w:ind w:right="180" w:firstLine="420"/>
        <w:spacing w:after="0" w:line="233" w:lineRule="auto"/>
        <w:rPr>
          <w:sz w:val="20"/>
          <w:szCs w:val="20"/>
          <w:color w:val="auto"/>
        </w:rPr>
      </w:pPr>
      <w:r>
        <w:rPr>
          <w:rFonts w:ascii="Arial" w:cs="Arial" w:eastAsia="Arial" w:hAnsi="Arial"/>
          <w:sz w:val="16"/>
          <w:szCs w:val="16"/>
          <w:color w:val="auto"/>
        </w:rPr>
        <w:t>All documents subsequently filed by us (other than current reports furnished under Item 2.02 or Item 7.01 of Form 8-K and exhibits filed on such form that are related to such items unless such Form 8-K expressly provides to the contrary) with the SEC pursuant to Section 13(a), 13(c), 14 or 15(d) of the Securities Exchange Act of 1934, as amended,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are deemed to be incorporated by reference into this prospectus. Such future filings will become a part of this prospectus from the respective dates that such documents are filed with the SEC.</w:t>
      </w:r>
    </w:p>
    <w:p>
      <w:pPr>
        <w:spacing w:after="0" w:line="123" w:lineRule="exact"/>
        <w:rPr>
          <w:sz w:val="20"/>
          <w:szCs w:val="20"/>
          <w:color w:val="auto"/>
        </w:rPr>
      </w:pPr>
    </w:p>
    <w:p>
      <w:pPr>
        <w:ind w:right="280" w:firstLine="420"/>
        <w:spacing w:after="0" w:line="212"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hereof to the extent that such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613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331" w:right="379" w:bottom="1440" w:gutter="0" w:footer="0" w:header="0"/>
        </w:sectPr>
      </w:pPr>
    </w:p>
    <w:bookmarkStart w:id="5" w:name="page6"/>
    <w:bookmarkEnd w:id="5"/>
    <w:p>
      <w:pPr>
        <w:ind w:right="200" w:firstLine="420"/>
        <w:spacing w:after="0" w:line="239" w:lineRule="auto"/>
        <w:rPr>
          <w:sz w:val="20"/>
          <w:szCs w:val="20"/>
          <w:color w:val="auto"/>
        </w:rPr>
      </w:pPr>
      <w:r>
        <w:rPr>
          <w:rFonts w:ascii="Arial" w:cs="Arial" w:eastAsia="Arial" w:hAnsi="Arial"/>
          <w:sz w:val="16"/>
          <w:szCs w:val="16"/>
          <w:color w:val="auto"/>
        </w:rPr>
        <w:t xml:space="preserve">The documents incorporated by reference into this prospectus are also available on our corporate website at </w:t>
      </w:r>
      <w:r>
        <w:rPr>
          <w:rFonts w:ascii="Arial" w:cs="Arial" w:eastAsia="Arial" w:hAnsi="Arial"/>
          <w:sz w:val="16"/>
          <w:szCs w:val="16"/>
          <w:i w:val="1"/>
          <w:iCs w:val="1"/>
          <w:color w:val="auto"/>
        </w:rPr>
        <w:t>http://www.clearone.com</w:t>
      </w:r>
      <w:r>
        <w:rPr>
          <w:rFonts w:ascii="Arial" w:cs="Arial" w:eastAsia="Arial" w:hAnsi="Arial"/>
          <w:sz w:val="16"/>
          <w:szCs w:val="16"/>
          <w:color w:val="auto"/>
        </w:rPr>
        <w:t xml:space="preserve"> under the heading "Investor Relations." Information contained on, or that can be accessed through, our website is not part of this prospectus, and you should not consider information on our website to be part of this report unless specifically incorporated herein by reference You may obtain copies of any or all of the documents incorporated by reference in this prospectus from us free of charge by requesting them in writing or by telephone at the following address: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ClearOne, Inc.</w:t>
      </w:r>
    </w:p>
    <w:p>
      <w:pPr>
        <w:jc w:val="center"/>
        <w:spacing w:after="0" w:line="197" w:lineRule="auto"/>
        <w:rPr>
          <w:sz w:val="20"/>
          <w:szCs w:val="20"/>
          <w:color w:val="auto"/>
        </w:rPr>
      </w:pPr>
      <w:r>
        <w:rPr>
          <w:rFonts w:ascii="Arial" w:cs="Arial" w:eastAsia="Arial" w:hAnsi="Arial"/>
          <w:sz w:val="18"/>
          <w:szCs w:val="18"/>
          <w:color w:val="auto"/>
        </w:rPr>
        <w:t>5225 Wiley Post Way, Suite 500</w:t>
      </w:r>
    </w:p>
    <w:p>
      <w:pPr>
        <w:jc w:val="center"/>
        <w:spacing w:after="0" w:line="198" w:lineRule="auto"/>
        <w:rPr>
          <w:sz w:val="20"/>
          <w:szCs w:val="20"/>
          <w:color w:val="auto"/>
        </w:rPr>
      </w:pPr>
      <w:r>
        <w:rPr>
          <w:rFonts w:ascii="Arial" w:cs="Arial" w:eastAsia="Arial" w:hAnsi="Arial"/>
          <w:sz w:val="18"/>
          <w:szCs w:val="18"/>
          <w:color w:val="auto"/>
        </w:rPr>
        <w:t>Salt Lake City, UT 84116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(801-975-7200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COMPANY</w:t>
      </w:r>
    </w:p>
    <w:p>
      <w:pPr>
        <w:spacing w:after="0" w:line="140" w:lineRule="exact"/>
        <w:rPr>
          <w:sz w:val="20"/>
          <w:szCs w:val="20"/>
          <w:color w:val="auto"/>
        </w:rPr>
      </w:pPr>
    </w:p>
    <w:p>
      <w:pPr>
        <w:jc w:val="both"/>
        <w:ind w:firstLine="420"/>
        <w:spacing w:after="0" w:line="272" w:lineRule="auto"/>
        <w:rPr>
          <w:sz w:val="20"/>
          <w:szCs w:val="20"/>
          <w:color w:val="auto"/>
        </w:rPr>
      </w:pPr>
      <w:r>
        <w:rPr>
          <w:rFonts w:ascii="Arial" w:cs="Arial" w:eastAsia="Arial" w:hAnsi="Arial"/>
          <w:sz w:val="16"/>
          <w:szCs w:val="16"/>
          <w:color w:val="auto"/>
        </w:rPr>
        <w:t>We were incorporated in Utah in 1983 and reincorporated in Delaware on October 25, 2018. The Company is headquartered in Salt Lake City, Utah. The Company has other locations in Gainesville, Florida; Austin, Texas; Zaragoza, Spain; Chennai, India; and Dubai, United Arab Emirates.</w:t>
      </w:r>
    </w:p>
    <w:p>
      <w:pPr>
        <w:spacing w:after="0" w:line="95" w:lineRule="exact"/>
        <w:rPr>
          <w:sz w:val="20"/>
          <w:szCs w:val="20"/>
          <w:color w:val="auto"/>
        </w:rPr>
      </w:pPr>
    </w:p>
    <w:p>
      <w:pPr>
        <w:jc w:val="both"/>
        <w:ind w:firstLine="420"/>
        <w:spacing w:after="0" w:line="217" w:lineRule="auto"/>
        <w:rPr>
          <w:sz w:val="20"/>
          <w:szCs w:val="20"/>
          <w:color w:val="auto"/>
        </w:rPr>
      </w:pPr>
      <w:r>
        <w:rPr>
          <w:rFonts w:ascii="Arial" w:cs="Arial" w:eastAsia="Arial" w:hAnsi="Arial"/>
          <w:sz w:val="18"/>
          <w:szCs w:val="18"/>
          <w:color w:val="auto"/>
        </w:rPr>
        <w:t>We have been a global market leader enabling conferencing, collaboration, and network streaming solutions. We design, develop and sell conferencing, collaboration and network streaming solutions for voice and visual communications. The performance and simplicity of our advanced comprehensive solutions offer unprecedented levels of functionality, reliability and scalability.</w:t>
      </w:r>
    </w:p>
    <w:p>
      <w:pPr>
        <w:spacing w:after="0" w:line="121" w:lineRule="exact"/>
        <w:rPr>
          <w:sz w:val="20"/>
          <w:szCs w:val="20"/>
          <w:color w:val="auto"/>
        </w:rPr>
      </w:pPr>
    </w:p>
    <w:p>
      <w:pPr>
        <w:jc w:val="both"/>
        <w:ind w:firstLine="420"/>
        <w:spacing w:after="0" w:line="217" w:lineRule="auto"/>
        <w:rPr>
          <w:sz w:val="20"/>
          <w:szCs w:val="20"/>
          <w:color w:val="auto"/>
        </w:rPr>
      </w:pPr>
      <w:r>
        <w:rPr>
          <w:rFonts w:ascii="Arial" w:cs="Arial" w:eastAsia="Arial" w:hAnsi="Arial"/>
          <w:sz w:val="18"/>
          <w:szCs w:val="18"/>
          <w:color w:val="auto"/>
        </w:rPr>
        <w:t>Our comprehensive line of high-quality conferencing and collaboration products are targeted for large, medium and small businesses, as well as for personal use. We have been a global market leader in the installed professional audio conferencing market, where our products are used in numerous industries such as enterprise, healthcare, education, government, legal and finance.</w:t>
      </w:r>
    </w:p>
    <w:p>
      <w:pPr>
        <w:spacing w:after="0" w:line="121" w:lineRule="exact"/>
        <w:rPr>
          <w:sz w:val="20"/>
          <w:szCs w:val="20"/>
          <w:color w:val="auto"/>
        </w:rPr>
      </w:pPr>
    </w:p>
    <w:p>
      <w:pPr>
        <w:jc w:val="both"/>
        <w:ind w:firstLine="420"/>
        <w:spacing w:after="0" w:line="232" w:lineRule="auto"/>
        <w:rPr>
          <w:sz w:val="20"/>
          <w:szCs w:val="20"/>
          <w:color w:val="auto"/>
        </w:rPr>
      </w:pPr>
      <w:r>
        <w:rPr>
          <w:rFonts w:ascii="Arial" w:cs="Arial" w:eastAsia="Arial" w:hAnsi="Arial"/>
          <w:sz w:val="16"/>
          <w:szCs w:val="16"/>
          <w:color w:val="auto"/>
        </w:rPr>
        <w:t>We have an established history of product innovation and plan to continue to apply our expertise in audio, video and networked AV to design,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through a global network of independent distributors who, in turn, sell our products to dealers, systems integrators and other value-added resellers. We also sell directly to dealers, systems integrators and other value-added resellers. Our solutions save end-users time and money by creating a natural environment for collaboration and communication. Our partners, who are involved in system integration are benefitted with simpler project design and support costs with our products designed and built to work with each other seamlessly.</w:t>
      </w:r>
    </w:p>
    <w:p>
      <w:pPr>
        <w:spacing w:after="0" w:line="120" w:lineRule="exact"/>
        <w:rPr>
          <w:sz w:val="20"/>
          <w:szCs w:val="20"/>
          <w:color w:val="auto"/>
        </w:rPr>
      </w:pPr>
    </w:p>
    <w:p>
      <w:pPr>
        <w:jc w:val="both"/>
        <w:ind w:firstLine="420"/>
        <w:spacing w:after="0" w:line="227" w:lineRule="auto"/>
        <w:rPr>
          <w:sz w:val="20"/>
          <w:szCs w:val="20"/>
          <w:color w:val="auto"/>
        </w:rPr>
      </w:pPr>
      <w:r>
        <w:rPr>
          <w:rFonts w:ascii="Arial" w:cs="Arial" w:eastAsia="Arial" w:hAnsi="Arial"/>
          <w:sz w:val="18"/>
          <w:szCs w:val="18"/>
          <w:color w:val="auto"/>
        </w:rPr>
        <w:t>Additional information about the Company can be found in our periodic and current reports that we file with the SEC. See “Where You Can Find More Information” and “Incorporation of Certain Information By Reference.”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0" w:lineRule="exact"/>
        <w:rPr>
          <w:sz w:val="20"/>
          <w:szCs w:val="20"/>
          <w:color w:val="auto"/>
        </w:rPr>
      </w:pPr>
    </w:p>
    <w:p>
      <w:pPr>
        <w:ind w:right="120" w:firstLine="420"/>
        <w:spacing w:after="0" w:line="212" w:lineRule="auto"/>
        <w:rPr>
          <w:sz w:val="20"/>
          <w:szCs w:val="20"/>
          <w:color w:val="auto"/>
        </w:rPr>
      </w:pPr>
      <w:r>
        <w:rPr>
          <w:rFonts w:ascii="Arial" w:cs="Arial" w:eastAsia="Arial" w:hAnsi="Arial"/>
          <w:sz w:val="18"/>
          <w:szCs w:val="18"/>
          <w:color w:val="auto"/>
        </w:rPr>
        <w:t>An investment in our securities involves risks. We urge you to consider carefully the risks identified under “Item IA. Risk Factors” in our Annual Report on Form 10-K for the year ended December 31, 2019, filed with the SEC on March 30, 2020, which report is incorporated by reference in this prospectus, as such information may be amended, supplemented or superseded from time to time by other reports that we subsequently file with the SEC as well as the additional risk factor set forth below.</w:t>
      </w:r>
    </w:p>
    <w:p>
      <w:pPr>
        <w:spacing w:after="0" w:line="122" w:lineRule="exact"/>
        <w:rPr>
          <w:sz w:val="20"/>
          <w:szCs w:val="20"/>
          <w:color w:val="auto"/>
        </w:rPr>
      </w:pPr>
    </w:p>
    <w:p>
      <w:pPr>
        <w:ind w:right="220" w:firstLine="420"/>
        <w:spacing w:after="0" w:line="217" w:lineRule="auto"/>
        <w:rPr>
          <w:sz w:val="20"/>
          <w:szCs w:val="20"/>
          <w:color w:val="auto"/>
        </w:rPr>
      </w:pPr>
      <w:r>
        <w:rPr>
          <w:rFonts w:ascii="Arial" w:cs="Arial" w:eastAsia="Arial" w:hAnsi="Arial"/>
          <w:sz w:val="18"/>
          <w:szCs w:val="18"/>
          <w:color w:val="auto"/>
        </w:rPr>
        <w:t>Our certification of incorporation designates the Court of Chancery in the State of Delaware as the sole and exclusive forum for certain actions or proceedings that may be initiated by our stockholders, which could discourage claims or limit shareholders’ ability to make a claim against the Company, our directors, officers, and employees.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613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firstLine="420"/>
        <w:spacing w:after="0" w:line="230" w:lineRule="auto"/>
        <w:rPr>
          <w:sz w:val="20"/>
          <w:szCs w:val="20"/>
          <w:color w:val="auto"/>
        </w:rPr>
      </w:pPr>
      <w:r>
        <w:rPr>
          <w:rFonts w:ascii="Arial" w:cs="Arial" w:eastAsia="Arial" w:hAnsi="Arial"/>
          <w:sz w:val="16"/>
          <w:szCs w:val="16"/>
          <w:color w:val="auto"/>
        </w:rPr>
        <w:t>Our certificate of incorporation states that unless we consent in writing to the selection of an alternative forum, the Court of Chancery in the State of Delaware shall be the sole and exclusive forum for any stockholder to bring (i) any derivative action or proceeding brought on behalf of the Company, (ii) any action asserting a claim for breach of a fiduciary duty owed by any director, officer, employee or agent of the Company to the Company or the Company's shareholders, (iii) any action asserting a claim arising pursuant to any provision of the Delaware General Corporation Law, our certificate of incorporation or our bylaws or (iv) any action asserting a claim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p>
      <w:pPr>
        <w:spacing w:after="0" w:line="125" w:lineRule="exact"/>
        <w:rPr>
          <w:sz w:val="20"/>
          <w:szCs w:val="20"/>
          <w:color w:val="auto"/>
        </w:rPr>
      </w:pPr>
    </w:p>
    <w:p>
      <w:pPr>
        <w:ind w:right="120" w:firstLine="420"/>
        <w:spacing w:after="0" w:line="239" w:lineRule="auto"/>
        <w:rPr>
          <w:sz w:val="20"/>
          <w:szCs w:val="20"/>
          <w:color w:val="auto"/>
        </w:rPr>
      </w:pPr>
      <w:r>
        <w:rPr>
          <w:rFonts w:ascii="Arial" w:cs="Arial" w:eastAsia="Arial" w:hAnsi="Arial"/>
          <w:sz w:val="16"/>
          <w:szCs w:val="16"/>
          <w:color w:val="auto"/>
        </w:rPr>
        <w:t>These exclusive forum provisions do not apply to claims under the Securities Act or the Exchange Act. The exclusive forum provision may discourage claims or limit stockholders’ ability to submit claims in a judicial forum that they find favorable and may create additional costs as a result. If a court were to determine the exclusive forum provision to be inapplicable and unenforceable in an action, we may incur additional costs in conjunction with our efforts to resolve the dispute in an alternative jurisdiction, which could have a negative impact on our results of operations.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40" w:lineRule="exact"/>
        <w:rPr>
          <w:sz w:val="20"/>
          <w:szCs w:val="20"/>
          <w:color w:val="auto"/>
        </w:rPr>
      </w:pPr>
    </w:p>
    <w:p>
      <w:pPr>
        <w:ind w:right="220" w:firstLine="420"/>
        <w:spacing w:after="0" w:line="272" w:lineRule="auto"/>
        <w:rPr>
          <w:sz w:val="20"/>
          <w:szCs w:val="20"/>
          <w:color w:val="auto"/>
        </w:rPr>
      </w:pPr>
      <w:r>
        <w:rPr>
          <w:rFonts w:ascii="Arial" w:cs="Arial" w:eastAsia="Arial" w:hAnsi="Arial"/>
          <w:sz w:val="16"/>
          <w:szCs w:val="16"/>
          <w:color w:val="auto"/>
        </w:rPr>
        <w:t>We will not receive any cash proceeds from the sale of shares of our common stock by the selling stockholder pursuant to this prospectus. The selling stockholder will bear any underwriting commissions and discounts attributable to its sale of shares of our common stock.</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20"/>
          </w:cols>
          <w:pgMar w:left="320" w:top="1099" w:right="459" w:bottom="1440" w:gutter="0" w:footer="0" w:header="0"/>
        </w:sectPr>
      </w:pPr>
    </w:p>
    <w:bookmarkStart w:id="7" w:name="page8"/>
    <w:bookmarkEnd w:id="7"/>
    <w:p>
      <w:pPr>
        <w:spacing w:after="0" w:line="203" w:lineRule="auto"/>
        <w:framePr w:w="540" w:h="156" w:wrap="auto" w:vAnchor="page" w:hAnchor="page" w:x="10300" w:y="6575"/>
        <w:rPr>
          <w:rFonts w:ascii="Arial" w:cs="Arial" w:eastAsia="Arial" w:hAnsi="Arial"/>
          <w:sz w:val="16"/>
          <w:szCs w:val="16"/>
          <w:color w:val="auto"/>
        </w:rPr>
      </w:pPr>
      <w:r>
        <w:rPr>
          <w:rFonts w:ascii="Arial" w:cs="Arial" w:eastAsia="Arial" w:hAnsi="Arial"/>
          <w:sz w:val="16"/>
          <w:szCs w:val="16"/>
          <w:color w:val="auto"/>
        </w:rPr>
        <w:t>50.0%</w:t>
      </w:r>
    </w:p>
    <w:p>
      <w:pPr>
        <w:spacing w:after="0" w:line="185" w:lineRule="auto"/>
        <w:framePr w:w="1120" w:h="196" w:wrap="auto" w:vAnchor="page" w:hAnchor="page" w:x="10100" w:y="6338"/>
        <w:rPr>
          <w:rFonts w:ascii="Arial" w:cs="Arial" w:eastAsia="Arial" w:hAnsi="Arial"/>
          <w:sz w:val="12"/>
          <w:szCs w:val="12"/>
          <w:color w:val="auto"/>
        </w:rPr>
      </w:pPr>
      <w:r>
        <w:rPr>
          <w:rFonts w:ascii="Arial" w:cs="Arial" w:eastAsia="Arial" w:hAnsi="Arial"/>
          <w:sz w:val="12"/>
          <w:szCs w:val="12"/>
          <w:color w:val="auto"/>
        </w:rPr>
        <w:t>Common Stock</w:t>
      </w:r>
      <w:r>
        <w:rPr>
          <w:rFonts w:ascii="Arial" w:cs="Arial" w:eastAsia="Arial" w:hAnsi="Arial"/>
          <w:sz w:val="18"/>
          <w:szCs w:val="18"/>
          <w:color w:val="auto"/>
          <w:vertAlign w:val="superscript"/>
        </w:rPr>
        <w:t>(</w:t>
      </w:r>
      <w:r>
        <w:rPr>
          <w:rFonts w:ascii="Arial" w:cs="Arial" w:eastAsia="Arial" w:hAnsi="Arial"/>
          <w:sz w:val="22"/>
          <w:szCs w:val="22"/>
          <w:color w:val="auto"/>
          <w:vertAlign w:val="superscript"/>
        </w:rPr>
        <w:t>2)</w:t>
      </w:r>
    </w:p>
    <w:p>
      <w:pPr>
        <w:spacing w:after="0" w:line="216" w:lineRule="auto"/>
        <w:framePr w:w="840" w:h="125" w:wrap="auto" w:vAnchor="page" w:hAnchor="page" w:x="10240" w:y="6199"/>
        <w:rPr>
          <w:rFonts w:ascii="Arial" w:cs="Arial" w:eastAsia="Arial" w:hAnsi="Arial"/>
          <w:sz w:val="12"/>
          <w:szCs w:val="12"/>
          <w:color w:val="auto"/>
        </w:rPr>
      </w:pPr>
      <w:r>
        <w:rPr>
          <w:rFonts w:ascii="Arial" w:cs="Arial" w:eastAsia="Arial" w:hAnsi="Arial"/>
          <w:sz w:val="12"/>
          <w:szCs w:val="12"/>
          <w:color w:val="auto"/>
        </w:rPr>
        <w:t>Percentage of</w:t>
      </w:r>
    </w:p>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140" w:lineRule="exact"/>
        <w:rPr>
          <w:rFonts w:ascii="Arial" w:cs="Arial" w:eastAsia="Arial" w:hAnsi="Arial"/>
          <w:sz w:val="12"/>
          <w:szCs w:val="12"/>
          <w:color w:val="auto"/>
        </w:rPr>
      </w:pPr>
    </w:p>
    <w:p>
      <w:pPr>
        <w:ind w:right="100" w:firstLine="420"/>
        <w:spacing w:after="0" w:line="212" w:lineRule="auto"/>
        <w:rPr>
          <w:sz w:val="20"/>
          <w:szCs w:val="20"/>
          <w:color w:val="auto"/>
        </w:rPr>
      </w:pPr>
      <w:r>
        <w:rPr>
          <w:rFonts w:ascii="Arial" w:cs="Arial" w:eastAsia="Arial" w:hAnsi="Arial"/>
          <w:sz w:val="18"/>
          <w:szCs w:val="18"/>
          <w:color w:val="auto"/>
        </w:rPr>
        <w:t>On December 8, 2019, the Company and certain of its subsidiary guarantors (the “Guarantors”) entered into a Note Purchase Agreement with Edward D. Bagley (the “Note Purchase Agreement”) pursuant to which Mr. Bagley has agreed to purchase $3,000,000 of secured convertible notes of the Company (the “Notes”) and warrants (the “Warrants”) to purchase 340,909 shares (the “Warrant Shares”) of common stock, par value $0.001 per share, of the Company (the “Common Stock”) in a private placement transaction (the “Offering”).</w:t>
      </w:r>
    </w:p>
    <w:p>
      <w:pPr>
        <w:spacing w:after="0" w:line="122" w:lineRule="exact"/>
        <w:rPr>
          <w:rFonts w:ascii="Arial" w:cs="Arial" w:eastAsia="Arial" w:hAnsi="Arial"/>
          <w:sz w:val="12"/>
          <w:szCs w:val="12"/>
          <w:color w:val="auto"/>
        </w:rPr>
      </w:pPr>
    </w:p>
    <w:p>
      <w:pPr>
        <w:ind w:right="80" w:firstLine="420"/>
        <w:spacing w:after="0" w:line="228" w:lineRule="auto"/>
        <w:rPr>
          <w:sz w:val="20"/>
          <w:szCs w:val="20"/>
          <w:color w:val="auto"/>
        </w:rPr>
      </w:pPr>
      <w:r>
        <w:rPr>
          <w:rFonts w:ascii="Arial" w:cs="Arial" w:eastAsia="Arial" w:hAnsi="Arial"/>
          <w:sz w:val="16"/>
          <w:szCs w:val="16"/>
          <w:color w:val="auto"/>
        </w:rPr>
        <w:t>On December 17, 2019, the Company completed the issuance and sale of the Notes to Mr. Bagley in the aggregate principal amount of $3,000,000 and issued the Warrants to Mr. Bagley. The Notes were issued with original issuer discount of 1.5%, or $45,000, for aggregate consideration of $2,955,000. The Notes will mature on December 17, 2023 (the “Maturity Date”) and will earn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Stock(the “Conversion Shares”)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the one year anniversary of the date of issuance of the Notes upon payment of the outstanding principal balance of the Notes and any unpaid and accrued interest. The Company also is required to redeem the Notes upon the occurrence of a change in control of the Company.</w:t>
      </w:r>
    </w:p>
    <w:p>
      <w:pPr>
        <w:spacing w:after="0" w:line="125" w:lineRule="exact"/>
        <w:rPr>
          <w:rFonts w:ascii="Arial" w:cs="Arial" w:eastAsia="Arial" w:hAnsi="Arial"/>
          <w:sz w:val="12"/>
          <w:szCs w:val="12"/>
          <w:color w:val="auto"/>
        </w:rPr>
      </w:pPr>
    </w:p>
    <w:p>
      <w:pPr>
        <w:ind w:firstLine="420"/>
        <w:spacing w:after="0" w:line="239" w:lineRule="auto"/>
        <w:rPr>
          <w:sz w:val="20"/>
          <w:szCs w:val="20"/>
          <w:color w:val="auto"/>
        </w:rPr>
      </w:pPr>
      <w:r>
        <w:rPr>
          <w:rFonts w:ascii="Arial" w:cs="Arial" w:eastAsia="Arial" w:hAnsi="Arial"/>
          <w:sz w:val="16"/>
          <w:szCs w:val="16"/>
          <w:color w:val="auto"/>
        </w:rPr>
        <w:t>The Warrants have an initial exercise price equal to $1.76, the closing price of the Common Stock on December 6, 2019 as reported on the Nasdaq Capital Market, and will be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120" w:lineRule="exact"/>
        <w:rPr>
          <w:rFonts w:ascii="Arial" w:cs="Arial" w:eastAsia="Arial" w:hAnsi="Arial"/>
          <w:sz w:val="12"/>
          <w:szCs w:val="12"/>
          <w:color w:val="auto"/>
        </w:rPr>
      </w:pPr>
    </w:p>
    <w:p>
      <w:pPr>
        <w:ind w:right="20" w:firstLine="420"/>
        <w:spacing w:after="0" w:line="207" w:lineRule="auto"/>
        <w:rPr>
          <w:sz w:val="20"/>
          <w:szCs w:val="20"/>
          <w:color w:val="auto"/>
        </w:rPr>
      </w:pPr>
      <w:r>
        <w:rPr>
          <w:rFonts w:ascii="Arial" w:cs="Arial" w:eastAsia="Arial" w:hAnsi="Arial"/>
          <w:sz w:val="18"/>
          <w:szCs w:val="18"/>
          <w:color w:val="auto"/>
        </w:rPr>
        <w:t>This prospectus registers the resale by Mr. Bagley of the Conversion Shares and Warrant Shares that may be issued to him from time to time upon his conversion of Notes or exercise of Warrants, respectively. Mr. Bagley is an affiliate of the Company and he may be deemed to be an underwriter with respect to the securities offered by this prospectus as such term is defined in Section 2(a)(11) of the Securities Act. The table below describes the selling stockholder’s beneficial ownership of our common stock (i) as of May 29, 2020, and (ii) assuming the selling stockholder has converted all of the Notes and exercised all of the Warrants to purchase shares of our common stock and resold all such shares of common stock pursuant to this prospectus. The selling stockholder may sell some, all or none of its shares in this offering.</w:t>
      </w:r>
    </w:p>
    <w:p>
      <w:pPr>
        <w:sectPr>
          <w:pgSz w:w="11900" w:h="16838" w:orient="portrait"/>
          <w:cols w:equalWidth="0" w:num="1">
            <w:col w:w="11240"/>
          </w:cols>
          <w:pgMar w:left="320" w:top="489" w:right="339" w:bottom="1440" w:gutter="0" w:footer="0" w:header="0"/>
        </w:sectPr>
      </w:pPr>
    </w:p>
    <w:p>
      <w:pPr>
        <w:spacing w:after="0" w:line="219" w:lineRule="exact"/>
        <w:rPr>
          <w:rFonts w:ascii="Arial" w:cs="Arial" w:eastAsia="Arial" w:hAnsi="Arial"/>
          <w:sz w:val="12"/>
          <w:szCs w:val="12"/>
          <w:color w:val="auto"/>
        </w:rPr>
      </w:pPr>
    </w:p>
    <w:tbl>
      <w:tblPr>
        <w:tblLayout w:type="fixed"/>
        <w:tblInd w:w="0" w:type="dxa"/>
        <w:tblCellMar>
          <w:top w:w="0" w:type="dxa"/>
          <w:left w:w="0" w:type="dxa"/>
          <w:bottom w:w="0" w:type="dxa"/>
          <w:right w:w="0" w:type="dxa"/>
        </w:tblCellMar>
      </w:tblPr>
      <w:tr>
        <w:trPr>
          <w:trHeight w:val="292"/>
        </w:trPr>
        <w:tc>
          <w:tcPr>
            <w:tcW w:w="2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40" w:type="dxa"/>
            <w:vAlign w:val="bottom"/>
            <w:gridSpan w:val="3"/>
          </w:tcPr>
          <w:p>
            <w:pPr>
              <w:jc w:val="right"/>
              <w:ind w:right="668"/>
              <w:spacing w:after="0"/>
              <w:rPr>
                <w:sz w:val="20"/>
                <w:szCs w:val="20"/>
                <w:color w:val="auto"/>
              </w:rPr>
            </w:pPr>
            <w:r>
              <w:rPr>
                <w:rFonts w:ascii="Arial" w:cs="Arial" w:eastAsia="Arial" w:hAnsi="Arial"/>
                <w:sz w:val="14"/>
                <w:szCs w:val="14"/>
                <w:b w:val="1"/>
                <w:bCs w:val="1"/>
                <w:i w:val="1"/>
                <w:iCs w:val="1"/>
                <w:color w:val="auto"/>
              </w:rPr>
              <w:t xml:space="preserve">Beneficial Ownership Prior to this Offering </w:t>
            </w:r>
            <w:r>
              <w:rPr>
                <w:rFonts w:ascii="Arial" w:cs="Arial" w:eastAsia="Arial" w:hAnsi="Arial"/>
                <w:sz w:val="23"/>
                <w:szCs w:val="23"/>
                <w:b w:val="1"/>
                <w:bCs w:val="1"/>
                <w:i w:val="1"/>
                <w:iCs w:val="1"/>
                <w:color w:val="auto"/>
                <w:vertAlign w:val="superscript"/>
              </w:rPr>
              <w:t>(1)</w:t>
            </w:r>
          </w:p>
        </w:tc>
      </w:tr>
      <w:tr>
        <w:trPr>
          <w:trHeight w:val="176"/>
        </w:trPr>
        <w:tc>
          <w:tcPr>
            <w:tcW w:w="2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20" w:type="dxa"/>
            <w:vAlign w:val="bottom"/>
            <w:gridSpan w:val="2"/>
          </w:tcPr>
          <w:p>
            <w:pPr>
              <w:jc w:val="center"/>
              <w:ind w:right="520"/>
              <w:spacing w:after="0"/>
              <w:rPr>
                <w:sz w:val="20"/>
                <w:szCs w:val="20"/>
                <w:color w:val="auto"/>
              </w:rPr>
            </w:pPr>
            <w:r>
              <w:rPr>
                <w:rFonts w:ascii="Arial" w:cs="Arial" w:eastAsia="Arial" w:hAnsi="Arial"/>
                <w:sz w:val="14"/>
                <w:szCs w:val="14"/>
                <w:color w:val="auto"/>
                <w:w w:val="91"/>
              </w:rPr>
              <w:t>Number of Shares of Common</w:t>
            </w:r>
          </w:p>
        </w:tc>
        <w:tc>
          <w:tcPr>
            <w:tcW w:w="1520" w:type="dxa"/>
            <w:vAlign w:val="bottom"/>
          </w:tcPr>
          <w:p>
            <w:pPr>
              <w:jc w:val="center"/>
              <w:spacing w:after="0"/>
              <w:rPr>
                <w:sz w:val="20"/>
                <w:szCs w:val="20"/>
                <w:color w:val="auto"/>
              </w:rPr>
            </w:pPr>
            <w:r>
              <w:rPr>
                <w:rFonts w:ascii="Arial" w:cs="Arial" w:eastAsia="Arial" w:hAnsi="Arial"/>
                <w:sz w:val="14"/>
                <w:szCs w:val="14"/>
                <w:color w:val="auto"/>
                <w:w w:val="87"/>
              </w:rPr>
              <w:t>Percentage of</w:t>
            </w:r>
          </w:p>
        </w:tc>
      </w:tr>
      <w:tr>
        <w:trPr>
          <w:trHeight w:val="217"/>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Name and Address of Selling Stockholder</w:t>
            </w:r>
          </w:p>
        </w:tc>
        <w:tc>
          <w:tcPr>
            <w:tcW w:w="460" w:type="dxa"/>
            <w:vAlign w:val="bottom"/>
          </w:tcPr>
          <w:p>
            <w:pPr>
              <w:spacing w:after="0"/>
              <w:rPr>
                <w:sz w:val="18"/>
                <w:szCs w:val="18"/>
                <w:color w:val="auto"/>
              </w:rPr>
            </w:pPr>
          </w:p>
        </w:tc>
        <w:tc>
          <w:tcPr>
            <w:tcW w:w="2620" w:type="dxa"/>
            <w:vAlign w:val="bottom"/>
            <w:gridSpan w:val="2"/>
          </w:tcPr>
          <w:p>
            <w:pPr>
              <w:jc w:val="center"/>
              <w:ind w:right="520"/>
              <w:spacing w:after="0" w:line="197" w:lineRule="exact"/>
              <w:rPr>
                <w:sz w:val="20"/>
                <w:szCs w:val="20"/>
                <w:color w:val="auto"/>
              </w:rPr>
            </w:pPr>
            <w:r>
              <w:rPr>
                <w:rFonts w:ascii="Arial" w:cs="Arial" w:eastAsia="Arial" w:hAnsi="Arial"/>
                <w:sz w:val="13"/>
                <w:szCs w:val="13"/>
                <w:color w:val="auto"/>
                <w:w w:val="92"/>
              </w:rPr>
              <w:t xml:space="preserve">Stock </w:t>
            </w:r>
            <w:r>
              <w:rPr>
                <w:rFonts w:ascii="Arial" w:cs="Arial" w:eastAsia="Arial" w:hAnsi="Arial"/>
                <w:sz w:val="22"/>
                <w:szCs w:val="22"/>
                <w:color w:val="auto"/>
                <w:w w:val="92"/>
                <w:vertAlign w:val="superscript"/>
              </w:rPr>
              <w:t>(2)</w:t>
            </w:r>
          </w:p>
        </w:tc>
        <w:tc>
          <w:tcPr>
            <w:tcW w:w="1520" w:type="dxa"/>
            <w:vAlign w:val="bottom"/>
          </w:tcPr>
          <w:p>
            <w:pPr>
              <w:jc w:val="center"/>
              <w:spacing w:after="0" w:line="197" w:lineRule="exact"/>
              <w:rPr>
                <w:sz w:val="20"/>
                <w:szCs w:val="20"/>
                <w:color w:val="auto"/>
              </w:rPr>
            </w:pPr>
            <w:r>
              <w:rPr>
                <w:rFonts w:ascii="Arial" w:cs="Arial" w:eastAsia="Arial" w:hAnsi="Arial"/>
                <w:sz w:val="12"/>
                <w:szCs w:val="12"/>
                <w:color w:val="auto"/>
              </w:rPr>
              <w:t>Common Stock</w:t>
            </w:r>
            <w:r>
              <w:rPr>
                <w:rFonts w:ascii="Arial" w:cs="Arial" w:eastAsia="Arial" w:hAnsi="Arial"/>
                <w:sz w:val="18"/>
                <w:szCs w:val="18"/>
                <w:color w:val="auto"/>
                <w:vertAlign w:val="superscript"/>
              </w:rPr>
              <w:t>(</w:t>
            </w:r>
            <w:r>
              <w:rPr>
                <w:rFonts w:ascii="Arial" w:cs="Arial" w:eastAsia="Arial" w:hAnsi="Arial"/>
                <w:sz w:val="22"/>
                <w:szCs w:val="22"/>
                <w:color w:val="auto"/>
                <w:vertAlign w:val="superscript"/>
              </w:rPr>
              <w:t>2)</w:t>
            </w:r>
          </w:p>
        </w:tc>
      </w:tr>
      <w:tr>
        <w:trPr>
          <w:trHeight w:val="208"/>
        </w:trPr>
        <w:tc>
          <w:tcPr>
            <w:tcW w:w="2560" w:type="dxa"/>
            <w:vAlign w:val="bottom"/>
          </w:tcPr>
          <w:p>
            <w:pPr>
              <w:spacing w:after="0" w:line="202" w:lineRule="exact"/>
              <w:rPr>
                <w:sz w:val="20"/>
                <w:szCs w:val="20"/>
                <w:color w:val="auto"/>
              </w:rPr>
            </w:pPr>
            <w:r>
              <w:rPr>
                <w:rFonts w:ascii="Arial" w:cs="Arial" w:eastAsia="Arial" w:hAnsi="Arial"/>
                <w:sz w:val="18"/>
                <w:szCs w:val="18"/>
                <w:color w:val="auto"/>
              </w:rPr>
              <w:t>Edward D. Bagley</w:t>
            </w:r>
          </w:p>
        </w:tc>
        <w:tc>
          <w:tcPr>
            <w:tcW w:w="460" w:type="dxa"/>
            <w:vAlign w:val="bottom"/>
          </w:tcPr>
          <w:p>
            <w:pPr>
              <w:spacing w:after="0"/>
              <w:rPr>
                <w:sz w:val="18"/>
                <w:szCs w:val="18"/>
                <w:color w:val="auto"/>
              </w:rPr>
            </w:pPr>
          </w:p>
        </w:tc>
        <w:tc>
          <w:tcPr>
            <w:tcW w:w="2100" w:type="dxa"/>
            <w:vAlign w:val="bottom"/>
            <w:tcBorders>
              <w:top w:val="single" w:sz="8" w:color="auto"/>
            </w:tcBorders>
          </w:tcPr>
          <w:p>
            <w:pPr>
              <w:jc w:val="right"/>
              <w:ind w:right="706"/>
              <w:spacing w:after="0"/>
              <w:rPr>
                <w:sz w:val="20"/>
                <w:szCs w:val="20"/>
                <w:color w:val="auto"/>
              </w:rPr>
            </w:pPr>
            <w:r>
              <w:rPr>
                <w:rFonts w:ascii="Arial" w:cs="Arial" w:eastAsia="Arial" w:hAnsi="Arial"/>
                <w:sz w:val="18"/>
                <w:szCs w:val="18"/>
                <w:color w:val="auto"/>
              </w:rPr>
              <w:t>7,438,720</w:t>
            </w:r>
          </w:p>
        </w:tc>
        <w:tc>
          <w:tcPr>
            <w:tcW w:w="520" w:type="dxa"/>
            <w:vAlign w:val="bottom"/>
          </w:tcPr>
          <w:p>
            <w:pPr>
              <w:spacing w:after="0"/>
              <w:rPr>
                <w:sz w:val="18"/>
                <w:szCs w:val="18"/>
                <w:color w:val="auto"/>
              </w:rPr>
            </w:pPr>
          </w:p>
        </w:tc>
        <w:tc>
          <w:tcPr>
            <w:tcW w:w="1520" w:type="dxa"/>
            <w:vAlign w:val="bottom"/>
            <w:tcBorders>
              <w:top w:val="single" w:sz="8" w:color="auto"/>
            </w:tcBorders>
          </w:tcPr>
          <w:p>
            <w:pPr>
              <w:jc w:val="right"/>
              <w:ind w:right="568"/>
              <w:spacing w:after="0"/>
              <w:rPr>
                <w:sz w:val="20"/>
                <w:szCs w:val="20"/>
                <w:color w:val="auto"/>
              </w:rPr>
            </w:pPr>
            <w:r>
              <w:rPr>
                <w:rFonts w:ascii="Arial" w:cs="Arial" w:eastAsia="Arial" w:hAnsi="Arial"/>
                <w:sz w:val="18"/>
                <w:szCs w:val="18"/>
                <w:color w:val="auto"/>
              </w:rPr>
              <w:t>44.9%</w:t>
            </w:r>
          </w:p>
        </w:tc>
      </w:tr>
    </w:tbl>
    <w:p>
      <w:pPr>
        <w:spacing w:after="0" w:line="20" w:lineRule="exact"/>
        <w:rPr>
          <w:rFonts w:ascii="Arial" w:cs="Arial" w:eastAsia="Arial" w:hAnsi="Arial"/>
          <w:sz w:val="12"/>
          <w:szCs w:val="12"/>
          <w:color w:val="auto"/>
        </w:rPr>
      </w:pPr>
      <w:r>
        <w:rPr>
          <w:rFonts w:ascii="Arial" w:cs="Arial" w:eastAsia="Arial" w:hAnsi="Arial"/>
          <w:sz w:val="12"/>
          <w:szCs w:val="12"/>
          <w:color w:val="auto"/>
        </w:rPr>
        <w:br w:type="column"/>
      </w:r>
    </w:p>
    <w:p>
      <w:pPr>
        <w:spacing w:after="0" w:line="168" w:lineRule="exact"/>
        <w:rPr>
          <w:rFonts w:ascii="Arial" w:cs="Arial" w:eastAsia="Arial" w:hAnsi="Arial"/>
          <w:sz w:val="12"/>
          <w:szCs w:val="12"/>
          <w:color w:val="auto"/>
        </w:rPr>
      </w:pPr>
    </w:p>
    <w:p>
      <w:pPr>
        <w:ind w:left="300"/>
        <w:spacing w:after="0"/>
        <w:rPr>
          <w:sz w:val="20"/>
          <w:szCs w:val="20"/>
          <w:color w:val="auto"/>
        </w:rPr>
      </w:pPr>
      <w:r>
        <w:rPr>
          <w:rFonts w:ascii="Arial" w:cs="Arial" w:eastAsia="Arial" w:hAnsi="Arial"/>
          <w:sz w:val="12"/>
          <w:szCs w:val="12"/>
          <w:b w:val="1"/>
          <w:bCs w:val="1"/>
          <w:i w:val="1"/>
          <w:iCs w:val="1"/>
          <w:color w:val="auto"/>
        </w:rPr>
        <w:t xml:space="preserve">Beneficial Ownership After this Offering </w:t>
      </w:r>
      <w:r>
        <w:rPr>
          <w:rFonts w:ascii="Arial" w:cs="Arial" w:eastAsia="Arial" w:hAnsi="Arial"/>
          <w:sz w:val="20"/>
          <w:szCs w:val="20"/>
          <w:b w:val="1"/>
          <w:bCs w:val="1"/>
          <w:i w:val="1"/>
          <w:iCs w:val="1"/>
          <w:color w:val="auto"/>
          <w:vertAlign w:val="superscript"/>
        </w:rPr>
        <w:t>(1)</w:t>
      </w:r>
    </w:p>
    <w:p>
      <w:pPr>
        <w:spacing w:after="0" w:line="215" w:lineRule="auto"/>
        <w:rPr>
          <w:sz w:val="20"/>
          <w:szCs w:val="20"/>
          <w:color w:val="auto"/>
        </w:rPr>
      </w:pPr>
      <w:r>
        <w:rPr>
          <w:rFonts w:ascii="Arial" w:cs="Arial" w:eastAsia="Arial" w:hAnsi="Arial"/>
          <w:sz w:val="14"/>
          <w:szCs w:val="14"/>
          <w:color w:val="auto"/>
        </w:rPr>
        <w:t>Number of Shares of</w:t>
      </w:r>
    </w:p>
    <w:p>
      <w:pPr>
        <w:ind w:left="320"/>
        <w:spacing w:after="0" w:line="227" w:lineRule="auto"/>
        <w:rPr>
          <w:sz w:val="20"/>
          <w:szCs w:val="20"/>
          <w:color w:val="auto"/>
        </w:rPr>
      </w:pPr>
      <w:r>
        <w:rPr>
          <w:rFonts w:ascii="Arial" w:cs="Arial" w:eastAsia="Arial" w:hAnsi="Arial"/>
          <w:sz w:val="14"/>
          <w:szCs w:val="14"/>
          <w:color w:val="auto"/>
        </w:rPr>
        <w:t>Common</w:t>
      </w:r>
    </w:p>
    <w:p>
      <w:pPr>
        <w:ind w:left="340"/>
        <w:spacing w:after="0" w:line="187" w:lineRule="auto"/>
        <w:rPr>
          <w:sz w:val="20"/>
          <w:szCs w:val="20"/>
          <w:color w:val="auto"/>
        </w:rPr>
      </w:pPr>
      <w:r>
        <w:rPr>
          <w:rFonts w:ascii="Arial" w:cs="Arial" w:eastAsia="Arial" w:hAnsi="Arial"/>
          <w:sz w:val="13"/>
          <w:szCs w:val="13"/>
          <w:color w:val="auto"/>
        </w:rPr>
        <w:t xml:space="preserve">Stock </w:t>
      </w:r>
      <w:r>
        <w:rPr>
          <w:rFonts w:ascii="Arial" w:cs="Arial" w:eastAsia="Arial" w:hAnsi="Arial"/>
          <w:sz w:val="22"/>
          <w:szCs w:val="22"/>
          <w:color w:val="auto"/>
          <w:vertAlign w:val="superscript"/>
        </w:rPr>
        <w:t>(2)</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-109855</wp:posOffset>
            </wp:positionH>
            <wp:positionV relativeFrom="paragraph">
              <wp:posOffset>-8255</wp:posOffset>
            </wp:positionV>
            <wp:extent cx="22174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17420" cy="82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9,201,430</w:t>
      </w:r>
    </w:p>
    <w:p>
      <w:pPr>
        <w:spacing w:after="0" w:line="213" w:lineRule="exact"/>
        <w:rPr>
          <w:rFonts w:ascii="Arial" w:cs="Arial" w:eastAsia="Arial" w:hAnsi="Arial"/>
          <w:sz w:val="12"/>
          <w:szCs w:val="12"/>
          <w:color w:val="auto"/>
        </w:rPr>
      </w:pPr>
    </w:p>
    <w:p>
      <w:pPr>
        <w:sectPr>
          <w:pgSz w:w="11900" w:h="16838" w:orient="portrait"/>
          <w:cols w:equalWidth="0" w:num="2">
            <w:col w:w="7160" w:space="620"/>
            <w:col w:w="3460"/>
          </w:cols>
          <w:pgMar w:left="320" w:top="489" w:right="339" w:bottom="1440" w:gutter="0" w:footer="0" w:header="0"/>
          <w:type w:val="continuous"/>
        </w:sectPr>
      </w:pPr>
    </w:p>
    <w:p>
      <w:pPr>
        <w:spacing w:after="0" w:line="143" w:lineRule="exact"/>
        <w:rPr>
          <w:rFonts w:ascii="Arial" w:cs="Arial" w:eastAsia="Arial" w:hAnsi="Arial"/>
          <w:sz w:val="12"/>
          <w:szCs w:val="12"/>
          <w:color w:val="auto"/>
        </w:rPr>
      </w:pPr>
    </w:p>
    <w:p>
      <w:pPr>
        <w:jc w:val="both"/>
        <w:ind w:left="460" w:right="340" w:hanging="455"/>
        <w:spacing w:after="0" w:line="24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Rule 13d-3(d) promulgated by the SEC under the Exchange Act. In calculating the number of shares beneficially owned by the selling stockholder prior to and after this offering, we have based our calculations on 16,650,725 shares of common stock outstanding as of May 29, 2020.</w:t>
      </w:r>
    </w:p>
    <w:p>
      <w:pPr>
        <w:ind w:left="460" w:hanging="455"/>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Assumes the conversion of Notes for Conversion Shares and the exercise of Warrants for Warrant Shares covered by this registration statement.</w:t>
      </w:r>
    </w:p>
    <w:p>
      <w:pPr>
        <w:spacing w:after="0" w:line="251" w:lineRule="exact"/>
        <w:rPr>
          <w:rFonts w:ascii="Arial" w:cs="Arial" w:eastAsia="Arial" w:hAnsi="Arial"/>
          <w:sz w:val="12"/>
          <w:szCs w:val="12"/>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613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type w:val="continuous"/>
        </w:sectPr>
      </w:pPr>
    </w:p>
    <w:bookmarkStart w:id="8" w:name="page9"/>
    <w:bookmarkEnd w:id="8"/>
    <w:p>
      <w:pPr>
        <w:ind w:left="4200"/>
        <w:spacing w:after="0"/>
        <w:rPr>
          <w:sz w:val="20"/>
          <w:szCs w:val="20"/>
          <w:color w:val="auto"/>
        </w:rPr>
      </w:pPr>
      <w:r>
        <w:rPr>
          <w:rFonts w:ascii="Arial" w:cs="Arial" w:eastAsia="Arial" w:hAnsi="Arial"/>
          <w:sz w:val="18"/>
          <w:szCs w:val="18"/>
          <w:b w:val="1"/>
          <w:bCs w:val="1"/>
          <w:color w:val="auto"/>
        </w:rPr>
        <w:t>DESCRIPTION OF OUR COMMON STOCK</w:t>
      </w:r>
    </w:p>
    <w:p>
      <w:pPr>
        <w:spacing w:after="0" w:line="140" w:lineRule="exact"/>
        <w:rPr>
          <w:sz w:val="20"/>
          <w:szCs w:val="20"/>
          <w:color w:val="auto"/>
        </w:rPr>
      </w:pPr>
    </w:p>
    <w:p>
      <w:pPr>
        <w:ind w:right="280" w:firstLine="420"/>
        <w:spacing w:after="0" w:line="217" w:lineRule="auto"/>
        <w:rPr>
          <w:sz w:val="20"/>
          <w:szCs w:val="20"/>
          <w:color w:val="auto"/>
        </w:rPr>
      </w:pPr>
      <w:r>
        <w:rPr>
          <w:rFonts w:ascii="Arial" w:cs="Arial" w:eastAsia="Arial" w:hAnsi="Arial"/>
          <w:sz w:val="18"/>
          <w:szCs w:val="18"/>
          <w:color w:val="auto"/>
        </w:rPr>
        <w:t>The following is only a summary of the terms and conditions applicable to our Common Stock and it not intended to be complete. Our Company is a Delaware corporation and our Common Stock is subject to the provisions of our Certificate of Incorporation ("Certificate of Incorporation") and our Bylaws ("Bylaws").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40" w:lineRule="exact"/>
        <w:rPr>
          <w:sz w:val="20"/>
          <w:szCs w:val="20"/>
          <w:color w:val="auto"/>
        </w:rPr>
      </w:pPr>
    </w:p>
    <w:p>
      <w:pPr>
        <w:ind w:firstLine="420"/>
        <w:spacing w:after="0" w:line="239" w:lineRule="auto"/>
        <w:rPr>
          <w:sz w:val="20"/>
          <w:szCs w:val="20"/>
          <w:color w:val="auto"/>
        </w:rPr>
      </w:pPr>
      <w:r>
        <w:rPr>
          <w:rFonts w:ascii="Arial" w:cs="Arial" w:eastAsia="Arial" w:hAnsi="Arial"/>
          <w:sz w:val="16"/>
          <w:szCs w:val="16"/>
          <w:color w:val="auto"/>
        </w:rPr>
        <w:t>The Company has fifty million (50,000,000) shares of common stock, $0.001 par value per share, authorized by its Certificate of Incorporation. The holders of the common stock of the Company shall be entitled at all meetings of shareholders to one vote for each share of such stock held by them. Cumulative voting is expressly prohibited by the Certificate of Incorporation. With respect to any matter, a quorum shall be present at a meeting of shareholders if the holders of a majority of the shares entitled to vote on that matter are represented at the meeting in person or by proxy.</w:t>
      </w:r>
    </w:p>
    <w:p>
      <w:pPr>
        <w:spacing w:after="0" w:line="120" w:lineRule="exact"/>
        <w:rPr>
          <w:sz w:val="20"/>
          <w:szCs w:val="20"/>
          <w:color w:val="auto"/>
        </w:rPr>
      </w:pPr>
    </w:p>
    <w:p>
      <w:pPr>
        <w:ind w:right="200" w:firstLine="420"/>
        <w:spacing w:after="0" w:line="207" w:lineRule="auto"/>
        <w:rPr>
          <w:sz w:val="20"/>
          <w:szCs w:val="20"/>
          <w:color w:val="auto"/>
        </w:rPr>
      </w:pPr>
      <w:r>
        <w:rPr>
          <w:rFonts w:ascii="Arial" w:cs="Arial" w:eastAsia="Arial" w:hAnsi="Arial"/>
          <w:sz w:val="18"/>
          <w:szCs w:val="18"/>
          <w:color w:val="auto"/>
        </w:rPr>
        <w:t>Shareholders of the Company have no preemptive rights to acquire additional shares of common stock or other securities. The common stock is not subject to redemption and carries no subscription or conversion rights. In the event of liquidation of the Company, the shares of common stock are entitled to share equally in corporate assets after satisfaction of all liabilities. Holders of common stock are entitled to receive such dividends as the Board of Directors may from time to time declare out of funds legally available for the payment of dividends. The Company has not paid a cash dividend on our common stock and does not anticipate doing so in the foreseeable future. The Company intends to retain earnings to fund future working capital requirements, infrastructure needs, growth, product development.</w:t>
      </w:r>
    </w:p>
    <w:p>
      <w:pPr>
        <w:spacing w:after="0" w:line="124" w:lineRule="exact"/>
        <w:rPr>
          <w:sz w:val="20"/>
          <w:szCs w:val="20"/>
          <w:color w:val="auto"/>
        </w:rPr>
      </w:pPr>
    </w:p>
    <w:p>
      <w:pPr>
        <w:ind w:right="380" w:firstLine="420"/>
        <w:spacing w:after="0" w:line="272" w:lineRule="auto"/>
        <w:rPr>
          <w:sz w:val="20"/>
          <w:szCs w:val="20"/>
          <w:color w:val="auto"/>
        </w:rPr>
      </w:pPr>
      <w:r>
        <w:rPr>
          <w:rFonts w:ascii="Arial" w:cs="Arial" w:eastAsia="Arial" w:hAnsi="Arial"/>
          <w:sz w:val="16"/>
          <w:szCs w:val="16"/>
          <w:color w:val="auto"/>
        </w:rPr>
        <w:t>The Board of Directors has the authority to issue the authorized but unissued shares of common stock without action by the shareholders. Any future issuance of such shares would reduce the percentage ownership held by existing shareholders and might dilute the book value of their shares.</w:t>
      </w:r>
    </w:p>
    <w:p>
      <w:pPr>
        <w:spacing w:after="0" w:line="95" w:lineRule="exact"/>
        <w:rPr>
          <w:sz w:val="20"/>
          <w:szCs w:val="20"/>
          <w:color w:val="auto"/>
        </w:rPr>
      </w:pPr>
    </w:p>
    <w:p>
      <w:pPr>
        <w:ind w:right="140" w:firstLine="420"/>
        <w:spacing w:after="0" w:line="272" w:lineRule="auto"/>
        <w:rPr>
          <w:sz w:val="20"/>
          <w:szCs w:val="20"/>
          <w:color w:val="auto"/>
        </w:rPr>
      </w:pPr>
      <w:r>
        <w:rPr>
          <w:rFonts w:ascii="Arial" w:cs="Arial" w:eastAsia="Arial" w:hAnsi="Arial"/>
          <w:sz w:val="16"/>
          <w:szCs w:val="16"/>
          <w:color w:val="auto"/>
        </w:rPr>
        <w:t>The shares of our common stock presently outstanding are fully paid and non-assessable, and any shares issued by us pursuant to this prospectus will be fully paid and non-assessable when issued. Our common stock trades on the NASDAQ Capital Market under the symbol “CLRO.”</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34" w:lineRule="exact"/>
        <w:rPr>
          <w:sz w:val="20"/>
          <w:szCs w:val="20"/>
          <w:color w:val="auto"/>
        </w:rPr>
      </w:pPr>
    </w:p>
    <w:p>
      <w:pPr>
        <w:ind w:firstLine="420"/>
        <w:spacing w:after="0" w:line="207"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outstanding shares of Common Stock outstanding will be able to satisfy the quorum requirement and be able to elect all of our directors by a plurality of the voting power of the shares present in person or by proxy. Our Certificate of Incorporation and Bylaws provide that all stockholder actions must be effected at a duly called meeting of stockholders and not by written consent. A special meeting of stockholders may be called by a resolution adopted by a majority of our board, our chair of the board, our chief executive officer or the president in absence of the chief executive officer. Any power of the stockholders to call a special meeting is specifically denied by the terms of our Certificate of Incorporation.</w:t>
      </w:r>
    </w:p>
    <w:p>
      <w:pPr>
        <w:spacing w:after="0" w:line="124" w:lineRule="exact"/>
        <w:rPr>
          <w:sz w:val="20"/>
          <w:szCs w:val="20"/>
          <w:color w:val="auto"/>
        </w:rPr>
      </w:pPr>
    </w:p>
    <w:p>
      <w:pPr>
        <w:ind w:right="80" w:firstLine="420"/>
        <w:spacing w:after="0" w:line="20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also may inhibit fluctuations in the market price of our stock that could result from actual or rumored takeover attempts.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613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34" w:lineRule="exact"/>
        <w:rPr>
          <w:sz w:val="20"/>
          <w:szCs w:val="20"/>
          <w:color w:val="auto"/>
        </w:rPr>
      </w:pPr>
    </w:p>
    <w:p>
      <w:pPr>
        <w:ind w:firstLine="420"/>
        <w:spacing w:after="0" w:line="217" w:lineRule="auto"/>
        <w:rPr>
          <w:sz w:val="20"/>
          <w:szCs w:val="20"/>
          <w:color w:val="auto"/>
        </w:rPr>
      </w:pPr>
      <w:r>
        <w:rPr>
          <w:rFonts w:ascii="Arial" w:cs="Arial" w:eastAsia="Arial" w:hAnsi="Arial"/>
          <w:sz w:val="18"/>
          <w:szCs w:val="18"/>
          <w:color w:val="auto"/>
        </w:rPr>
        <w:t>We are subject to Section 203 of the Delaware General Corporation Law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47" w:lineRule="exact"/>
        <w:rPr>
          <w:sz w:val="20"/>
          <w:szCs w:val="20"/>
          <w:color w:val="auto"/>
        </w:rPr>
      </w:pPr>
    </w:p>
    <w:p>
      <w:pPr>
        <w:ind w:left="720" w:right="780" w:hanging="269"/>
        <w:spacing w:after="0" w:line="22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94" w:lineRule="exact"/>
        <w:rPr>
          <w:rFonts w:ascii="Arial" w:cs="Arial" w:eastAsia="Arial" w:hAnsi="Arial"/>
          <w:sz w:val="18"/>
          <w:szCs w:val="18"/>
          <w:color w:val="auto"/>
        </w:rPr>
      </w:pPr>
    </w:p>
    <w:p>
      <w:pPr>
        <w:ind w:left="720" w:right="180" w:hanging="269"/>
        <w:spacing w:after="0" w:line="280"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3" w:lineRule="exact"/>
        <w:rPr>
          <w:rFonts w:ascii="Arial" w:cs="Arial" w:eastAsia="Arial" w:hAnsi="Arial"/>
          <w:sz w:val="16"/>
          <w:szCs w:val="16"/>
          <w:color w:val="auto"/>
        </w:rPr>
      </w:pPr>
    </w:p>
    <w:p>
      <w:pPr>
        <w:ind w:left="720" w:right="420" w:hanging="269"/>
        <w:spacing w:after="0" w:line="252"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sixty-six and two-third percent (66 2/3%) of the outstanding voting stock that is not owned by the interested stockholder.</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00" w:lineRule="exact"/>
        <w:rPr>
          <w:sz w:val="20"/>
          <w:szCs w:val="20"/>
          <w:color w:val="auto"/>
        </w:rPr>
      </w:pPr>
    </w:p>
    <w:p>
      <w:pPr>
        <w:ind w:left="800" w:hanging="32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42" w:lineRule="exact"/>
        <w:rPr>
          <w:rFonts w:ascii="Arial" w:cs="Arial" w:eastAsia="Arial" w:hAnsi="Arial"/>
          <w:sz w:val="18"/>
          <w:szCs w:val="18"/>
          <w:color w:val="auto"/>
        </w:rPr>
      </w:pPr>
    </w:p>
    <w:p>
      <w:pPr>
        <w:ind w:left="800" w:right="880" w:hanging="322"/>
        <w:spacing w:after="0" w:line="25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sale, lease, exchange, mortgage, transfer, pledge or other disposition of 10% or more of the assets of the corporation involving the interested stockholder;</w:t>
      </w:r>
    </w:p>
    <w:p>
      <w:pPr>
        <w:spacing w:after="0" w:line="1" w:lineRule="exact"/>
        <w:rPr>
          <w:rFonts w:ascii="Arial" w:cs="Arial" w:eastAsia="Arial" w:hAnsi="Arial"/>
          <w:sz w:val="18"/>
          <w:szCs w:val="18"/>
          <w:color w:val="auto"/>
        </w:rPr>
      </w:pPr>
    </w:p>
    <w:p>
      <w:pPr>
        <w:ind w:left="800" w:right="800" w:hanging="322"/>
        <w:spacing w:after="0" w:line="25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 w:lineRule="exact"/>
        <w:rPr>
          <w:rFonts w:ascii="Arial" w:cs="Arial" w:eastAsia="Arial" w:hAnsi="Arial"/>
          <w:sz w:val="18"/>
          <w:szCs w:val="18"/>
          <w:color w:val="auto"/>
        </w:rPr>
      </w:pPr>
    </w:p>
    <w:p>
      <w:pPr>
        <w:ind w:left="800" w:right="700" w:hanging="322"/>
        <w:spacing w:after="0" w:line="25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 w:lineRule="exact"/>
        <w:rPr>
          <w:rFonts w:ascii="Arial" w:cs="Arial" w:eastAsia="Arial" w:hAnsi="Arial"/>
          <w:sz w:val="18"/>
          <w:szCs w:val="18"/>
          <w:color w:val="auto"/>
        </w:rPr>
      </w:pPr>
    </w:p>
    <w:p>
      <w:pPr>
        <w:ind w:left="800" w:right="660" w:hanging="322"/>
        <w:spacing w:after="0" w:line="260"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82" w:lineRule="exact"/>
        <w:rPr>
          <w:sz w:val="20"/>
          <w:szCs w:val="20"/>
          <w:color w:val="auto"/>
        </w:rPr>
      </w:pPr>
    </w:p>
    <w:p>
      <w:pPr>
        <w:ind w:right="180" w:firstLine="420"/>
        <w:spacing w:after="0" w:line="217"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 Listing</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common stock is listed on the NASDAQ Capital Market under the trading symbol “CLRO.”</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transfer agent and registrar for our common stock is Colonial Stock Transfer.</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3613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20"/>
          </w:cols>
          <w:pgMar w:left="320" w:top="495" w:right="4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40" w:lineRule="exact"/>
        <w:rPr>
          <w:sz w:val="20"/>
          <w:szCs w:val="20"/>
          <w:color w:val="auto"/>
        </w:rPr>
      </w:pPr>
    </w:p>
    <w:p>
      <w:pPr>
        <w:ind w:right="140" w:firstLine="420"/>
        <w:spacing w:after="0" w:line="236" w:lineRule="auto"/>
        <w:rPr>
          <w:sz w:val="20"/>
          <w:szCs w:val="20"/>
          <w:color w:val="auto"/>
        </w:rPr>
      </w:pPr>
      <w:r>
        <w:rPr>
          <w:rFonts w:ascii="Arial" w:cs="Arial" w:eastAsia="Arial" w:hAnsi="Arial"/>
          <w:sz w:val="16"/>
          <w:szCs w:val="16"/>
          <w:color w:val="auto"/>
        </w:rPr>
        <w:t>The selling stockholder and any of its pledgees, donees, transferees, assignees or other successors-in-interest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selling stockholder may use one or more of the following methods when disposing of the shares or interests therein:</w:t>
      </w:r>
    </w:p>
    <w:p>
      <w:pPr>
        <w:spacing w:after="0" w:line="67" w:lineRule="exact"/>
        <w:rPr>
          <w:sz w:val="20"/>
          <w:szCs w:val="20"/>
          <w:color w:val="auto"/>
        </w:rPr>
      </w:pPr>
    </w:p>
    <w:p>
      <w:pPr>
        <w:ind w:left="880" w:hanging="3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73" w:lineRule="exact"/>
        <w:rPr>
          <w:rFonts w:ascii="Arial" w:cs="Arial" w:eastAsia="Arial" w:hAnsi="Arial"/>
          <w:sz w:val="18"/>
          <w:szCs w:val="18"/>
          <w:color w:val="auto"/>
        </w:rPr>
      </w:pPr>
    </w:p>
    <w:p>
      <w:pPr>
        <w:ind w:left="880" w:right="380" w:hanging="324"/>
        <w:spacing w:after="0" w:line="260"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6" w:lineRule="exact"/>
        <w:rPr>
          <w:rFonts w:ascii="Arial" w:cs="Arial" w:eastAsia="Arial" w:hAnsi="Arial"/>
          <w:sz w:val="18"/>
          <w:szCs w:val="18"/>
          <w:color w:val="auto"/>
        </w:rPr>
      </w:pPr>
    </w:p>
    <w:p>
      <w:pPr>
        <w:ind w:left="880" w:hanging="3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brokers, dealers or underwriters that may act solely as agents;</w:t>
      </w:r>
    </w:p>
    <w:p>
      <w:pPr>
        <w:spacing w:after="0" w:line="108" w:lineRule="exact"/>
        <w:rPr>
          <w:rFonts w:ascii="Arial" w:cs="Arial" w:eastAsia="Arial" w:hAnsi="Arial"/>
          <w:sz w:val="18"/>
          <w:szCs w:val="18"/>
          <w:color w:val="auto"/>
        </w:rPr>
      </w:pPr>
    </w:p>
    <w:p>
      <w:pPr>
        <w:ind w:left="880" w:hanging="3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08" w:lineRule="exact"/>
        <w:rPr>
          <w:rFonts w:ascii="Arial" w:cs="Arial" w:eastAsia="Arial" w:hAnsi="Arial"/>
          <w:sz w:val="18"/>
          <w:szCs w:val="18"/>
          <w:color w:val="auto"/>
        </w:rPr>
      </w:pPr>
    </w:p>
    <w:p>
      <w:pPr>
        <w:ind w:left="880" w:hanging="3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08" w:lineRule="exact"/>
        <w:rPr>
          <w:rFonts w:ascii="Arial" w:cs="Arial" w:eastAsia="Arial" w:hAnsi="Arial"/>
          <w:sz w:val="18"/>
          <w:szCs w:val="18"/>
          <w:color w:val="auto"/>
        </w:rPr>
      </w:pPr>
    </w:p>
    <w:p>
      <w:pPr>
        <w:ind w:left="880" w:hanging="3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08" w:lineRule="exact"/>
        <w:rPr>
          <w:rFonts w:ascii="Arial" w:cs="Arial" w:eastAsia="Arial" w:hAnsi="Arial"/>
          <w:sz w:val="18"/>
          <w:szCs w:val="18"/>
          <w:color w:val="auto"/>
        </w:rPr>
      </w:pPr>
    </w:p>
    <w:p>
      <w:pPr>
        <w:ind w:left="880" w:hanging="3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08" w:lineRule="exact"/>
        <w:rPr>
          <w:rFonts w:ascii="Arial" w:cs="Arial" w:eastAsia="Arial" w:hAnsi="Arial"/>
          <w:sz w:val="18"/>
          <w:szCs w:val="18"/>
          <w:color w:val="auto"/>
        </w:rPr>
      </w:pPr>
    </w:p>
    <w:p>
      <w:pPr>
        <w:ind w:left="880" w:right="80" w:hanging="324"/>
        <w:spacing w:after="0" w:line="260"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76" w:lineRule="exact"/>
        <w:rPr>
          <w:rFonts w:ascii="Arial" w:cs="Arial" w:eastAsia="Arial" w:hAnsi="Arial"/>
          <w:sz w:val="18"/>
          <w:szCs w:val="18"/>
          <w:color w:val="auto"/>
        </w:rPr>
      </w:pPr>
    </w:p>
    <w:p>
      <w:pPr>
        <w:ind w:left="880" w:hanging="3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 to sell a specified number of such shares at a stipulated price per share;</w:t>
      </w:r>
    </w:p>
    <w:p>
      <w:pPr>
        <w:spacing w:after="0" w:line="108" w:lineRule="exact"/>
        <w:rPr>
          <w:rFonts w:ascii="Arial" w:cs="Arial" w:eastAsia="Arial" w:hAnsi="Arial"/>
          <w:sz w:val="18"/>
          <w:szCs w:val="18"/>
          <w:color w:val="auto"/>
        </w:rPr>
      </w:pPr>
    </w:p>
    <w:p>
      <w:pPr>
        <w:ind w:left="880" w:hanging="3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combination of any such methods of disposition; and</w:t>
      </w:r>
    </w:p>
    <w:p>
      <w:pPr>
        <w:spacing w:after="0" w:line="108" w:lineRule="exact"/>
        <w:rPr>
          <w:rFonts w:ascii="Arial" w:cs="Arial" w:eastAsia="Arial" w:hAnsi="Arial"/>
          <w:sz w:val="18"/>
          <w:szCs w:val="18"/>
          <w:color w:val="auto"/>
        </w:rPr>
      </w:pPr>
    </w:p>
    <w:p>
      <w:pPr>
        <w:ind w:left="880" w:hanging="32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selling stockholder may also sell shares under Rule 144 under the Securities Act, if available, rather than under this prospectus.</w:t>
      </w:r>
    </w:p>
    <w:p>
      <w:pPr>
        <w:spacing w:after="0" w:line="134" w:lineRule="exact"/>
        <w:rPr>
          <w:sz w:val="20"/>
          <w:szCs w:val="20"/>
          <w:color w:val="auto"/>
        </w:rPr>
      </w:pPr>
    </w:p>
    <w:p>
      <w:pPr>
        <w:ind w:firstLine="420"/>
        <w:spacing w:after="0" w:line="247" w:lineRule="auto"/>
        <w:rPr>
          <w:sz w:val="20"/>
          <w:szCs w:val="20"/>
          <w:color w:val="auto"/>
        </w:rPr>
      </w:pPr>
      <w:r>
        <w:rPr>
          <w:rFonts w:ascii="Arial" w:cs="Arial" w:eastAsia="Arial" w:hAnsi="Arial"/>
          <w:sz w:val="16"/>
          <w:szCs w:val="16"/>
          <w:color w:val="auto"/>
        </w:rPr>
        <w:t>Broker-dealers engaged by the selling stockholder may arrange for other broker-dealers to participate in sales. Broker-dealers may receive commissions or discounts from the selling stockholders (or, if any broker-dealer acts as agent for the purchaser of shares, from the purchaser) in amounts to be negotiated. We do not expect these commissions and discounts to exceed what is customary in the types of transactions involved.</w:t>
      </w:r>
    </w:p>
    <w:p>
      <w:pPr>
        <w:spacing w:after="0" w:line="115" w:lineRule="exact"/>
        <w:rPr>
          <w:sz w:val="20"/>
          <w:szCs w:val="20"/>
          <w:color w:val="auto"/>
        </w:rPr>
      </w:pPr>
    </w:p>
    <w:p>
      <w:pPr>
        <w:ind w:right="220" w:firstLine="420"/>
        <w:spacing w:after="0" w:line="209" w:lineRule="auto"/>
        <w:rPr>
          <w:sz w:val="20"/>
          <w:szCs w:val="20"/>
          <w:color w:val="auto"/>
        </w:rPr>
      </w:pPr>
      <w:r>
        <w:rPr>
          <w:rFonts w:ascii="Arial" w:cs="Arial" w:eastAsia="Arial" w:hAnsi="Arial"/>
          <w:sz w:val="18"/>
          <w:szCs w:val="18"/>
          <w:color w:val="auto"/>
        </w:rPr>
        <w:t>The selling stockholder may from time to time pledge or grant a security interest in some or all of the shares of common stock owned by it and, if it defaults in the performance of its secured obligations, the pledgees or secured parties may offer and sell shares of common stock from time to time under this prospectus, or under a supplement or amendment to this prospectus under Rule 424(b)(3) or other applicable provision of the Securities Act amending the section of this prospectus captioned “Selling Stockholder” to include the pledgee, transferee or other successors in interest as selling stockholders under this prospectus.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613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1" w:name="page12"/>
    <w:bookmarkEnd w:id="11"/>
    <w:p>
      <w:pPr>
        <w:ind w:firstLine="420"/>
        <w:spacing w:after="0" w:line="230" w:lineRule="auto"/>
        <w:rPr>
          <w:sz w:val="20"/>
          <w:szCs w:val="20"/>
          <w:color w:val="auto"/>
        </w:rPr>
      </w:pPr>
      <w:r>
        <w:rPr>
          <w:rFonts w:ascii="Arial" w:cs="Arial" w:eastAsia="Arial" w:hAnsi="Arial"/>
          <w:sz w:val="16"/>
          <w:szCs w:val="16"/>
          <w:color w:val="auto"/>
        </w:rPr>
        <w:t>Upon being notified in writing by a selling stockholder that any material arrangement has been entered into with a broker-dealer for the sale of common stock through a block trade, special offering, exchange distribution or secondary distribution or a purchase by a broker or dealer, we will file a supplement to this prospectus, if required, pursuant to Rule 424(b) under the Securities Act, disclosing (i) the name of each such selling stockholder and of the participating broker-dealer(s), (ii) the number of shares involved, (iii) the price at which such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addition, upon being notified in writing by a selling stockholder that a donee or pledge intends to sell more than 500 shares of common stock, we will file a supplement to this prospectus if then required in accordance with applicable securities law.</w:t>
      </w:r>
    </w:p>
    <w:p>
      <w:pPr>
        <w:spacing w:after="0" w:line="125" w:lineRule="exact"/>
        <w:rPr>
          <w:sz w:val="20"/>
          <w:szCs w:val="20"/>
          <w:color w:val="auto"/>
        </w:rPr>
      </w:pPr>
    </w:p>
    <w:p>
      <w:pPr>
        <w:ind w:right="60" w:firstLine="420"/>
        <w:spacing w:after="0" w:line="227" w:lineRule="auto"/>
        <w:rPr>
          <w:sz w:val="20"/>
          <w:szCs w:val="20"/>
          <w:color w:val="auto"/>
        </w:rPr>
      </w:pPr>
      <w:r>
        <w:rPr>
          <w:rFonts w:ascii="Arial" w:cs="Arial" w:eastAsia="Arial" w:hAnsi="Arial"/>
          <w:sz w:val="18"/>
          <w:szCs w:val="18"/>
          <w:color w:val="auto"/>
        </w:rPr>
        <w:t>A selling stockholder also may transfer the shares of common stock in other circumstances, in which case the transferees, pledgees or other successors in interest will be the selling beneficial owners for purposes of this prospectus.</w:t>
      </w:r>
    </w:p>
    <w:p>
      <w:pPr>
        <w:spacing w:after="0" w:line="120" w:lineRule="exact"/>
        <w:rPr>
          <w:sz w:val="20"/>
          <w:szCs w:val="20"/>
          <w:color w:val="auto"/>
        </w:rPr>
      </w:pPr>
    </w:p>
    <w:p>
      <w:pPr>
        <w:ind w:right="60" w:firstLine="420"/>
        <w:spacing w:after="0" w:line="272" w:lineRule="auto"/>
        <w:rPr>
          <w:sz w:val="20"/>
          <w:szCs w:val="20"/>
          <w:color w:val="auto"/>
        </w:rPr>
      </w:pPr>
      <w:r>
        <w:rPr>
          <w:rFonts w:ascii="Arial" w:cs="Arial" w:eastAsia="Arial" w:hAnsi="Arial"/>
          <w:sz w:val="16"/>
          <w:szCs w:val="16"/>
          <w:color w:val="auto"/>
        </w:rPr>
        <w:t>We have advised the selling stockholder that it is required to comply with Regulation M promulgated under the Securities and Exchange Act during such time as it may be engaged in a distribution of the shares. The foregoing may affect the marketability of the common stock.</w:t>
      </w:r>
    </w:p>
    <w:p>
      <w:pPr>
        <w:spacing w:after="0" w:line="95" w:lineRule="exact"/>
        <w:rPr>
          <w:sz w:val="20"/>
          <w:szCs w:val="20"/>
          <w:color w:val="auto"/>
        </w:rPr>
      </w:pPr>
    </w:p>
    <w:p>
      <w:pPr>
        <w:jc w:val="both"/>
        <w:ind w:right="260" w:firstLine="420"/>
        <w:spacing w:after="0" w:line="271" w:lineRule="auto"/>
        <w:rPr>
          <w:sz w:val="20"/>
          <w:szCs w:val="20"/>
          <w:color w:val="auto"/>
        </w:rPr>
      </w:pPr>
      <w:r>
        <w:rPr>
          <w:rFonts w:ascii="Arial" w:cs="Arial" w:eastAsia="Arial" w:hAnsi="Arial"/>
          <w:sz w:val="15"/>
          <w:szCs w:val="15"/>
          <w:color w:val="auto"/>
        </w:rPr>
        <w:t>The aggregate proceeds to the selling stockholder from the sale of the common stock offered by it will be the purchase price of the common stock less discounts or commissions, if any. The selling stockholder reserves the right to accept and, together with its agents from time to time, to reject, in whole or in part, any proposed purchase of common stock to be made directly or through agents. We will not receive any of the proceeds from this offering.</w:t>
      </w:r>
    </w:p>
    <w:p>
      <w:pPr>
        <w:spacing w:after="0" w:line="98" w:lineRule="exact"/>
        <w:rPr>
          <w:sz w:val="20"/>
          <w:szCs w:val="20"/>
          <w:color w:val="auto"/>
        </w:rPr>
      </w:pPr>
    </w:p>
    <w:p>
      <w:pPr>
        <w:ind w:right="20" w:firstLine="420"/>
        <w:spacing w:after="0" w:line="227" w:lineRule="auto"/>
        <w:rPr>
          <w:sz w:val="20"/>
          <w:szCs w:val="20"/>
          <w:color w:val="auto"/>
        </w:rPr>
      </w:pPr>
      <w:r>
        <w:rPr>
          <w:rFonts w:ascii="Arial" w:cs="Arial" w:eastAsia="Arial" w:hAnsi="Arial"/>
          <w:sz w:val="18"/>
          <w:szCs w:val="18"/>
          <w:color w:val="auto"/>
        </w:rPr>
        <w:t>We are required to pay all fees and expenses incident to the registration of the shares. We have agreed to indemnify the selling stockholder against certain losses, claims, damages and liabilities, including liabilities under the Securities Act or otherwise.</w:t>
      </w:r>
    </w:p>
    <w:p>
      <w:pPr>
        <w:spacing w:after="0" w:line="120" w:lineRule="exact"/>
        <w:rPr>
          <w:sz w:val="20"/>
          <w:szCs w:val="20"/>
          <w:color w:val="auto"/>
        </w:rPr>
      </w:pPr>
    </w:p>
    <w:p>
      <w:pPr>
        <w:jc w:val="both"/>
        <w:ind w:firstLine="420"/>
        <w:spacing w:after="0" w:line="217" w:lineRule="auto"/>
        <w:rPr>
          <w:sz w:val="20"/>
          <w:szCs w:val="20"/>
          <w:color w:val="auto"/>
        </w:rPr>
      </w:pPr>
      <w:r>
        <w:rPr>
          <w:rFonts w:ascii="Arial" w:cs="Arial" w:eastAsia="Arial" w:hAnsi="Arial"/>
          <w:sz w:val="18"/>
          <w:szCs w:val="18"/>
          <w:color w:val="auto"/>
        </w:rPr>
        <w:t>We have agreed with the selling stockholder to keep the registration statement of which this prospectus constitutes a part effective until such time as all of the shares covered by this prospectus have been disposed of pursuant to and in accordance with the registration statement of which this prospectus forms a part or pursuant to Rule 144 of the Securities Act.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40" w:lineRule="exact"/>
        <w:rPr>
          <w:sz w:val="20"/>
          <w:szCs w:val="20"/>
          <w:color w:val="auto"/>
        </w:rPr>
      </w:pPr>
    </w:p>
    <w:p>
      <w:pPr>
        <w:ind w:right="40" w:firstLine="420"/>
        <w:spacing w:after="0" w:line="212" w:lineRule="auto"/>
        <w:rPr>
          <w:sz w:val="20"/>
          <w:szCs w:val="20"/>
          <w:color w:val="auto"/>
        </w:rPr>
      </w:pPr>
      <w:r>
        <w:rPr>
          <w:rFonts w:ascii="Arial" w:cs="Arial" w:eastAsia="Arial" w:hAnsi="Arial"/>
          <w:sz w:val="18"/>
          <w:szCs w:val="18"/>
          <w:color w:val="auto"/>
        </w:rPr>
        <w:t>The consolidated financial statements of ClearOne, Inc. incorporated in this prospectus by reference from ClearOne Inc.'s Annual Report on Form 10-K for the year ended December 31, 2019 were audited by Tanner LLC, an independent registered public accounting firm, as stated in their report which is incorporated herein by reference. Such consolidated statements have been so incorporated in reliance upon the report of such firm given upon their authority as experts in accounting and auditing.</w:t>
      </w:r>
    </w:p>
    <w:p>
      <w:pPr>
        <w:spacing w:after="0" w:line="116"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LEGAL MATTERS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validity of the securities being offered hereby will be passed upon by Seyfarth Shaw LLP.</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613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2" w:name="page13"/>
    <w:bookmarkEnd w:id="12"/>
    <w:p>
      <w:pPr>
        <w:ind w:left="5280"/>
        <w:spacing w:after="0"/>
        <w:rPr>
          <w:sz w:val="20"/>
          <w:szCs w:val="20"/>
          <w:color w:val="auto"/>
        </w:rPr>
      </w:pPr>
      <w:r>
        <w:rPr>
          <w:rFonts w:ascii="Arial" w:cs="Arial" w:eastAsia="Arial" w:hAnsi="Arial"/>
          <w:sz w:val="18"/>
          <w:szCs w:val="18"/>
          <w:b w:val="1"/>
          <w:bCs w:val="1"/>
          <w:color w:val="auto"/>
        </w:rPr>
        <w:t>PART II.</w:t>
      </w:r>
    </w:p>
    <w:p>
      <w:pPr>
        <w:spacing w:after="0" w:line="13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40" w:lineRule="exact"/>
        <w:rPr>
          <w:sz w:val="20"/>
          <w:szCs w:val="20"/>
          <w:color w:val="auto"/>
        </w:rPr>
      </w:pPr>
    </w:p>
    <w:p>
      <w:pPr>
        <w:ind w:right="180" w:firstLine="560"/>
        <w:spacing w:after="0" w:line="217" w:lineRule="auto"/>
        <w:rPr>
          <w:sz w:val="20"/>
          <w:szCs w:val="20"/>
          <w:color w:val="auto"/>
        </w:rPr>
      </w:pPr>
      <w:r>
        <w:rPr>
          <w:rFonts w:ascii="Arial" w:cs="Arial" w:eastAsia="Arial" w:hAnsi="Arial"/>
          <w:sz w:val="18"/>
          <w:szCs w:val="18"/>
          <w:color w:val="auto"/>
        </w:rPr>
        <w:t>Set forth below is an estimate (except in the case of the registration fee) of the amount of fees and expenses to be incurred in connection with the issuance and distribution of the offered securities registered hereby, other than underwriting discounts and commission, if any, incurred in connection with the sale of the offered securities. All such amounts will be borne by ClearOne, Inc.</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21"/>
                <w:szCs w:val="21"/>
                <w:color w:val="auto"/>
                <w:w w:val="85"/>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21"/>
                <w:szCs w:val="21"/>
                <w:color w:val="auto"/>
              </w:rPr>
            </w:pPr>
          </w:p>
        </w:tc>
      </w:tr>
      <w:tr>
        <w:trPr>
          <w:trHeight w:val="236"/>
        </w:trPr>
        <w:tc>
          <w:tcPr>
            <w:tcW w:w="57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5,000</w:t>
            </w:r>
          </w:p>
        </w:tc>
      </w:tr>
      <w:tr>
        <w:trPr>
          <w:trHeight w:val="217"/>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r>
      <w:tr>
        <w:trPr>
          <w:trHeight w:val="236"/>
        </w:trPr>
        <w:tc>
          <w:tcPr>
            <w:tcW w:w="576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6"/>
        </w:trPr>
        <w:tc>
          <w:tcPr>
            <w:tcW w:w="5760" w:type="dxa"/>
            <w:vAlign w:val="bottom"/>
            <w:tcBorders>
              <w:top w:val="single" w:sz="8" w:color="CCEEFF"/>
              <w:bottom w:val="single" w:sz="8" w:color="CCEEFF"/>
            </w:tcBorders>
            <w:shd w:val="clear" w:color="auto" w:fill="CCEEFF"/>
          </w:tcPr>
          <w:p>
            <w:pPr>
              <w:spacing w:after="0"/>
              <w:rPr>
                <w:sz w:val="20"/>
                <w:szCs w:val="20"/>
                <w:color w:val="auto"/>
              </w:rPr>
            </w:pPr>
          </w:p>
        </w:tc>
        <w:tc>
          <w:tcPr>
            <w:tcW w:w="33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15"/>
              <w:spacing w:after="0" w:line="230" w:lineRule="exact"/>
              <w:rPr>
                <w:sz w:val="20"/>
                <w:szCs w:val="20"/>
                <w:color w:val="auto"/>
              </w:rPr>
            </w:pPr>
            <w:r>
              <w:rPr>
                <w:rFonts w:ascii="Arial" w:cs="Arial" w:eastAsia="Arial" w:hAnsi="Arial"/>
                <w:sz w:val="21"/>
                <w:szCs w:val="21"/>
                <w:color w:val="auto"/>
                <w:w w:val="85"/>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16,378</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-774700</wp:posOffset>
            </wp:positionV>
            <wp:extent cx="5702300" cy="133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2300" cy="133350"/>
                    </a:xfrm>
                    <a:prstGeom prst="rect">
                      <a:avLst/>
                    </a:prstGeom>
                    <a:noFill/>
                  </pic:spPr>
                </pic:pic>
              </a:graphicData>
            </a:graphic>
          </wp:anchor>
        </w:drawing>
        <w:drawing>
          <wp:anchor simplePos="0" relativeHeight="251657728" behindDoc="1" locked="0" layoutInCell="0" allowOverlap="1">
            <wp:simplePos x="0" y="0"/>
            <wp:positionH relativeFrom="column">
              <wp:posOffset>120015</wp:posOffset>
            </wp:positionH>
            <wp:positionV relativeFrom="paragraph">
              <wp:posOffset>-474345</wp:posOffset>
            </wp:positionV>
            <wp:extent cx="5702300" cy="133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2300" cy="133350"/>
                    </a:xfrm>
                    <a:prstGeom prst="rect">
                      <a:avLst/>
                    </a:prstGeom>
                    <a:noFill/>
                  </pic:spPr>
                </pic:pic>
              </a:graphicData>
            </a:graphic>
          </wp:anchor>
        </w:drawing>
      </w:r>
    </w:p>
    <w:p>
      <w:pPr>
        <w:spacing w:after="0" w:line="26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40" w:lineRule="exact"/>
        <w:rPr>
          <w:sz w:val="20"/>
          <w:szCs w:val="20"/>
          <w:color w:val="auto"/>
        </w:rPr>
      </w:pPr>
    </w:p>
    <w:p>
      <w:pPr>
        <w:ind w:right="40" w:firstLine="420"/>
        <w:spacing w:after="0" w:line="229" w:lineRule="auto"/>
        <w:rPr>
          <w:sz w:val="20"/>
          <w:szCs w:val="20"/>
          <w:color w:val="auto"/>
        </w:rPr>
      </w:pPr>
      <w:r>
        <w:rPr>
          <w:rFonts w:ascii="Arial" w:cs="Arial" w:eastAsia="Arial" w:hAnsi="Arial"/>
          <w:sz w:val="16"/>
          <w:szCs w:val="16"/>
          <w:color w:val="auto"/>
        </w:rPr>
        <w:t>We are incorporated under the laws of the State of Delaware. Section 145 of the Delaware General Corporation Law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an officer, director, employee or agent of another corporation, partnership, joint venture, trust or other enterprise. The indemnification may include expenses (including attorneys’ fees), judgments, fines and amounts paid in settlement actually and reasonably incurred by such person in connection with defending or settling such action, suit or proceeding, provided that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(including attorneys’ fees) actually and reasonably incurred.</w:t>
      </w:r>
    </w:p>
    <w:p>
      <w:pPr>
        <w:spacing w:after="0" w:line="122" w:lineRule="exact"/>
        <w:rPr>
          <w:sz w:val="20"/>
          <w:szCs w:val="20"/>
          <w:color w:val="auto"/>
        </w:rPr>
      </w:pPr>
    </w:p>
    <w:p>
      <w:pPr>
        <w:ind w:right="100" w:firstLine="420"/>
        <w:spacing w:after="0" w:line="227" w:lineRule="auto"/>
        <w:rPr>
          <w:sz w:val="20"/>
          <w:szCs w:val="20"/>
          <w:color w:val="auto"/>
        </w:rPr>
      </w:pPr>
      <w:r>
        <w:rPr>
          <w:rFonts w:ascii="Arial" w:cs="Arial" w:eastAsia="Arial" w:hAnsi="Arial"/>
          <w:sz w:val="18"/>
          <w:szCs w:val="18"/>
          <w:color w:val="auto"/>
        </w:rPr>
        <w:t>Our certificate of incorporation and bylaws provide for the indemnification of its directors and officers to the fullest extent permitted under the Delaware General Corporation Law.</w:t>
      </w:r>
    </w:p>
    <w:p>
      <w:pPr>
        <w:spacing w:after="0" w:line="120" w:lineRule="exact"/>
        <w:rPr>
          <w:sz w:val="20"/>
          <w:szCs w:val="20"/>
          <w:color w:val="auto"/>
        </w:rPr>
      </w:pPr>
    </w:p>
    <w:p>
      <w:pPr>
        <w:ind w:right="380" w:firstLine="420"/>
        <w:spacing w:after="0" w:line="217"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121" w:lineRule="exact"/>
        <w:rPr>
          <w:sz w:val="20"/>
          <w:szCs w:val="20"/>
          <w:color w:val="auto"/>
        </w:rPr>
      </w:pPr>
    </w:p>
    <w:p>
      <w:pPr>
        <w:ind w:left="740" w:hanging="315"/>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Breach of director’s duty of loyalty to the corporation or its stockholders.</w:t>
      </w:r>
    </w:p>
    <w:p>
      <w:pPr>
        <w:spacing w:after="0" w:line="68" w:lineRule="exact"/>
        <w:rPr>
          <w:rFonts w:ascii="Arial" w:cs="Arial" w:eastAsia="Arial" w:hAnsi="Arial"/>
          <w:sz w:val="18"/>
          <w:szCs w:val="18"/>
          <w:color w:val="auto"/>
        </w:rPr>
      </w:pPr>
    </w:p>
    <w:p>
      <w:pPr>
        <w:ind w:left="740" w:hanging="315"/>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68" w:lineRule="exact"/>
        <w:rPr>
          <w:rFonts w:ascii="Arial" w:cs="Arial" w:eastAsia="Arial" w:hAnsi="Arial"/>
          <w:sz w:val="18"/>
          <w:szCs w:val="18"/>
          <w:color w:val="auto"/>
        </w:rPr>
      </w:pPr>
    </w:p>
    <w:p>
      <w:pPr>
        <w:ind w:left="740" w:hanging="315"/>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Unlawful payment of dividends or unlawful purchase or redemption of shares; or</w:t>
      </w:r>
    </w:p>
    <w:p>
      <w:pPr>
        <w:spacing w:after="0" w:line="68" w:lineRule="exact"/>
        <w:rPr>
          <w:rFonts w:ascii="Arial" w:cs="Arial" w:eastAsia="Arial" w:hAnsi="Arial"/>
          <w:sz w:val="18"/>
          <w:szCs w:val="18"/>
          <w:color w:val="auto"/>
        </w:rPr>
      </w:pPr>
    </w:p>
    <w:p>
      <w:pPr>
        <w:ind w:left="740" w:hanging="315"/>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 from which the director derives an improper personal benefit;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613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13" w:name="page14"/>
    <w:bookmarkEnd w:id="13"/>
    <w:p>
      <w:pPr>
        <w:ind w:right="40" w:firstLine="420"/>
        <w:spacing w:after="0" w:line="247" w:lineRule="auto"/>
        <w:rPr>
          <w:sz w:val="20"/>
          <w:szCs w:val="20"/>
          <w:color w:val="auto"/>
        </w:rPr>
      </w:pPr>
      <w:r>
        <w:rPr>
          <w:rFonts w:ascii="Arial" w:cs="Arial" w:eastAsia="Arial" w:hAnsi="Arial"/>
          <w:sz w:val="16"/>
          <w:szCs w:val="16"/>
          <w:color w:val="auto"/>
        </w:rPr>
        <w:t>Our certificate of incorporation includes such a provision. Expenses incurred by any officer or director in defending any such action, suit or proceeding in advance of its final disposition shall be paid by us upon delivery to us of an undertaking, by or on behalf of such director or officer, to repay all amounts so advanced if we shall ultimately be determined that such director or officer is not entitled to be indemnified by us.</w:t>
      </w:r>
    </w:p>
    <w:p>
      <w:pPr>
        <w:spacing w:after="0" w:line="115" w:lineRule="exact"/>
        <w:rPr>
          <w:sz w:val="20"/>
          <w:szCs w:val="20"/>
          <w:color w:val="auto"/>
        </w:rPr>
      </w:pPr>
    </w:p>
    <w:p>
      <w:pPr>
        <w:ind w:right="80" w:firstLine="420"/>
        <w:spacing w:after="0" w:line="209"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23" w:lineRule="exact"/>
        <w:rPr>
          <w:sz w:val="20"/>
          <w:szCs w:val="20"/>
          <w:color w:val="auto"/>
        </w:rPr>
      </w:pPr>
    </w:p>
    <w:p>
      <w:pPr>
        <w:ind w:firstLine="420"/>
        <w:spacing w:after="0" w:line="21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w:t>
      </w:r>
    </w:p>
    <w:p>
      <w:pPr>
        <w:spacing w:after="0" w:line="11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the Exhibit Index to this Registration Statement on Form S-3 which is incorporated herein by reference.</w:t>
      </w:r>
    </w:p>
    <w:p>
      <w:pPr>
        <w:spacing w:after="0" w:line="12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40" w:lineRule="exact"/>
        <w:rPr>
          <w:sz w:val="20"/>
          <w:szCs w:val="20"/>
          <w:color w:val="auto"/>
        </w:rPr>
      </w:pPr>
    </w:p>
    <w:p>
      <w:pPr>
        <w:ind w:left="720" w:hanging="715"/>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4" w:lineRule="exact"/>
        <w:rPr>
          <w:rFonts w:ascii="Arial" w:cs="Arial" w:eastAsia="Arial" w:hAnsi="Arial"/>
          <w:sz w:val="18"/>
          <w:szCs w:val="18"/>
          <w:color w:val="auto"/>
        </w:rPr>
      </w:pPr>
    </w:p>
    <w:p>
      <w:pPr>
        <w:ind w:left="1400" w:hanging="702"/>
        <w:spacing w:after="0"/>
        <w:tabs>
          <w:tab w:leader="none" w:pos="1400" w:val="left"/>
        </w:tabs>
        <w:numPr>
          <w:ilvl w:val="1"/>
          <w:numId w:val="8"/>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57" w:lineRule="exact"/>
        <w:rPr>
          <w:rFonts w:ascii="Arial" w:cs="Arial" w:eastAsia="Arial" w:hAnsi="Arial"/>
          <w:sz w:val="16"/>
          <w:szCs w:val="16"/>
          <w:color w:val="auto"/>
        </w:rPr>
      </w:pPr>
    </w:p>
    <w:p>
      <w:pPr>
        <w:ind w:left="2100" w:hanging="709"/>
        <w:spacing w:after="0"/>
        <w:tabs>
          <w:tab w:leader="none" w:pos="210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4" w:lineRule="exact"/>
        <w:rPr>
          <w:rFonts w:ascii="Arial" w:cs="Arial" w:eastAsia="Arial" w:hAnsi="Arial"/>
          <w:sz w:val="18"/>
          <w:szCs w:val="18"/>
          <w:color w:val="auto"/>
        </w:rPr>
      </w:pPr>
    </w:p>
    <w:p>
      <w:pPr>
        <w:ind w:left="2080" w:right="20" w:hanging="689"/>
        <w:spacing w:after="0" w:line="230" w:lineRule="auto"/>
        <w:tabs>
          <w:tab w:leader="none" w:pos="2073" w:val="left"/>
        </w:tabs>
        <w:numPr>
          <w:ilvl w:val="2"/>
          <w:numId w:val="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25" w:lineRule="exact"/>
        <w:rPr>
          <w:rFonts w:ascii="Arial" w:cs="Arial" w:eastAsia="Arial" w:hAnsi="Arial"/>
          <w:sz w:val="16"/>
          <w:szCs w:val="16"/>
          <w:color w:val="auto"/>
        </w:rPr>
      </w:pPr>
    </w:p>
    <w:p>
      <w:pPr>
        <w:ind w:left="2080" w:right="140" w:hanging="689"/>
        <w:spacing w:after="0" w:line="227" w:lineRule="auto"/>
        <w:tabs>
          <w:tab w:leader="none" w:pos="2122"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20" w:lineRule="exact"/>
        <w:rPr>
          <w:sz w:val="20"/>
          <w:szCs w:val="20"/>
          <w:color w:val="auto"/>
        </w:rPr>
      </w:pPr>
    </w:p>
    <w:p>
      <w:pPr>
        <w:ind w:left="1400" w:right="40"/>
        <w:spacing w:after="0" w:line="23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(i), (ii) and (iii) do not apply if the information required to be included in a post-effective amendment by</w:t>
      </w:r>
      <w:r>
        <w:rPr>
          <w:rFonts w:ascii="Arial" w:cs="Arial" w:eastAsia="Arial" w:hAnsi="Arial"/>
          <w:sz w:val="16"/>
          <w:szCs w:val="16"/>
          <w:i w:val="1"/>
          <w:iCs w:val="1"/>
          <w:color w:val="auto"/>
        </w:rPr>
        <w:t xml:space="preserve"> </w:t>
      </w:r>
      <w:r>
        <w:rPr>
          <w:rFonts w:ascii="Arial" w:cs="Arial" w:eastAsia="Arial" w:hAnsi="Arial"/>
          <w:sz w:val="16"/>
          <w:szCs w:val="16"/>
          <w:color w:val="auto"/>
        </w:rPr>
        <w:t>those paragraphs is contained in reports filed with or furnished to the Commission by the Registrant pursuant to Section 13 or</w:t>
      </w:r>
    </w:p>
    <w:p>
      <w:pPr>
        <w:spacing w:after="0" w:line="1" w:lineRule="exact"/>
        <w:rPr>
          <w:sz w:val="20"/>
          <w:szCs w:val="20"/>
          <w:color w:val="auto"/>
        </w:rPr>
      </w:pPr>
    </w:p>
    <w:p>
      <w:pPr>
        <w:ind w:left="1400" w:right="300"/>
        <w:spacing w:after="0" w:line="219" w:lineRule="auto"/>
        <w:rPr>
          <w:sz w:val="20"/>
          <w:szCs w:val="20"/>
          <w:color w:val="auto"/>
        </w:rPr>
      </w:pPr>
      <w:r>
        <w:rPr>
          <w:rFonts w:ascii="Arial" w:cs="Arial" w:eastAsia="Arial" w:hAnsi="Arial"/>
          <w:sz w:val="18"/>
          <w:szCs w:val="18"/>
          <w:color w:val="auto"/>
        </w:rPr>
        <w:t>Section 15(d) of the Securities Exchange Act of 1934 that are incorporated by reference in the registration statement, or is contained in a form of prospectus filed pursuant to Rule 424(b) that is part of the registration statement.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613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14" w:name="page15"/>
    <w:bookmarkEnd w:id="14"/>
    <w:p>
      <w:pPr>
        <w:ind w:left="702" w:hanging="702"/>
        <w:spacing w:after="0" w:line="217" w:lineRule="auto"/>
        <w:tabs>
          <w:tab w:leader="none" w:pos="70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Arial" w:cs="Arial" w:eastAsia="Arial" w:hAnsi="Arial"/>
          <w:sz w:val="18"/>
          <w:szCs w:val="18"/>
          <w:color w:val="auto"/>
        </w:rPr>
      </w:pPr>
    </w:p>
    <w:p>
      <w:pPr>
        <w:ind w:left="702" w:right="420" w:hanging="702"/>
        <w:spacing w:after="0" w:line="227" w:lineRule="auto"/>
        <w:tabs>
          <w:tab w:leader="none" w:pos="704"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20" w:lineRule="exact"/>
        <w:rPr>
          <w:rFonts w:ascii="Arial" w:cs="Arial" w:eastAsia="Arial" w:hAnsi="Arial"/>
          <w:sz w:val="18"/>
          <w:szCs w:val="18"/>
          <w:color w:val="auto"/>
        </w:rPr>
      </w:pPr>
    </w:p>
    <w:p>
      <w:pPr>
        <w:ind w:left="702" w:hanging="702"/>
        <w:spacing w:after="0"/>
        <w:tabs>
          <w:tab w:leader="none" w:pos="70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34" w:lineRule="exact"/>
        <w:rPr>
          <w:rFonts w:ascii="Arial" w:cs="Arial" w:eastAsia="Arial" w:hAnsi="Arial"/>
          <w:sz w:val="18"/>
          <w:szCs w:val="18"/>
          <w:color w:val="auto"/>
        </w:rPr>
      </w:pPr>
    </w:p>
    <w:p>
      <w:pPr>
        <w:ind w:left="1382" w:hanging="651"/>
        <w:spacing w:after="0" w:line="227" w:lineRule="auto"/>
        <w:tabs>
          <w:tab w:leader="none" w:pos="1403"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0" w:lineRule="exact"/>
        <w:rPr>
          <w:rFonts w:ascii="Arial" w:cs="Arial" w:eastAsia="Arial" w:hAnsi="Arial"/>
          <w:sz w:val="18"/>
          <w:szCs w:val="18"/>
          <w:color w:val="auto"/>
        </w:rPr>
      </w:pPr>
    </w:p>
    <w:p>
      <w:pPr>
        <w:ind w:left="1382" w:hanging="651"/>
        <w:spacing w:after="0" w:line="228" w:lineRule="auto"/>
        <w:tabs>
          <w:tab w:leader="none" w:pos="1360" w:val="left"/>
        </w:tabs>
        <w:numPr>
          <w:ilvl w:val="2"/>
          <w:numId w:val="9"/>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1" w:lineRule="exact"/>
        <w:rPr>
          <w:rFonts w:ascii="Arial" w:cs="Arial" w:eastAsia="Arial" w:hAnsi="Arial"/>
          <w:sz w:val="16"/>
          <w:szCs w:val="16"/>
          <w:color w:val="auto"/>
        </w:rPr>
      </w:pPr>
    </w:p>
    <w:p>
      <w:pPr>
        <w:ind w:left="702" w:right="80" w:hanging="702"/>
        <w:spacing w:after="0" w:line="236" w:lineRule="auto"/>
        <w:tabs>
          <w:tab w:leader="none" w:pos="70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9" w:lineRule="exact"/>
        <w:rPr>
          <w:rFonts w:ascii="Arial" w:cs="Arial" w:eastAsia="Arial" w:hAnsi="Arial"/>
          <w:sz w:val="16"/>
          <w:szCs w:val="16"/>
          <w:color w:val="auto"/>
        </w:rPr>
      </w:pPr>
    </w:p>
    <w:p>
      <w:pPr>
        <w:ind w:left="1382" w:right="300" w:hanging="689"/>
        <w:spacing w:after="0" w:line="227" w:lineRule="auto"/>
        <w:tabs>
          <w:tab w:leader="none" w:pos="140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20" w:lineRule="exact"/>
        <w:rPr>
          <w:rFonts w:ascii="Arial" w:cs="Arial" w:eastAsia="Arial" w:hAnsi="Arial"/>
          <w:sz w:val="18"/>
          <w:szCs w:val="18"/>
          <w:color w:val="auto"/>
        </w:rPr>
      </w:pPr>
    </w:p>
    <w:p>
      <w:pPr>
        <w:ind w:left="1382" w:right="200" w:hanging="689"/>
        <w:spacing w:after="0" w:line="227" w:lineRule="auto"/>
        <w:tabs>
          <w:tab w:leader="none" w:pos="141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20" w:lineRule="exact"/>
        <w:rPr>
          <w:rFonts w:ascii="Arial" w:cs="Arial" w:eastAsia="Arial" w:hAnsi="Arial"/>
          <w:sz w:val="18"/>
          <w:szCs w:val="18"/>
          <w:color w:val="auto"/>
        </w:rPr>
      </w:pPr>
    </w:p>
    <w:p>
      <w:pPr>
        <w:ind w:left="1382" w:right="240" w:hanging="689"/>
        <w:spacing w:after="0" w:line="227" w:lineRule="auto"/>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0" w:lineRule="exact"/>
        <w:rPr>
          <w:rFonts w:ascii="Arial" w:cs="Arial" w:eastAsia="Arial" w:hAnsi="Arial"/>
          <w:sz w:val="18"/>
          <w:szCs w:val="18"/>
          <w:color w:val="auto"/>
        </w:rPr>
      </w:pPr>
    </w:p>
    <w:p>
      <w:pPr>
        <w:ind w:left="1402" w:hanging="709"/>
        <w:spacing w:after="0"/>
        <w:tabs>
          <w:tab w:leader="none" w:pos="1402"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4" w:lineRule="exact"/>
        <w:rPr>
          <w:sz w:val="20"/>
          <w:szCs w:val="20"/>
          <w:color w:val="auto"/>
        </w:rPr>
      </w:pPr>
    </w:p>
    <w:p>
      <w:pPr>
        <w:ind w:left="4842"/>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85090</wp:posOffset>
            </wp:positionV>
            <wp:extent cx="713613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522"/>
          </w:cols>
          <w:pgMar w:left="1018" w:top="455" w:right="359" w:bottom="1440" w:gutter="0" w:footer="0" w:header="0"/>
        </w:sectPr>
      </w:pPr>
    </w:p>
    <w:bookmarkStart w:id="15" w:name="page16"/>
    <w:bookmarkEnd w:id="15"/>
    <w:p>
      <w:pPr>
        <w:ind w:left="695" w:right="20" w:hanging="695"/>
        <w:spacing w:after="0" w:line="236" w:lineRule="auto"/>
        <w:tabs>
          <w:tab w:leader="none" w:pos="7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19" w:lineRule="exact"/>
        <w:rPr>
          <w:rFonts w:ascii="Arial" w:cs="Arial" w:eastAsia="Arial" w:hAnsi="Arial"/>
          <w:sz w:val="16"/>
          <w:szCs w:val="16"/>
          <w:color w:val="auto"/>
        </w:rPr>
      </w:pPr>
    </w:p>
    <w:p>
      <w:pPr>
        <w:ind w:left="695" w:hanging="695"/>
        <w:spacing w:after="0" w:line="230"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36"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13613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15"/>
          </w:cols>
          <w:pgMar w:left="325" w:top="455" w:right="3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SIGNATURES</w:t>
      </w:r>
    </w:p>
    <w:p>
      <w:pPr>
        <w:spacing w:after="0" w:line="140" w:lineRule="exact"/>
        <w:rPr>
          <w:sz w:val="20"/>
          <w:szCs w:val="20"/>
          <w:color w:val="auto"/>
        </w:rPr>
      </w:pPr>
    </w:p>
    <w:p>
      <w:pPr>
        <w:ind w:right="140" w:firstLine="420"/>
        <w:spacing w:after="0" w:line="217" w:lineRule="auto"/>
        <w:rPr>
          <w:sz w:val="20"/>
          <w:szCs w:val="20"/>
          <w:color w:val="auto"/>
        </w:rPr>
      </w:pPr>
      <w:r>
        <w:rPr>
          <w:rFonts w:ascii="Arial" w:cs="Arial" w:eastAsia="Arial" w:hAnsi="Arial"/>
          <w:sz w:val="18"/>
          <w:szCs w:val="18"/>
          <w:color w:val="auto"/>
        </w:rPr>
        <w:t>Pursuant to the requirements of the Securities Act, the registrant hereby certifies that it has reasonable grounds to believe that it meets all of the requirements for filing on Form S-3 and has duly caused this registration statement to be signed on its behalf by the undersigned, thereunto duly authorized, in the city of Salt Lake City, Utah on this 1st day of June,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CLEARONE, INC.</w:t>
            </w:r>
          </w:p>
        </w:tc>
        <w:tc>
          <w:tcPr>
            <w:tcW w:w="0" w:type="dxa"/>
            <w:vAlign w:val="bottom"/>
          </w:tcPr>
          <w:p>
            <w:pPr>
              <w:spacing w:after="0"/>
              <w:rPr>
                <w:sz w:val="1"/>
                <w:szCs w:val="1"/>
                <w:color w:val="auto"/>
              </w:rPr>
            </w:pPr>
          </w:p>
        </w:tc>
      </w:tr>
      <w:tr>
        <w:trPr>
          <w:trHeight w:val="242"/>
        </w:trPr>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gridSpan w:val="3"/>
          </w:tcPr>
          <w:p>
            <w:pPr>
              <w:ind w:left="3120"/>
              <w:spacing w:after="0"/>
              <w:rPr>
                <w:sz w:val="20"/>
                <w:szCs w:val="20"/>
                <w:color w:val="auto"/>
              </w:rPr>
            </w:pPr>
            <w:r>
              <w:rPr>
                <w:rFonts w:ascii="Arial" w:cs="Arial" w:eastAsia="Arial" w:hAnsi="Arial"/>
                <w:sz w:val="18"/>
                <w:szCs w:val="18"/>
                <w:color w:val="auto"/>
              </w:rPr>
              <w:t>By:   /s/ Zeynep Hakimoglu</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14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color w:val="auto"/>
              </w:rPr>
              <w:t>Zeynep Hakimoglu</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828"/>
        </w:trPr>
        <w:tc>
          <w:tcPr>
            <w:tcW w:w="192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c>
          <w:tcPr>
            <w:tcW w:w="9320" w:type="dxa"/>
            <w:vAlign w:val="bottom"/>
            <w:gridSpan w:val="4"/>
          </w:tcPr>
          <w:p>
            <w:pPr>
              <w:spacing w:after="0"/>
              <w:rPr>
                <w:sz w:val="20"/>
                <w:szCs w:val="20"/>
                <w:color w:val="auto"/>
              </w:rPr>
            </w:pPr>
            <w:r>
              <w:rPr>
                <w:rFonts w:ascii="Arial" w:cs="Arial" w:eastAsia="Arial" w:hAnsi="Arial"/>
                <w:sz w:val="13"/>
                <w:szCs w:val="13"/>
                <w:b w:val="1"/>
                <w:bCs w:val="1"/>
                <w:color w:val="auto"/>
              </w:rPr>
              <w:t>Signatures</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660" w:type="dxa"/>
            <w:vAlign w:val="bottom"/>
            <w:vMerge w:val="restart"/>
          </w:tcPr>
          <w:p>
            <w:pPr>
              <w:jc w:val="right"/>
              <w:ind w:right="932"/>
              <w:spacing w:after="0"/>
              <w:rPr>
                <w:sz w:val="20"/>
                <w:szCs w:val="20"/>
                <w:color w:val="auto"/>
              </w:rPr>
            </w:pPr>
            <w:r>
              <w:rPr>
                <w:rFonts w:ascii="Arial" w:cs="Arial" w:eastAsia="Arial" w:hAnsi="Arial"/>
                <w:sz w:val="18"/>
                <w:szCs w:val="18"/>
                <w:color w:val="auto"/>
              </w:rPr>
              <w:t>1, 2020</w:t>
            </w:r>
          </w:p>
        </w:tc>
        <w:tc>
          <w:tcPr>
            <w:tcW w:w="600" w:type="dxa"/>
            <w:vAlign w:val="bottom"/>
            <w:shd w:val="clear" w:color="auto" w:fill="000000"/>
          </w:tcPr>
          <w:p>
            <w:pPr>
              <w:spacing w:after="0" w:line="20" w:lineRule="exact"/>
              <w:rPr>
                <w:sz w:val="1"/>
                <w:szCs w:val="1"/>
                <w:color w:val="auto"/>
              </w:rPr>
            </w:pPr>
          </w:p>
        </w:tc>
        <w:tc>
          <w:tcPr>
            <w:tcW w:w="8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60" w:type="dxa"/>
            <w:vAlign w:val="bottom"/>
          </w:tcPr>
          <w:p>
            <w:pPr>
              <w:spacing w:after="0"/>
              <w:rPr>
                <w:sz w:val="20"/>
                <w:szCs w:val="20"/>
                <w:color w:val="auto"/>
              </w:rPr>
            </w:pPr>
            <w:r>
              <w:rPr>
                <w:rFonts w:ascii="Arial" w:cs="Arial" w:eastAsia="Arial" w:hAnsi="Arial"/>
                <w:sz w:val="15"/>
                <w:szCs w:val="15"/>
                <w:color w:val="auto"/>
                <w:w w:val="73"/>
              </w:rPr>
              <w:t>June</w:t>
            </w:r>
          </w:p>
        </w:tc>
        <w:tc>
          <w:tcPr>
            <w:tcW w:w="1660" w:type="dxa"/>
            <w:vAlign w:val="bottom"/>
            <w:vMerge w:val="continue"/>
          </w:tcPr>
          <w:p>
            <w:pPr>
              <w:spacing w:after="0"/>
              <w:rPr>
                <w:sz w:val="16"/>
                <w:szCs w:val="16"/>
                <w:color w:val="auto"/>
              </w:rPr>
            </w:pPr>
          </w:p>
        </w:tc>
        <w:tc>
          <w:tcPr>
            <w:tcW w:w="9320" w:type="dxa"/>
            <w:vAlign w:val="bottom"/>
            <w:gridSpan w:val="4"/>
          </w:tcPr>
          <w:p>
            <w:pPr>
              <w:spacing w:after="0" w:line="191" w:lineRule="exact"/>
              <w:rPr>
                <w:sz w:val="20"/>
                <w:szCs w:val="20"/>
                <w:color w:val="auto"/>
              </w:rPr>
            </w:pPr>
            <w:r>
              <w:rPr>
                <w:rFonts w:ascii="Arial" w:cs="Arial" w:eastAsia="Arial" w:hAnsi="Arial"/>
                <w:sz w:val="18"/>
                <w:szCs w:val="18"/>
                <w:color w:val="auto"/>
              </w:rPr>
              <w:t>/s/ Zeynep Hakimoglu</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320" w:type="dxa"/>
            <w:vAlign w:val="bottom"/>
            <w:gridSpan w:val="4"/>
          </w:tcPr>
          <w:p>
            <w:pPr>
              <w:spacing w:after="0"/>
              <w:rPr>
                <w:sz w:val="20"/>
                <w:szCs w:val="20"/>
                <w:color w:val="auto"/>
              </w:rPr>
            </w:pPr>
            <w:r>
              <w:rPr>
                <w:rFonts w:ascii="Arial" w:cs="Arial" w:eastAsia="Arial" w:hAnsi="Arial"/>
                <w:sz w:val="18"/>
                <w:szCs w:val="18"/>
                <w:color w:val="auto"/>
              </w:rPr>
              <w:t>Zeynep Hakimoglu, Chairman of the Board of Directors, President and Chief Executive Officer</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320" w:type="dxa"/>
            <w:vAlign w:val="bottom"/>
            <w:gridSpan w:val="4"/>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74"/>
        </w:trPr>
        <w:tc>
          <w:tcPr>
            <w:tcW w:w="1920" w:type="dxa"/>
            <w:vAlign w:val="bottom"/>
            <w:gridSpan w:val="2"/>
          </w:tcPr>
          <w:p>
            <w:pPr>
              <w:spacing w:after="0"/>
              <w:rPr>
                <w:sz w:val="20"/>
                <w:szCs w:val="20"/>
                <w:color w:val="auto"/>
              </w:rPr>
            </w:pPr>
            <w:r>
              <w:rPr>
                <w:rFonts w:ascii="Arial" w:cs="Arial" w:eastAsia="Arial" w:hAnsi="Arial"/>
                <w:sz w:val="18"/>
                <w:szCs w:val="18"/>
                <w:color w:val="auto"/>
              </w:rPr>
              <w:t>June 1, 2020</w:t>
            </w:r>
          </w:p>
        </w:tc>
        <w:tc>
          <w:tcPr>
            <w:tcW w:w="9320" w:type="dxa"/>
            <w:vAlign w:val="bottom"/>
            <w:gridSpan w:val="4"/>
          </w:tcPr>
          <w:p>
            <w:pPr>
              <w:spacing w:after="0"/>
              <w:rPr>
                <w:sz w:val="20"/>
                <w:szCs w:val="20"/>
                <w:color w:val="auto"/>
              </w:rPr>
            </w:pPr>
            <w:r>
              <w:rPr>
                <w:rFonts w:ascii="Arial" w:cs="Arial" w:eastAsia="Arial" w:hAnsi="Arial"/>
                <w:sz w:val="18"/>
                <w:szCs w:val="18"/>
                <w:color w:val="auto"/>
              </w:rPr>
              <w:t>/s/ Narsi Narayanan</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320" w:type="dxa"/>
            <w:vAlign w:val="bottom"/>
            <w:gridSpan w:val="4"/>
          </w:tcPr>
          <w:p>
            <w:pPr>
              <w:spacing w:after="0"/>
              <w:rPr>
                <w:sz w:val="20"/>
                <w:szCs w:val="20"/>
                <w:color w:val="auto"/>
              </w:rPr>
            </w:pPr>
            <w:r>
              <w:rPr>
                <w:rFonts w:ascii="Arial" w:cs="Arial" w:eastAsia="Arial" w:hAnsi="Arial"/>
                <w:sz w:val="18"/>
                <w:szCs w:val="18"/>
                <w:color w:val="auto"/>
              </w:rPr>
              <w:t>Narsi Narayanan, Senior Vice President of Finance</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320" w:type="dxa"/>
            <w:vAlign w:val="bottom"/>
            <w:gridSpan w:val="4"/>
          </w:tcPr>
          <w:p>
            <w:pPr>
              <w:spacing w:after="0"/>
              <w:rPr>
                <w:sz w:val="20"/>
                <w:szCs w:val="20"/>
                <w:color w:val="auto"/>
              </w:rPr>
            </w:pPr>
            <w:r>
              <w:rPr>
                <w:rFonts w:ascii="Arial" w:cs="Arial" w:eastAsia="Arial" w:hAnsi="Arial"/>
                <w:sz w:val="18"/>
                <w:szCs w:val="18"/>
                <w:color w:val="auto"/>
              </w:rPr>
              <w:t>(Principal Financial and Principal Accounting Officer)</w:t>
            </w:r>
          </w:p>
        </w:tc>
        <w:tc>
          <w:tcPr>
            <w:tcW w:w="0" w:type="dxa"/>
            <w:vAlign w:val="bottom"/>
          </w:tcPr>
          <w:p>
            <w:pPr>
              <w:spacing w:after="0"/>
              <w:rPr>
                <w:sz w:val="1"/>
                <w:szCs w:val="1"/>
                <w:color w:val="auto"/>
              </w:rPr>
            </w:pPr>
          </w:p>
        </w:tc>
      </w:tr>
      <w:tr>
        <w:trPr>
          <w:trHeight w:val="566"/>
        </w:trPr>
        <w:tc>
          <w:tcPr>
            <w:tcW w:w="1920" w:type="dxa"/>
            <w:vAlign w:val="bottom"/>
            <w:gridSpan w:val="2"/>
          </w:tcPr>
          <w:p>
            <w:pPr>
              <w:spacing w:after="0"/>
              <w:rPr>
                <w:sz w:val="20"/>
                <w:szCs w:val="20"/>
                <w:color w:val="auto"/>
              </w:rPr>
            </w:pPr>
            <w:r>
              <w:rPr>
                <w:rFonts w:ascii="Arial" w:cs="Arial" w:eastAsia="Arial" w:hAnsi="Arial"/>
                <w:sz w:val="18"/>
                <w:szCs w:val="18"/>
                <w:color w:val="auto"/>
              </w:rPr>
              <w:t>June 1, 2020</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320" w:type="dxa"/>
            <w:vAlign w:val="bottom"/>
            <w:gridSpan w:val="4"/>
          </w:tcPr>
          <w:p>
            <w:pPr>
              <w:spacing w:after="0"/>
              <w:rPr>
                <w:sz w:val="20"/>
                <w:szCs w:val="20"/>
                <w:color w:val="auto"/>
              </w:rPr>
            </w:pPr>
            <w:r>
              <w:rPr>
                <w:rFonts w:ascii="Arial" w:cs="Arial" w:eastAsia="Arial" w:hAnsi="Arial"/>
                <w:sz w:val="18"/>
                <w:szCs w:val="18"/>
                <w:color w:val="auto"/>
              </w:rPr>
              <w:t>Larry R. Hendricks, Director</w:t>
            </w:r>
          </w:p>
        </w:tc>
        <w:tc>
          <w:tcPr>
            <w:tcW w:w="0" w:type="dxa"/>
            <w:vAlign w:val="bottom"/>
          </w:tcPr>
          <w:p>
            <w:pPr>
              <w:spacing w:after="0"/>
              <w:rPr>
                <w:sz w:val="1"/>
                <w:szCs w:val="1"/>
                <w:color w:val="auto"/>
              </w:rPr>
            </w:pPr>
          </w:p>
        </w:tc>
      </w:tr>
      <w:tr>
        <w:trPr>
          <w:trHeight w:val="461"/>
        </w:trPr>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920" w:type="dxa"/>
            <w:vAlign w:val="bottom"/>
            <w:gridSpan w:val="2"/>
          </w:tcPr>
          <w:p>
            <w:pPr>
              <w:spacing w:after="0"/>
              <w:rPr>
                <w:sz w:val="20"/>
                <w:szCs w:val="20"/>
                <w:color w:val="auto"/>
              </w:rPr>
            </w:pPr>
            <w:r>
              <w:rPr>
                <w:rFonts w:ascii="Arial" w:cs="Arial" w:eastAsia="Arial" w:hAnsi="Arial"/>
                <w:sz w:val="18"/>
                <w:szCs w:val="18"/>
                <w:color w:val="auto"/>
              </w:rPr>
              <w:t>June 1, 2020</w:t>
            </w:r>
          </w:p>
        </w:tc>
        <w:tc>
          <w:tcPr>
            <w:tcW w:w="9320" w:type="dxa"/>
            <w:vAlign w:val="bottom"/>
            <w:gridSpan w:val="4"/>
          </w:tcPr>
          <w:p>
            <w:pPr>
              <w:spacing w:after="0"/>
              <w:rPr>
                <w:sz w:val="20"/>
                <w:szCs w:val="20"/>
                <w:color w:val="auto"/>
              </w:rPr>
            </w:pPr>
            <w:r>
              <w:rPr>
                <w:rFonts w:ascii="Arial" w:cs="Arial" w:eastAsia="Arial" w:hAnsi="Arial"/>
                <w:sz w:val="18"/>
                <w:szCs w:val="18"/>
                <w:color w:val="auto"/>
              </w:rPr>
              <w:t>Eric L. Robinson, Director</w:t>
            </w:r>
          </w:p>
        </w:tc>
        <w:tc>
          <w:tcPr>
            <w:tcW w:w="0" w:type="dxa"/>
            <w:vAlign w:val="bottom"/>
          </w:tcPr>
          <w:p>
            <w:pPr>
              <w:spacing w:after="0"/>
              <w:rPr>
                <w:sz w:val="1"/>
                <w:szCs w:val="1"/>
                <w:color w:val="auto"/>
              </w:rPr>
            </w:pPr>
          </w:p>
        </w:tc>
      </w:tr>
      <w:tr>
        <w:trPr>
          <w:trHeight w:val="434"/>
        </w:trPr>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920" w:type="dxa"/>
            <w:vAlign w:val="bottom"/>
            <w:gridSpan w:val="2"/>
          </w:tcPr>
          <w:p>
            <w:pPr>
              <w:spacing w:after="0"/>
              <w:rPr>
                <w:sz w:val="20"/>
                <w:szCs w:val="20"/>
                <w:color w:val="auto"/>
              </w:rPr>
            </w:pPr>
            <w:r>
              <w:rPr>
                <w:rFonts w:ascii="Arial" w:cs="Arial" w:eastAsia="Arial" w:hAnsi="Arial"/>
                <w:sz w:val="18"/>
                <w:szCs w:val="18"/>
                <w:color w:val="auto"/>
              </w:rPr>
              <w:t>June 1, 2020</w:t>
            </w:r>
          </w:p>
        </w:tc>
        <w:tc>
          <w:tcPr>
            <w:tcW w:w="9320" w:type="dxa"/>
            <w:vAlign w:val="bottom"/>
            <w:gridSpan w:val="4"/>
          </w:tcPr>
          <w:p>
            <w:pPr>
              <w:spacing w:after="0"/>
              <w:rPr>
                <w:sz w:val="20"/>
                <w:szCs w:val="20"/>
                <w:color w:val="auto"/>
              </w:rPr>
            </w:pPr>
            <w:r>
              <w:rPr>
                <w:rFonts w:ascii="Arial" w:cs="Arial" w:eastAsia="Arial" w:hAnsi="Arial"/>
                <w:sz w:val="18"/>
                <w:szCs w:val="18"/>
                <w:color w:val="auto"/>
              </w:rPr>
              <w:t>Bruce Whaley,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800" w:hanging="782"/>
        <w:spacing w:after="0"/>
        <w:tabs>
          <w:tab w:leader="none" w:pos="800" w:val="left"/>
        </w:tabs>
        <w:numPr>
          <w:ilvl w:val="0"/>
          <w:numId w:val="11"/>
        </w:numPr>
        <w:rPr>
          <w:rFonts w:ascii="Arial" w:cs="Arial" w:eastAsia="Arial" w:hAnsi="Arial"/>
          <w:sz w:val="35"/>
          <w:szCs w:val="35"/>
          <w:color w:val="auto"/>
          <w:vertAlign w:val="superscript"/>
        </w:rPr>
      </w:pPr>
      <w:r>
        <w:rPr>
          <w:rFonts w:ascii="Arial" w:cs="Arial" w:eastAsia="Arial" w:hAnsi="Arial"/>
          <w:sz w:val="18"/>
          <w:szCs w:val="18"/>
          <w:color w:val="auto"/>
        </w:rPr>
        <w:t>/s/ Narsi Narayanan</w:t>
      </w:r>
    </w:p>
    <w:p>
      <w:pPr>
        <w:ind w:left="20"/>
        <w:spacing w:after="0"/>
        <w:rPr>
          <w:rFonts w:ascii="Arial" w:cs="Arial" w:eastAsia="Arial" w:hAnsi="Arial"/>
          <w:sz w:val="35"/>
          <w:szCs w:val="35"/>
          <w:color w:val="auto"/>
          <w:vertAlign w:val="superscript"/>
        </w:rPr>
      </w:pPr>
      <w:r>
        <w:rPr>
          <w:rFonts w:ascii="Arial" w:cs="Arial" w:eastAsia="Arial" w:hAnsi="Arial"/>
          <w:sz w:val="18"/>
          <w:szCs w:val="18"/>
          <w:color w:val="auto"/>
        </w:rPr>
        <w:t>By:</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Name: Narsi Narayanan</w:t>
      </w:r>
    </w:p>
    <w:p>
      <w:pPr>
        <w:spacing w:after="0" w:line="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613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7" w:name="page18"/>
    <w:bookmarkEnd w:id="17"/>
    <w:p>
      <w:pPr>
        <w:ind w:left="494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08" w:lineRule="exact"/>
        <w:rPr>
          <w:sz w:val="20"/>
          <w:szCs w:val="20"/>
          <w:color w:val="auto"/>
        </w:rPr>
      </w:pPr>
    </w:p>
    <w:p>
      <w:pPr>
        <w:ind w:left="960" w:hanging="537"/>
        <w:spacing w:after="0" w:line="291"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35">
        <w:r>
          <w:rPr>
            <w:rFonts w:ascii="Arial" w:cs="Arial" w:eastAsia="Arial" w:hAnsi="Arial"/>
            <w:sz w:val="16"/>
            <w:szCs w:val="16"/>
            <w:u w:val="single" w:color="auto"/>
            <w:color w:val="0000EE"/>
          </w:rPr>
          <w:t>Description of Securities Registered Pursuant to Section 12 of the Securities Exchange Act of 1934 (filed as Exhibit 4.1 to ClearOne, Inc.’s</w:t>
        </w:r>
      </w:hyperlink>
      <w:r>
        <w:rPr>
          <w:rFonts w:ascii="Arial" w:cs="Arial" w:eastAsia="Arial" w:hAnsi="Arial"/>
          <w:sz w:val="16"/>
          <w:szCs w:val="16"/>
          <w:u w:val="single" w:color="auto"/>
          <w:color w:val="0000EE"/>
        </w:rPr>
        <w:t xml:space="preserve"> </w:t>
      </w:r>
      <w:hyperlink r:id="rId35">
        <w:r>
          <w:rPr>
            <w:rFonts w:ascii="Arial" w:cs="Arial" w:eastAsia="Arial" w:hAnsi="Arial"/>
            <w:sz w:val="16"/>
            <w:szCs w:val="16"/>
            <w:u w:val="single" w:color="auto"/>
            <w:color w:val="0000EE"/>
          </w:rPr>
          <w:t>Annual Report on Form 10-K for the year ended December 31, 2019 and incorporated herein by reference).</w:t>
        </w:r>
      </w:hyperlink>
    </w:p>
    <w:p>
      <w:pPr>
        <w:ind w:left="420"/>
        <w:spacing w:after="0"/>
        <w:tabs>
          <w:tab w:leader="none" w:pos="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Seyfarth Shaw LLP regarding the validity of the securities being issued.*</w:t>
      </w:r>
    </w:p>
    <w:p>
      <w:pPr>
        <w:spacing w:after="0" w:line="213" w:lineRule="exact"/>
        <w:rPr>
          <w:sz w:val="20"/>
          <w:szCs w:val="20"/>
          <w:color w:val="auto"/>
        </w:rPr>
      </w:pPr>
    </w:p>
    <w:p>
      <w:pPr>
        <w:ind w:left="420"/>
        <w:spacing w:after="0"/>
        <w:tabs>
          <w:tab w:leader="none" w:pos="940" w:val="left"/>
        </w:tabs>
        <w:rPr>
          <w:rFonts w:ascii="Arial" w:cs="Arial" w:eastAsia="Arial" w:hAnsi="Arial"/>
          <w:sz w:val="15"/>
          <w:szCs w:val="15"/>
          <w:u w:val="single" w:color="auto"/>
          <w:color w:val="0000EE"/>
        </w:rPr>
      </w:pPr>
      <w:r>
        <w:rPr>
          <w:rFonts w:ascii="Arial" w:cs="Arial" w:eastAsia="Arial" w:hAnsi="Arial"/>
          <w:sz w:val="18"/>
          <w:szCs w:val="18"/>
          <w:color w:val="auto"/>
        </w:rPr>
        <w:t>23.1</w:t>
      </w:r>
      <w:r>
        <w:rPr>
          <w:sz w:val="20"/>
          <w:szCs w:val="20"/>
          <w:color w:val="auto"/>
        </w:rPr>
        <w:tab/>
      </w:r>
      <w:hyperlink w:anchor="page19">
        <w:r>
          <w:rPr>
            <w:rFonts w:ascii="Arial" w:cs="Arial" w:eastAsia="Arial" w:hAnsi="Arial"/>
            <w:sz w:val="15"/>
            <w:szCs w:val="15"/>
            <w:u w:val="single" w:color="auto"/>
            <w:color w:val="0000EE"/>
          </w:rPr>
          <w:t>Consent of Tanner LLC</w:t>
        </w:r>
      </w:hyperlink>
    </w:p>
    <w:p>
      <w:pPr>
        <w:spacing w:after="0" w:line="239"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Seyfarth Shaw LLP.*</w:t>
      </w:r>
    </w:p>
    <w:p>
      <w:pPr>
        <w:spacing w:after="0" w:line="213"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3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613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700"/>
          </w:cols>
          <w:pgMar w:left="320" w:top="541" w:right="879" w:bottom="1440" w:gutter="0" w:footer="0" w:header="0"/>
        </w:sectPr>
      </w:pPr>
    </w:p>
    <w:bookmarkStart w:id="18" w:name="page19"/>
    <w:bookmarkEnd w:id="18"/>
    <w:p>
      <w:pPr>
        <w:jc w:val="right"/>
        <w:spacing w:after="0"/>
        <w:rPr>
          <w:sz w:val="20"/>
          <w:szCs w:val="20"/>
          <w:color w:val="auto"/>
        </w:rPr>
      </w:pPr>
      <w:r>
        <w:rPr>
          <w:rFonts w:ascii="Arial" w:cs="Arial" w:eastAsia="Arial" w:hAnsi="Arial"/>
          <w:sz w:val="19"/>
          <w:szCs w:val="19"/>
          <w:b w:val="1"/>
          <w:bCs w:val="1"/>
          <w:color w:val="auto"/>
        </w:rPr>
        <w:t>Exhibit 23.1</w:t>
      </w: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CONSENT OF INDEPENDENT REGISTERED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PUBLIC ACCOUNTING FIRM</w:t>
      </w:r>
    </w:p>
    <w:p>
      <w:pPr>
        <w:spacing w:after="0" w:line="200" w:lineRule="exact"/>
        <w:rPr>
          <w:sz w:val="20"/>
          <w:szCs w:val="20"/>
          <w:color w:val="auto"/>
        </w:rPr>
      </w:pPr>
    </w:p>
    <w:p>
      <w:pPr>
        <w:spacing w:after="0" w:line="226" w:lineRule="exact"/>
        <w:rPr>
          <w:sz w:val="20"/>
          <w:szCs w:val="20"/>
          <w:color w:val="auto"/>
        </w:rPr>
      </w:pPr>
    </w:p>
    <w:p>
      <w:pPr>
        <w:ind w:right="60" w:firstLine="840"/>
        <w:spacing w:after="0" w:line="290" w:lineRule="auto"/>
        <w:rPr>
          <w:sz w:val="20"/>
          <w:szCs w:val="20"/>
          <w:color w:val="auto"/>
        </w:rPr>
      </w:pPr>
      <w:r>
        <w:rPr>
          <w:rFonts w:ascii="Arial" w:cs="Arial" w:eastAsia="Arial" w:hAnsi="Arial"/>
          <w:sz w:val="16"/>
          <w:szCs w:val="16"/>
          <w:color w:val="auto"/>
        </w:rPr>
        <w:t>We hereby consent to the incorporation by reference in this Registration Statement on Form S-3/A of our report dated March 30, 2020, with respect to the consolidated balance sheets of ClearOne, Inc. and subsidiaries as of December 31, 2019 and 2018, and the related consolidated statements of operations and comprehensive loss, shareholders’ equity, and cash flows for each of the years in the two-year period ended December 31, 2019, and to the reference to our firm under the heading “Experts” in this Registration Statement on Form S-3/A.</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 TANNER LLC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 2020</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13613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8">
    <w:nsid w:val="4DB127F8"/>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abstractNum w:abstractNumId="9">
    <w:nsid w:val="216231B"/>
    <w:multiLevelType w:val="hybridMultilevel"/>
    <w:lvl w:ilvl="0">
      <w:lvlJc w:val="left"/>
      <w:lvlText w:val="%1."/>
      <w:numFmt w:val="upperLetter"/>
      <w:start w:val="2"/>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5" Type="http://schemas.openxmlformats.org/officeDocument/2006/relationships/hyperlink" Target="http://www.sec.gov/Archives/edgar/data/840715/000175392620000071/ex4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2020-06-01T16:23:09Z</dcterms:created>
  <dcterms:modified xsi:type="dcterms:W3CDTF">2020-06-01T16:23:09Z</dcterms:modified>
</cp:coreProperties>
</file>