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10-K/A</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378"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2" w:lineRule="exact"/>
        <w:rPr>
          <w:sz w:val="24"/>
          <w:szCs w:val="24"/>
          <w:color w:val="auto"/>
        </w:rPr>
      </w:pPr>
    </w:p>
    <w:p>
      <w:pPr>
        <w:ind w:left="1060" w:right="2420" w:hanging="1025"/>
        <w:spacing w:after="0" w:line="298" w:lineRule="auto"/>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December 31, 2014</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ind w:left="40"/>
              <w:spacing w:after="0"/>
              <w:rPr>
                <w:sz w:val="20"/>
                <w:szCs w:val="20"/>
                <w:color w:val="auto"/>
              </w:rPr>
            </w:pPr>
            <w:r>
              <w:rPr>
                <w:rFonts w:ascii="Arial" w:cs="Arial" w:eastAsia="Arial" w:hAnsi="Arial"/>
                <w:sz w:val="16"/>
                <w:szCs w:val="16"/>
                <w:color w:val="auto"/>
              </w:rPr>
              <w:t>[ ]</w:t>
            </w:r>
          </w:p>
        </w:tc>
        <w:tc>
          <w:tcPr>
            <w:tcW w:w="10780" w:type="dxa"/>
            <w:vAlign w:val="bottom"/>
            <w:gridSpan w:val="5"/>
          </w:tcPr>
          <w:p>
            <w:pPr>
              <w:ind w:left="44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tc>
      </w:tr>
      <w:tr>
        <w:trPr>
          <w:trHeight w:val="206"/>
        </w:trPr>
        <w:tc>
          <w:tcPr>
            <w:tcW w:w="620" w:type="dxa"/>
            <w:vAlign w:val="bottom"/>
          </w:tcPr>
          <w:p>
            <w:pPr>
              <w:spacing w:after="0"/>
              <w:rPr>
                <w:sz w:val="17"/>
                <w:szCs w:val="17"/>
                <w:color w:val="auto"/>
              </w:rPr>
            </w:pPr>
          </w:p>
        </w:tc>
        <w:tc>
          <w:tcPr>
            <w:tcW w:w="5540" w:type="dxa"/>
            <w:vAlign w:val="bottom"/>
            <w:gridSpan w:val="4"/>
          </w:tcPr>
          <w:p>
            <w:pPr>
              <w:ind w:left="440"/>
              <w:spacing w:after="0"/>
              <w:rPr>
                <w:sz w:val="20"/>
                <w:szCs w:val="20"/>
                <w:color w:val="auto"/>
              </w:rPr>
            </w:pPr>
            <w:r>
              <w:rPr>
                <w:rFonts w:ascii="Arial" w:cs="Arial" w:eastAsia="Arial" w:hAnsi="Arial"/>
                <w:sz w:val="16"/>
                <w:szCs w:val="16"/>
                <w:color w:val="auto"/>
              </w:rPr>
              <w:t>For the transition period from _________ to ___________</w:t>
            </w:r>
          </w:p>
        </w:tc>
        <w:tc>
          <w:tcPr>
            <w:tcW w:w="5240" w:type="dxa"/>
            <w:vAlign w:val="bottom"/>
          </w:tcPr>
          <w:p>
            <w:pPr>
              <w:spacing w:after="0"/>
              <w:rPr>
                <w:sz w:val="17"/>
                <w:szCs w:val="17"/>
                <w:color w:val="auto"/>
              </w:rPr>
            </w:pPr>
          </w:p>
        </w:tc>
      </w:tr>
      <w:tr>
        <w:trPr>
          <w:trHeight w:val="411"/>
        </w:trPr>
        <w:tc>
          <w:tcPr>
            <w:tcW w:w="6160" w:type="dxa"/>
            <w:vAlign w:val="bottom"/>
            <w:gridSpan w:val="5"/>
          </w:tcPr>
          <w:p>
            <w:pPr>
              <w:spacing w:after="0"/>
              <w:rPr>
                <w:sz w:val="20"/>
                <w:szCs w:val="20"/>
                <w:color w:val="auto"/>
              </w:rPr>
            </w:pPr>
            <w:r>
              <w:rPr>
                <w:rFonts w:ascii="Arial" w:cs="Arial" w:eastAsia="Arial" w:hAnsi="Arial"/>
                <w:sz w:val="16"/>
                <w:szCs w:val="16"/>
                <w:color w:val="auto"/>
              </w:rPr>
              <w:t>Commission file number 001-33660</w:t>
            </w:r>
          </w:p>
        </w:tc>
        <w:tc>
          <w:tcPr>
            <w:tcW w:w="5240" w:type="dxa"/>
            <w:vAlign w:val="bottom"/>
          </w:tcPr>
          <w:p>
            <w:pPr>
              <w:spacing w:after="0"/>
              <w:rPr>
                <w:sz w:val="24"/>
                <w:szCs w:val="24"/>
                <w:color w:val="auto"/>
              </w:rPr>
            </w:pPr>
          </w:p>
        </w:tc>
      </w:tr>
      <w:tr>
        <w:trPr>
          <w:trHeight w:val="209"/>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9040" w:type="dxa"/>
            <w:vAlign w:val="bottom"/>
            <w:gridSpan w:val="3"/>
          </w:tcPr>
          <w:p>
            <w:pPr>
              <w:jc w:val="center"/>
              <w:ind w:right="2239"/>
              <w:spacing w:after="0"/>
              <w:rPr>
                <w:sz w:val="20"/>
                <w:szCs w:val="20"/>
                <w:color w:val="auto"/>
              </w:rPr>
            </w:pPr>
            <w:r>
              <w:rPr>
                <w:rFonts w:ascii="Arial" w:cs="Arial" w:eastAsia="Arial" w:hAnsi="Arial"/>
                <w:sz w:val="18"/>
                <w:szCs w:val="18"/>
                <w:b w:val="1"/>
                <w:bCs w:val="1"/>
                <w:color w:val="auto"/>
              </w:rPr>
              <w:t>CLEARONE, INC.</w:t>
            </w:r>
          </w:p>
        </w:tc>
      </w:tr>
      <w:tr>
        <w:trPr>
          <w:trHeight w:val="230"/>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40" w:type="dxa"/>
            <w:vAlign w:val="bottom"/>
            <w:gridSpan w:val="3"/>
          </w:tcPr>
          <w:p>
            <w:pPr>
              <w:jc w:val="center"/>
              <w:ind w:right="2239"/>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59"/>
        </w:trPr>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0" w:type="dxa"/>
            <w:vAlign w:val="bottom"/>
            <w:gridSpan w:val="2"/>
          </w:tcPr>
          <w:p>
            <w:pPr>
              <w:jc w:val="center"/>
              <w:ind w:right="2460"/>
              <w:spacing w:after="0"/>
              <w:rPr>
                <w:sz w:val="20"/>
                <w:szCs w:val="20"/>
                <w:color w:val="auto"/>
              </w:rPr>
            </w:pPr>
            <w:r>
              <w:rPr>
                <w:rFonts w:ascii="Arial" w:cs="Arial" w:eastAsia="Arial" w:hAnsi="Arial"/>
                <w:sz w:val="16"/>
                <w:szCs w:val="16"/>
                <w:b w:val="1"/>
                <w:bCs w:val="1"/>
                <w:color w:val="auto"/>
                <w:w w:val="95"/>
              </w:rPr>
              <w:t>Utah</w:t>
            </w:r>
          </w:p>
        </w:tc>
        <w:tc>
          <w:tcPr>
            <w:tcW w:w="5240" w:type="dxa"/>
            <w:vAlign w:val="bottom"/>
          </w:tcPr>
          <w:p>
            <w:pPr>
              <w:jc w:val="right"/>
              <w:ind w:right="2139"/>
              <w:spacing w:after="0"/>
              <w:rPr>
                <w:sz w:val="20"/>
                <w:szCs w:val="20"/>
                <w:color w:val="auto"/>
              </w:rPr>
            </w:pPr>
            <w:r>
              <w:rPr>
                <w:rFonts w:ascii="Arial" w:cs="Arial" w:eastAsia="Arial" w:hAnsi="Arial"/>
                <w:sz w:val="16"/>
                <w:szCs w:val="16"/>
                <w:b w:val="1"/>
                <w:bCs w:val="1"/>
                <w:color w:val="auto"/>
              </w:rPr>
              <w:t>87-0398877</w:t>
            </w:r>
          </w:p>
        </w:tc>
      </w:tr>
      <w:tr>
        <w:trPr>
          <w:trHeight w:val="47"/>
        </w:trPr>
        <w:tc>
          <w:tcPr>
            <w:tcW w:w="166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17"/>
        </w:trPr>
        <w:tc>
          <w:tcPr>
            <w:tcW w:w="6160" w:type="dxa"/>
            <w:vAlign w:val="bottom"/>
            <w:gridSpan w:val="5"/>
          </w:tcPr>
          <w:p>
            <w:pPr>
              <w:ind w:left="40"/>
              <w:spacing w:after="0"/>
              <w:rPr>
                <w:sz w:val="20"/>
                <w:szCs w:val="20"/>
                <w:color w:val="auto"/>
              </w:rPr>
            </w:pPr>
            <w:r>
              <w:rPr>
                <w:rFonts w:ascii="Arial" w:cs="Arial" w:eastAsia="Arial" w:hAnsi="Arial"/>
                <w:sz w:val="16"/>
                <w:szCs w:val="16"/>
                <w:color w:val="auto"/>
              </w:rPr>
              <w:t>(State or other jurisdiction of incorporation or organization)</w:t>
            </w:r>
          </w:p>
        </w:tc>
        <w:tc>
          <w:tcPr>
            <w:tcW w:w="5240" w:type="dxa"/>
            <w:vAlign w:val="bottom"/>
          </w:tcPr>
          <w:p>
            <w:pPr>
              <w:jc w:val="right"/>
              <w:ind w:right="2559"/>
              <w:spacing w:after="0"/>
              <w:rPr>
                <w:sz w:val="20"/>
                <w:szCs w:val="20"/>
                <w:color w:val="auto"/>
              </w:rPr>
            </w:pPr>
            <w:r>
              <w:rPr>
                <w:rFonts w:ascii="Arial" w:cs="Arial" w:eastAsia="Arial" w:hAnsi="Arial"/>
                <w:sz w:val="16"/>
                <w:szCs w:val="16"/>
                <w:color w:val="auto"/>
                <w:w w:val="94"/>
              </w:rPr>
              <w:t>(I.R.S. employer identification number)</w:t>
            </w:r>
          </w:p>
        </w:tc>
      </w:tr>
      <w:tr>
        <w:trPr>
          <w:trHeight w:val="581"/>
        </w:trPr>
        <w:tc>
          <w:tcPr>
            <w:tcW w:w="620" w:type="dxa"/>
            <w:vAlign w:val="bottom"/>
          </w:tcPr>
          <w:p>
            <w:pPr>
              <w:spacing w:after="0"/>
              <w:rPr>
                <w:sz w:val="24"/>
                <w:szCs w:val="24"/>
                <w:color w:val="auto"/>
              </w:rPr>
            </w:pPr>
          </w:p>
        </w:tc>
        <w:tc>
          <w:tcPr>
            <w:tcW w:w="5540" w:type="dxa"/>
            <w:vAlign w:val="bottom"/>
            <w:gridSpan w:val="4"/>
          </w:tcPr>
          <w:p>
            <w:pPr>
              <w:jc w:val="center"/>
              <w:ind w:right="720"/>
              <w:spacing w:after="0"/>
              <w:rPr>
                <w:sz w:val="20"/>
                <w:szCs w:val="20"/>
                <w:color w:val="auto"/>
              </w:rPr>
            </w:pPr>
            <w:r>
              <w:rPr>
                <w:rFonts w:ascii="Arial" w:cs="Arial" w:eastAsia="Arial" w:hAnsi="Arial"/>
                <w:sz w:val="16"/>
                <w:szCs w:val="16"/>
                <w:b w:val="1"/>
                <w:bCs w:val="1"/>
                <w:color w:val="auto"/>
                <w:w w:val="92"/>
              </w:rPr>
              <w:t>5225 Wiley Post Way, Suite 500, Salt Lake City, Utah</w:t>
            </w:r>
          </w:p>
        </w:tc>
        <w:tc>
          <w:tcPr>
            <w:tcW w:w="5240" w:type="dxa"/>
            <w:vAlign w:val="bottom"/>
          </w:tcPr>
          <w:p>
            <w:pPr>
              <w:jc w:val="right"/>
              <w:ind w:right="2339"/>
              <w:spacing w:after="0"/>
              <w:rPr>
                <w:sz w:val="20"/>
                <w:szCs w:val="20"/>
                <w:color w:val="auto"/>
              </w:rPr>
            </w:pPr>
            <w:r>
              <w:rPr>
                <w:rFonts w:ascii="Arial" w:cs="Arial" w:eastAsia="Arial" w:hAnsi="Arial"/>
                <w:sz w:val="16"/>
                <w:szCs w:val="16"/>
                <w:b w:val="1"/>
                <w:bCs w:val="1"/>
                <w:color w:val="auto"/>
              </w:rPr>
              <w:t>84116</w:t>
            </w:r>
          </w:p>
        </w:tc>
      </w:tr>
      <w:tr>
        <w:trPr>
          <w:trHeight w:val="47"/>
        </w:trPr>
        <w:tc>
          <w:tcPr>
            <w:tcW w:w="6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17"/>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00" w:type="dxa"/>
            <w:vAlign w:val="bottom"/>
            <w:gridSpan w:val="3"/>
          </w:tcPr>
          <w:p>
            <w:pPr>
              <w:jc w:val="center"/>
              <w:ind w:right="1760"/>
              <w:spacing w:after="0"/>
              <w:rPr>
                <w:sz w:val="20"/>
                <w:szCs w:val="20"/>
                <w:color w:val="auto"/>
              </w:rPr>
            </w:pPr>
            <w:r>
              <w:rPr>
                <w:rFonts w:ascii="Arial" w:cs="Arial" w:eastAsia="Arial" w:hAnsi="Arial"/>
                <w:sz w:val="16"/>
                <w:szCs w:val="16"/>
                <w:color w:val="auto"/>
                <w:w w:val="94"/>
              </w:rPr>
              <w:t>(Address of principal executive offices)</w:t>
            </w:r>
          </w:p>
        </w:tc>
        <w:tc>
          <w:tcPr>
            <w:tcW w:w="5240" w:type="dxa"/>
            <w:vAlign w:val="bottom"/>
          </w:tcPr>
          <w:p>
            <w:pPr>
              <w:jc w:val="right"/>
              <w:ind w:right="2179"/>
              <w:spacing w:after="0"/>
              <w:rPr>
                <w:sz w:val="20"/>
                <w:szCs w:val="20"/>
                <w:color w:val="auto"/>
              </w:rPr>
            </w:pPr>
            <w:r>
              <w:rPr>
                <w:rFonts w:ascii="Arial" w:cs="Arial" w:eastAsia="Arial" w:hAnsi="Arial"/>
                <w:sz w:val="16"/>
                <w:szCs w:val="16"/>
                <w:color w:val="auto"/>
              </w:rPr>
              <w:t>(Zip Code)</w:t>
            </w:r>
          </w:p>
        </w:tc>
      </w:tr>
      <w:tr>
        <w:trPr>
          <w:trHeight w:val="392"/>
        </w:trPr>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500" w:type="dxa"/>
            <w:vAlign w:val="bottom"/>
            <w:gridSpan w:val="3"/>
          </w:tcPr>
          <w:p>
            <w:pPr>
              <w:ind w:left="320"/>
              <w:spacing w:after="0"/>
              <w:rPr>
                <w:sz w:val="20"/>
                <w:szCs w:val="20"/>
                <w:color w:val="auto"/>
              </w:rPr>
            </w:pPr>
            <w:r>
              <w:rPr>
                <w:rFonts w:ascii="Arial" w:cs="Arial" w:eastAsia="Arial" w:hAnsi="Arial"/>
                <w:sz w:val="16"/>
                <w:szCs w:val="16"/>
                <w:color w:val="auto"/>
              </w:rPr>
              <w:t>(Registrant’s telephone number, including area code)</w:t>
            </w:r>
          </w:p>
        </w:tc>
        <w:tc>
          <w:tcPr>
            <w:tcW w:w="5240" w:type="dxa"/>
            <w:vAlign w:val="bottom"/>
          </w:tcPr>
          <w:p>
            <w:pPr>
              <w:jc w:val="right"/>
              <w:ind w:right="2959"/>
              <w:spacing w:after="0"/>
              <w:rPr>
                <w:sz w:val="20"/>
                <w:szCs w:val="20"/>
                <w:color w:val="auto"/>
              </w:rPr>
            </w:pPr>
            <w:r>
              <w:rPr>
                <w:rFonts w:ascii="Arial" w:cs="Arial" w:eastAsia="Arial" w:hAnsi="Arial"/>
                <w:sz w:val="16"/>
                <w:szCs w:val="16"/>
                <w:b w:val="1"/>
                <w:bCs w:val="1"/>
                <w:color w:val="auto"/>
              </w:rPr>
              <w:t>801-975-7200</w:t>
            </w:r>
          </w:p>
        </w:tc>
      </w:tr>
    </w:tbl>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5" w:lineRule="exact"/>
        <w:rPr>
          <w:sz w:val="24"/>
          <w:szCs w:val="24"/>
          <w:color w:val="auto"/>
        </w:rPr>
      </w:pPr>
    </w:p>
    <w:tbl>
      <w:tblPr>
        <w:tblLayout w:type="fixed"/>
        <w:tblInd w:w="14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Name on each exchange on which registered</w:t>
            </w:r>
          </w:p>
        </w:tc>
      </w:tr>
      <w:tr>
        <w:trPr>
          <w:trHeight w:val="312"/>
        </w:trPr>
        <w:tc>
          <w:tcPr>
            <w:tcW w:w="5100" w:type="dxa"/>
            <w:vAlign w:val="bottom"/>
            <w:gridSpan w:val="3"/>
          </w:tcPr>
          <w:p>
            <w:pPr>
              <w:jc w:val="center"/>
              <w:ind w:right="1480"/>
              <w:spacing w:after="0"/>
              <w:rPr>
                <w:sz w:val="20"/>
                <w:szCs w:val="20"/>
                <w:color w:val="auto"/>
              </w:rPr>
            </w:pPr>
            <w:r>
              <w:rPr>
                <w:rFonts w:ascii="Arial" w:cs="Arial" w:eastAsia="Arial" w:hAnsi="Arial"/>
                <w:sz w:val="16"/>
                <w:szCs w:val="16"/>
                <w:color w:val="auto"/>
                <w:w w:val="91"/>
              </w:rPr>
              <w:t>Common Stock, $0.001 par value</w:t>
            </w:r>
          </w:p>
        </w:tc>
        <w:tc>
          <w:tcPr>
            <w:tcW w:w="1100" w:type="dxa"/>
            <w:vAlign w:val="bottom"/>
          </w:tcPr>
          <w:p>
            <w:pPr>
              <w:spacing w:after="0"/>
              <w:rPr>
                <w:sz w:val="24"/>
                <w:szCs w:val="24"/>
                <w:color w:val="auto"/>
              </w:rPr>
            </w:pPr>
          </w:p>
        </w:tc>
        <w:tc>
          <w:tcPr>
            <w:tcW w:w="2720" w:type="dxa"/>
            <w:vAlign w:val="bottom"/>
            <w:gridSpan w:val="2"/>
          </w:tcPr>
          <w:p>
            <w:pPr>
              <w:jc w:val="center"/>
              <w:spacing w:after="0"/>
              <w:rPr>
                <w:sz w:val="20"/>
                <w:szCs w:val="20"/>
                <w:color w:val="auto"/>
              </w:rPr>
            </w:pPr>
            <w:r>
              <w:rPr>
                <w:rFonts w:ascii="Arial" w:cs="Arial" w:eastAsia="Arial" w:hAnsi="Arial"/>
                <w:sz w:val="16"/>
                <w:szCs w:val="16"/>
                <w:color w:val="auto"/>
                <w:w w:val="96"/>
              </w:rPr>
              <w:t>The NASDAQ Capital Market</w:t>
            </w:r>
          </w:p>
        </w:tc>
      </w:tr>
      <w:tr>
        <w:trPr>
          <w:trHeight w:val="486"/>
        </w:trPr>
        <w:tc>
          <w:tcPr>
            <w:tcW w:w="51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12(g) of the Act</w:t>
            </w:r>
          </w:p>
        </w:tc>
        <w:tc>
          <w:tcPr>
            <w:tcW w:w="1100" w:type="dxa"/>
            <w:vAlign w:val="bottom"/>
          </w:tcPr>
          <w:p>
            <w:pPr>
              <w:spacing w:after="0"/>
              <w:rPr>
                <w:sz w:val="24"/>
                <w:szCs w:val="24"/>
                <w:color w:val="auto"/>
              </w:rPr>
            </w:pPr>
          </w:p>
        </w:tc>
        <w:tc>
          <w:tcPr>
            <w:tcW w:w="2720" w:type="dxa"/>
            <w:vAlign w:val="bottom"/>
            <w:gridSpan w:val="2"/>
          </w:tcPr>
          <w:p>
            <w:pPr>
              <w:ind w:left="80"/>
              <w:spacing w:after="0"/>
              <w:rPr>
                <w:sz w:val="20"/>
                <w:szCs w:val="20"/>
                <w:color w:val="auto"/>
              </w:rPr>
            </w:pPr>
            <w:r>
              <w:rPr>
                <w:rFonts w:ascii="Arial" w:cs="Arial" w:eastAsia="Arial" w:hAnsi="Arial"/>
                <w:sz w:val="16"/>
                <w:szCs w:val="16"/>
                <w:b w:val="1"/>
                <w:bCs w:val="1"/>
                <w:color w:val="auto"/>
              </w:rPr>
              <w:t>None</w:t>
            </w:r>
          </w:p>
        </w:tc>
      </w:tr>
      <w:tr>
        <w:trPr>
          <w:trHeight w:val="33"/>
        </w:trPr>
        <w:tc>
          <w:tcPr>
            <w:tcW w:w="1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r>
    </w:tbl>
    <w:p>
      <w:pPr>
        <w:spacing w:after="0" w:line="149" w:lineRule="exact"/>
        <w:rPr>
          <w:sz w:val="24"/>
          <w:szCs w:val="24"/>
          <w:color w:val="auto"/>
        </w:rPr>
      </w:pPr>
    </w:p>
    <w:p>
      <w:pPr>
        <w:ind w:right="2820"/>
        <w:spacing w:after="0" w:line="222"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Indicate by check mark if the registrant is not required to file reports pursuant to Section 13 or Section 15(d) of the Act. </w:t>
      </w:r>
      <w:r>
        <w:rPr>
          <w:rFonts w:ascii="MS PGothic" w:cs="MS PGothic" w:eastAsia="MS PGothic" w:hAnsi="MS PGothic"/>
          <w:sz w:val="14"/>
          <w:szCs w:val="14"/>
          <w:color w:val="auto"/>
        </w:rPr>
        <w:t>☐</w:t>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No</w:t>
      </w:r>
    </w:p>
    <w:p>
      <w:pPr>
        <w:spacing w:after="0" w:line="46" w:lineRule="exact"/>
        <w:rPr>
          <w:sz w:val="24"/>
          <w:szCs w:val="24"/>
          <w:color w:val="auto"/>
        </w:rPr>
      </w:pPr>
    </w:p>
    <w:p>
      <w:pPr>
        <w:jc w:val="both"/>
        <w:ind w:right="20"/>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No</w:t>
      </w:r>
    </w:p>
    <w:p>
      <w:pPr>
        <w:spacing w:after="0" w:line="46"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No</w:t>
      </w:r>
    </w:p>
    <w:p>
      <w:pPr>
        <w:spacing w:after="0" w:line="48" w:lineRule="exact"/>
        <w:rPr>
          <w:sz w:val="24"/>
          <w:szCs w:val="24"/>
          <w:color w:val="auto"/>
        </w:rPr>
      </w:pPr>
    </w:p>
    <w:p>
      <w:pPr>
        <w:ind w:right="120"/>
        <w:spacing w:after="0" w:line="287"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00" w:hanging="192"/>
        <w:spacing w:after="0" w:line="184" w:lineRule="exact"/>
        <w:tabs>
          <w:tab w:leader="none" w:pos="200" w:val="left"/>
        </w:tabs>
        <w:numPr>
          <w:ilvl w:val="0"/>
          <w:numId w:val="2"/>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78" w:lineRule="exact"/>
        <w:rPr>
          <w:sz w:val="24"/>
          <w:szCs w:val="24"/>
          <w:color w:val="auto"/>
        </w:rPr>
      </w:pPr>
    </w:p>
    <w:p>
      <w:pPr>
        <w:ind w:right="3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“larger accelerated filer,” “accelerated filer” and “smaller reporting company” in Rule 12b-2 of the Exchange Act. (Check one):</w:t>
      </w:r>
    </w:p>
    <w:p>
      <w:pPr>
        <w:spacing w:after="0" w:line="89" w:lineRule="exact"/>
        <w:rPr>
          <w:sz w:val="24"/>
          <w:szCs w:val="24"/>
          <w:color w:val="auto"/>
        </w:rPr>
      </w:pPr>
    </w:p>
    <w:p>
      <w:pPr>
        <w:ind w:left="40"/>
        <w:spacing w:after="0" w:line="184" w:lineRule="exact"/>
        <w:tabs>
          <w:tab w:leader="none" w:pos="2300" w:val="left"/>
          <w:tab w:leader="none" w:pos="4560" w:val="left"/>
          <w:tab w:leader="none" w:pos="6840" w:val="left"/>
        </w:tabs>
        <w:rPr>
          <w:sz w:val="20"/>
          <w:szCs w:val="20"/>
          <w:color w:val="auto"/>
        </w:rPr>
      </w:pPr>
      <w:r>
        <w:rPr>
          <w:rFonts w:ascii="Arial" w:cs="Arial" w:eastAsia="Arial" w:hAnsi="Arial"/>
          <w:sz w:val="16"/>
          <w:szCs w:val="16"/>
          <w:color w:val="auto"/>
        </w:rPr>
        <w:t xml:space="preserve">Larger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Smaller Reporting Company x</w:t>
      </w:r>
    </w:p>
    <w:p>
      <w:pPr>
        <w:spacing w:after="0" w:line="94"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(Do not check if a smaller reporting company)</w:t>
      </w:r>
    </w:p>
    <w:p>
      <w:pPr>
        <w:spacing w:after="0" w:line="14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0" w:lineRule="exact"/>
        <w:rPr>
          <w:sz w:val="24"/>
          <w:szCs w:val="24"/>
          <w:color w:val="auto"/>
        </w:rPr>
      </w:pPr>
    </w:p>
    <w:p>
      <w:pPr>
        <w:ind w:right="160"/>
        <w:spacing w:after="0" w:line="252" w:lineRule="auto"/>
        <w:rPr>
          <w:sz w:val="20"/>
          <w:szCs w:val="20"/>
          <w:color w:val="auto"/>
        </w:rPr>
      </w:pPr>
      <w:r>
        <w:rPr>
          <w:rFonts w:ascii="Arial" w:cs="Arial" w:eastAsia="Arial" w:hAnsi="Arial"/>
          <w:sz w:val="16"/>
          <w:szCs w:val="16"/>
          <w:color w:val="auto"/>
        </w:rPr>
        <w:t>The aggregate market value of the shares of voting common stock held by non-affiliates was approximately $60.1 million at June 30, 2014, (the Company's most recently completed second fiscal quarter), based on the $9.83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ClearOne common stock outstanding as of January 8, 2016 was 9,148,596.</w:t>
      </w:r>
    </w:p>
    <w:p>
      <w:pPr>
        <w:sectPr>
          <w:pgSz w:w="11900" w:h="16838" w:orient="portrait"/>
          <w:cols w:equalWidth="0" w:num="1">
            <w:col w:w="11400"/>
          </w:cols>
          <w:pgMar w:left="240" w:top="468" w:right="25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22"/>
          <w:szCs w:val="22"/>
          <w:b w:val="1"/>
          <w:bCs w:val="1"/>
          <w:color w:val="auto"/>
        </w:rPr>
        <w:t>EXPLANATORY NOTE</w:t>
      </w:r>
    </w:p>
    <w:p>
      <w:pPr>
        <w:spacing w:after="0" w:line="26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Amendment No. 2 on Form 10-K/A (this "Form 10-K/A") to the Annual Report on Form 10-K of ClearOne, Inc., a Utah corporation (referred to as "ClearOne", "we", "us", "our" or the "Company") for the fiscal year ended December 31, 2014, originally filed with the Securities and Exchange Commission ("SEC") on March 31, 2015 (the "Original 10-K"), and as amended through Amendment No. 1 filed with the SEC on April 30, 2015 ("Amendment No. 1"), is being filed to: (i) replace Part II, Item 8 and Part IV, Item 15 to reflect the re-audit by Tanner LLC following the withdrawal of the audit report provided along with the initial filing of the Original 10-K as the result of the resignation of RSM US LLP (formerly McGladrey LLP) as disclosed on Form 8-K filed on October 14, 2015; (ii) to replace the related XBRL files as Exhibit 101 to this Form 10-K/A which incorporates XBRL references to subsequent events occurring after the Original 10-K was filed; and (iii) to include a consent from the Company’s current independent registered public accounting firm, Tanner LLC, as reflected in Exhibit 23.1, and a new consent from the Company’s predecessor independent registered public accounting firm, RSM US LLP (formerly McGladrey LLP), as reflected in Exhibit 23.2.</w:t>
      </w:r>
    </w:p>
    <w:p>
      <w:pPr>
        <w:spacing w:after="0" w:line="18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 required by Rule 12b-15, in connection with this Form 10-K/A, the Company's Chief Executive Officer and Chief Financial Officer have reissued applicable portions of their Rule 13a-14(a) certifications. Accordingly, Part IV, Item 15 has been amended to reflect the filing of such certifications herewith.</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Except as described above, this Form 10-K/A does not modify or update disclosures in the Original 10-K. This Form 10-K/A reflects events occurring after the date of the Original 10-K or Amendment No. 1. Information not affected by this Form 10-K/A remains unchanged and reflects the disclosures made at the time the Original 10-K was filed.</w:t>
      </w:r>
    </w:p>
    <w:p>
      <w:pPr>
        <w:sectPr>
          <w:pgSz w:w="11900" w:h="16838" w:orient="portrait"/>
          <w:cols w:equalWidth="0" w:num="1">
            <w:col w:w="11400"/>
          </w:cols>
          <w:pgMar w:left="240" w:top="369"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ANNUAL REPORT ON FORM 10-K FOR THE YEAR ENDED DECEMBER 31, 2014</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6060" w:type="dxa"/>
            <w:vAlign w:val="bottom"/>
            <w:gridSpan w:val="2"/>
          </w:tcPr>
          <w:p>
            <w:pPr>
              <w:jc w:val="center"/>
              <w:ind w:left="5610"/>
              <w:spacing w:after="0"/>
              <w:rPr>
                <w:sz w:val="20"/>
                <w:szCs w:val="20"/>
                <w:color w:val="auto"/>
              </w:rPr>
            </w:pPr>
            <w:r>
              <w:rPr>
                <w:rFonts w:ascii="Arial" w:cs="Arial" w:eastAsia="Arial" w:hAnsi="Arial"/>
                <w:sz w:val="18"/>
                <w:szCs w:val="18"/>
                <w:b w:val="1"/>
                <w:bCs w:val="1"/>
                <w:color w:val="auto"/>
                <w:w w:val="83"/>
              </w:rPr>
              <w:t>Page</w:t>
            </w:r>
          </w:p>
        </w:tc>
      </w:tr>
      <w:tr>
        <w:trPr>
          <w:trHeight w:val="291"/>
        </w:trPr>
        <w:tc>
          <w:tcPr>
            <w:tcW w:w="8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700" w:type="dxa"/>
            <w:vAlign w:val="bottom"/>
          </w:tcPr>
          <w:p>
            <w:pPr>
              <w:ind w:left="440"/>
              <w:spacing w:after="0"/>
              <w:rPr>
                <w:sz w:val="20"/>
                <w:szCs w:val="20"/>
                <w:color w:val="auto"/>
              </w:rPr>
            </w:pPr>
            <w:r>
              <w:rPr>
                <w:rFonts w:ascii="Arial" w:cs="Arial" w:eastAsia="Arial" w:hAnsi="Arial"/>
                <w:sz w:val="18"/>
                <w:szCs w:val="18"/>
                <w:b w:val="1"/>
                <w:bCs w:val="1"/>
                <w:color w:val="auto"/>
              </w:rPr>
              <w:t>PART II</w:t>
            </w:r>
          </w:p>
        </w:tc>
        <w:tc>
          <w:tcPr>
            <w:tcW w:w="360" w:type="dxa"/>
            <w:vAlign w:val="bottom"/>
            <w:tcBorders>
              <w:top w:val="single" w:sz="8" w:color="auto"/>
            </w:tcBorders>
          </w:tcPr>
          <w:p>
            <w:pPr>
              <w:spacing w:after="0"/>
              <w:rPr>
                <w:sz w:val="24"/>
                <w:szCs w:val="24"/>
                <w:color w:val="auto"/>
              </w:rPr>
            </w:pPr>
          </w:p>
        </w:tc>
      </w:tr>
      <w:tr>
        <w:trPr>
          <w:trHeight w:val="270"/>
        </w:trPr>
        <w:tc>
          <w:tcPr>
            <w:tcW w:w="880" w:type="dxa"/>
            <w:vAlign w:val="bottom"/>
          </w:tcPr>
          <w:p>
            <w:pPr>
              <w:spacing w:after="0"/>
              <w:rPr>
                <w:rFonts w:ascii="Arial" w:cs="Arial" w:eastAsia="Arial" w:hAnsi="Arial"/>
                <w:sz w:val="18"/>
                <w:szCs w:val="18"/>
                <w:color w:val="auto"/>
              </w:rPr>
            </w:pPr>
            <w:hyperlink w:anchor="page5">
              <w:r>
                <w:rPr>
                  <w:rFonts w:ascii="Arial" w:cs="Arial" w:eastAsia="Arial" w:hAnsi="Arial"/>
                  <w:sz w:val="18"/>
                  <w:szCs w:val="18"/>
                  <w:color w:val="auto"/>
                </w:rPr>
                <w:t>Item 8.</w:t>
              </w:r>
            </w:hyperlink>
          </w:p>
        </w:tc>
        <w:tc>
          <w:tcPr>
            <w:tcW w:w="3880" w:type="dxa"/>
            <w:vAlign w:val="bottom"/>
          </w:tcPr>
          <w:p>
            <w:pPr>
              <w:ind w:left="280"/>
              <w:spacing w:after="0"/>
              <w:rPr>
                <w:rFonts w:ascii="Arial" w:cs="Arial" w:eastAsia="Arial" w:hAnsi="Arial"/>
                <w:sz w:val="18"/>
                <w:szCs w:val="18"/>
                <w:color w:val="auto"/>
                <w:w w:val="96"/>
              </w:rPr>
            </w:pPr>
            <w:hyperlink w:anchor="page5">
              <w:r>
                <w:rPr>
                  <w:rFonts w:ascii="Arial" w:cs="Arial" w:eastAsia="Arial" w:hAnsi="Arial"/>
                  <w:sz w:val="18"/>
                  <w:szCs w:val="18"/>
                  <w:color w:val="auto"/>
                  <w:w w:val="96"/>
                </w:rPr>
                <w:t>Financial Statements and Supplementary Data</w:t>
              </w:r>
            </w:hyperlink>
          </w:p>
        </w:tc>
        <w:tc>
          <w:tcPr>
            <w:tcW w:w="6060" w:type="dxa"/>
            <w:vAlign w:val="bottom"/>
            <w:gridSpan w:val="2"/>
          </w:tcPr>
          <w:p>
            <w:pPr>
              <w:jc w:val="center"/>
              <w:ind w:left="5610"/>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2</w:t>
              </w:r>
            </w:hyperlink>
          </w:p>
        </w:tc>
      </w:tr>
      <w:tr>
        <w:trPr>
          <w:trHeight w:val="270"/>
        </w:trPr>
        <w:tc>
          <w:tcPr>
            <w:tcW w:w="88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6060" w:type="dxa"/>
            <w:vAlign w:val="bottom"/>
            <w:gridSpan w:val="2"/>
          </w:tcPr>
          <w:p>
            <w:pPr>
              <w:ind w:left="280"/>
              <w:spacing w:after="0"/>
              <w:rPr>
                <w:sz w:val="20"/>
                <w:szCs w:val="20"/>
                <w:color w:val="auto"/>
              </w:rPr>
            </w:pPr>
            <w:r>
              <w:rPr>
                <w:rFonts w:ascii="Arial" w:cs="Arial" w:eastAsia="Arial" w:hAnsi="Arial"/>
                <w:sz w:val="18"/>
                <w:szCs w:val="18"/>
                <w:b w:val="1"/>
                <w:bCs w:val="1"/>
                <w:color w:val="auto"/>
              </w:rPr>
              <w:t>PART IV</w:t>
            </w:r>
          </w:p>
        </w:tc>
      </w:tr>
      <w:tr>
        <w:trPr>
          <w:trHeight w:val="270"/>
        </w:trPr>
        <w:tc>
          <w:tcPr>
            <w:tcW w:w="880" w:type="dxa"/>
            <w:vAlign w:val="bottom"/>
          </w:tcPr>
          <w:p>
            <w:pPr>
              <w:spacing w:after="0"/>
              <w:rPr>
                <w:rFonts w:ascii="Arial" w:cs="Arial" w:eastAsia="Arial" w:hAnsi="Arial"/>
                <w:sz w:val="18"/>
                <w:szCs w:val="18"/>
                <w:color w:val="auto"/>
              </w:rPr>
            </w:pPr>
            <w:hyperlink w:anchor="page6">
              <w:r>
                <w:rPr>
                  <w:rFonts w:ascii="Arial" w:cs="Arial" w:eastAsia="Arial" w:hAnsi="Arial"/>
                  <w:sz w:val="18"/>
                  <w:szCs w:val="18"/>
                  <w:color w:val="auto"/>
                </w:rPr>
                <w:t>Item 15.</w:t>
              </w:r>
            </w:hyperlink>
          </w:p>
        </w:tc>
        <w:tc>
          <w:tcPr>
            <w:tcW w:w="3880" w:type="dxa"/>
            <w:vAlign w:val="bottom"/>
          </w:tcPr>
          <w:p>
            <w:pPr>
              <w:ind w:left="280"/>
              <w:spacing w:after="0"/>
              <w:rPr>
                <w:rFonts w:ascii="Arial" w:cs="Arial" w:eastAsia="Arial" w:hAnsi="Arial"/>
                <w:sz w:val="18"/>
                <w:szCs w:val="18"/>
                <w:color w:val="auto"/>
              </w:rPr>
            </w:pPr>
            <w:hyperlink w:anchor="page6">
              <w:r>
                <w:rPr>
                  <w:rFonts w:ascii="Arial" w:cs="Arial" w:eastAsia="Arial" w:hAnsi="Arial"/>
                  <w:sz w:val="18"/>
                  <w:szCs w:val="18"/>
                  <w:color w:val="auto"/>
                </w:rPr>
                <w:t>Exhibits, Financial Statement Schedules</w:t>
              </w:r>
            </w:hyperlink>
          </w:p>
        </w:tc>
        <w:tc>
          <w:tcPr>
            <w:tcW w:w="6060" w:type="dxa"/>
            <w:vAlign w:val="bottom"/>
            <w:gridSpan w:val="2"/>
          </w:tcPr>
          <w:p>
            <w:pPr>
              <w:jc w:val="center"/>
              <w:ind w:left="5610"/>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3</w:t>
              </w:r>
            </w:hyperlink>
          </w:p>
        </w:tc>
      </w:tr>
    </w:tbl>
    <w:p>
      <w:pPr>
        <w:sectPr>
          <w:pgSz w:w="11900" w:h="16838" w:orient="portrait"/>
          <w:cols w:equalWidth="0" w:num="1">
            <w:col w:w="10860"/>
          </w:cols>
          <w:pgMar w:left="240" w:top="121" w:right="79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statements that describe the proposed development, manufacturing, and sale of our products; statements that describe expectations regarding pricing trends, the markets for our products, our anticipated capital expenditures, our cost reduction and operational restructuring initiatives, and future impact of regulatory developments; statements with regard to the nature and extent of competition we may face in the future; statements with respect to the anticipated sources of and need for future financing; and statements with respect to future strategic plans, goals, and objectives and forecasts of future growth and value. Forward-looking statements under “Business” included in Item 1 of Part I, “Management’s Discussion and Analysis of Financial Condition and Results of Operations” included in Item 7 of Part II of the Original 10-K have not changed and are not repeated in this filing.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“Item 1A Risk Factors” of the Original 10-K.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we assume no obligation to update forward-looking statements to reflect subsequent events or circumstances.</w:t>
      </w: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320"/>
          </w:cols>
          <w:pgMar w:left="240" w:top="122" w:right="3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Financial statements and supplementary data required by this are included herein as a </w:t>
      </w:r>
      <w:hyperlink w:anchor="page8">
        <w:r>
          <w:rPr>
            <w:rFonts w:ascii="Arial" w:cs="Arial" w:eastAsia="Arial" w:hAnsi="Arial"/>
            <w:sz w:val="18"/>
            <w:szCs w:val="18"/>
            <w:u w:val="single" w:color="auto"/>
            <w:color w:val="0000EE"/>
          </w:rPr>
          <w:t>separate section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Form 10-K/A, beginning on page F-1, and are incorporated in this Item 8 by reference.</w:t>
      </w:r>
    </w:p>
    <w:p>
      <w:pPr>
        <w:spacing w:after="0" w:line="1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200"/>
          </w:cols>
          <w:pgMar w:left="240" w:top="122" w:right="45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260" w:hanging="252"/>
        <w:spacing w:after="0" w:line="277" w:lineRule="auto"/>
        <w:tabs>
          <w:tab w:leader="none" w:pos="197"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Statements: Financial statements set forth under Part II, Item 8 of this Annual Report on Form 10-K/A are filed in a separate section of this Form 10-K/A. See the "Index to Consolidated Financial Statements".</w:t>
      </w:r>
    </w:p>
    <w:p>
      <w:pPr>
        <w:spacing w:after="0" w:line="278" w:lineRule="exact"/>
        <w:rPr>
          <w:rFonts w:ascii="Arial" w:cs="Arial" w:eastAsia="Arial" w:hAnsi="Arial"/>
          <w:sz w:val="18"/>
          <w:szCs w:val="18"/>
          <w:color w:val="auto"/>
        </w:rPr>
      </w:pPr>
    </w:p>
    <w:p>
      <w:pPr>
        <w:ind w:left="260" w:right="820" w:hanging="252"/>
        <w:spacing w:after="0" w:line="277" w:lineRule="auto"/>
        <w:tabs>
          <w:tab w:leader="none" w:pos="197"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Statement Schedules: All schedules are omitted since they either are not required, not applicable or the information is presented in the accompanying consolidated financial statements and notes thereto.</w:t>
      </w:r>
    </w:p>
    <w:p>
      <w:pPr>
        <w:spacing w:after="0" w:line="278"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 The exhibits listed under the Index of exhibits in the next page are filed or incorporated by reference as part of this Form 10-K/A.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60"/>
          </w:cols>
          <w:pgMar w:left="240" w:top="121" w:right="29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Incorporated</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Exhibit Number</w:t>
            </w:r>
          </w:p>
        </w:tc>
        <w:tc>
          <w:tcPr>
            <w:tcW w:w="120" w:type="dxa"/>
            <w:vAlign w:val="bottom"/>
            <w:vMerge w:val="restart"/>
          </w:tcPr>
          <w:p>
            <w:pPr>
              <w:spacing w:after="0"/>
              <w:rPr>
                <w:sz w:val="12"/>
                <w:szCs w:val="12"/>
                <w:color w:val="auto"/>
              </w:rPr>
            </w:pPr>
          </w:p>
        </w:tc>
        <w:tc>
          <w:tcPr>
            <w:tcW w:w="6940" w:type="dxa"/>
            <w:vAlign w:val="bottom"/>
            <w:vMerge w:val="restart"/>
          </w:tcPr>
          <w:p>
            <w:pPr>
              <w:ind w:left="286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Herein by</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205"/>
        </w:trPr>
        <w:tc>
          <w:tcPr>
            <w:tcW w:w="12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69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100" w:type="dxa"/>
            <w:vAlign w:val="bottom"/>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120" w:type="dxa"/>
            <w:vAlign w:val="bottom"/>
          </w:tcPr>
          <w:p>
            <w:pPr>
              <w:spacing w:after="0"/>
              <w:rPr>
                <w:sz w:val="19"/>
                <w:szCs w:val="19"/>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Agreement and Plan of Merger, dated as of November 3, 2009, by and among ClearOne</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8-K</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11/09/09</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w w:val="98"/>
              </w:rPr>
              <w:t>Communications, Inc., Alta-Wasatch Acquisition Corporation, NetStreams, Inc., Austin Ventures VIII,</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L.P., and Kevin A. Reinis.</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26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22"/>
                <w:szCs w:val="22"/>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Amended and Restated Articles of Incorporation of ClearOne, Inc.</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03/25/13</w:t>
            </w:r>
          </w:p>
        </w:tc>
        <w:tc>
          <w:tcPr>
            <w:tcW w:w="0" w:type="dxa"/>
            <w:vAlign w:val="bottom"/>
          </w:tcPr>
          <w:p>
            <w:pPr>
              <w:spacing w:after="0"/>
              <w:rPr>
                <w:sz w:val="1"/>
                <w:szCs w:val="1"/>
                <w:color w:val="auto"/>
              </w:rPr>
            </w:pPr>
          </w:p>
        </w:tc>
      </w:tr>
      <w:tr>
        <w:trPr>
          <w:trHeight w:val="27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20" w:type="dxa"/>
            <w:vAlign w:val="bottom"/>
          </w:tcPr>
          <w:p>
            <w:pPr>
              <w:spacing w:after="0"/>
              <w:rPr>
                <w:sz w:val="23"/>
                <w:szCs w:val="23"/>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Bylaws</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03/31/11</w:t>
            </w:r>
          </w:p>
        </w:tc>
        <w:tc>
          <w:tcPr>
            <w:tcW w:w="0" w:type="dxa"/>
            <w:vAlign w:val="bottom"/>
          </w:tcPr>
          <w:p>
            <w:pPr>
              <w:spacing w:after="0"/>
              <w:rPr>
                <w:sz w:val="1"/>
                <w:szCs w:val="1"/>
                <w:color w:val="auto"/>
              </w:rPr>
            </w:pPr>
          </w:p>
        </w:tc>
      </w:tr>
      <w:tr>
        <w:trPr>
          <w:trHeight w:val="266"/>
        </w:trPr>
        <w:tc>
          <w:tcPr>
            <w:tcW w:w="126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20" w:type="dxa"/>
            <w:vAlign w:val="bottom"/>
          </w:tcPr>
          <w:p>
            <w:pPr>
              <w:spacing w:after="0"/>
              <w:rPr>
                <w:sz w:val="23"/>
                <w:szCs w:val="23"/>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w w:val="95"/>
              </w:rPr>
              <w:t>Employment Separation Agreement between ClearOne Communications, Inc. and Frances Flood, dated</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08/18/05</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December 5, 2003</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20" w:type="dxa"/>
            <w:vAlign w:val="bottom"/>
          </w:tcPr>
          <w:p>
            <w:pPr>
              <w:spacing w:after="0"/>
              <w:rPr>
                <w:sz w:val="21"/>
                <w:szCs w:val="21"/>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w w:val="94"/>
              </w:rPr>
              <w:t>Employment Termination Agreement between ClearOne Communications, Inc. and Susie Strohm, dated</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08/18/05</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December 5, 2003</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20" w:type="dxa"/>
            <w:vAlign w:val="bottom"/>
          </w:tcPr>
          <w:p>
            <w:pPr>
              <w:spacing w:after="0"/>
              <w:rPr>
                <w:sz w:val="22"/>
                <w:szCs w:val="22"/>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1997 Employee Stock Purchase Plan</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S-8</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10/06/06</w:t>
            </w:r>
          </w:p>
        </w:tc>
        <w:tc>
          <w:tcPr>
            <w:tcW w:w="0" w:type="dxa"/>
            <w:vAlign w:val="bottom"/>
          </w:tcPr>
          <w:p>
            <w:pPr>
              <w:spacing w:after="0"/>
              <w:rPr>
                <w:sz w:val="1"/>
                <w:szCs w:val="1"/>
                <w:color w:val="auto"/>
              </w:rPr>
            </w:pPr>
          </w:p>
        </w:tc>
      </w:tr>
      <w:tr>
        <w:trPr>
          <w:trHeight w:val="27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20" w:type="dxa"/>
            <w:vAlign w:val="bottom"/>
          </w:tcPr>
          <w:p>
            <w:pPr>
              <w:spacing w:after="0"/>
              <w:rPr>
                <w:sz w:val="23"/>
                <w:szCs w:val="23"/>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1998 Stock Option Plan</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S-8</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10/06/06</w:t>
            </w:r>
          </w:p>
        </w:tc>
        <w:tc>
          <w:tcPr>
            <w:tcW w:w="0" w:type="dxa"/>
            <w:vAlign w:val="bottom"/>
          </w:tcPr>
          <w:p>
            <w:pPr>
              <w:spacing w:after="0"/>
              <w:rPr>
                <w:sz w:val="1"/>
                <w:szCs w:val="1"/>
                <w:color w:val="auto"/>
              </w:rPr>
            </w:pPr>
          </w:p>
        </w:tc>
      </w:tr>
      <w:tr>
        <w:trPr>
          <w:trHeight w:val="27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20" w:type="dxa"/>
            <w:vAlign w:val="bottom"/>
          </w:tcPr>
          <w:p>
            <w:pPr>
              <w:spacing w:after="0"/>
              <w:rPr>
                <w:sz w:val="23"/>
                <w:szCs w:val="23"/>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2007 Equity Incentive Plan</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S-8</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4.7</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01/22/08</w:t>
            </w:r>
          </w:p>
        </w:tc>
        <w:tc>
          <w:tcPr>
            <w:tcW w:w="0" w:type="dxa"/>
            <w:vAlign w:val="bottom"/>
          </w:tcPr>
          <w:p>
            <w:pPr>
              <w:spacing w:after="0"/>
              <w:rPr>
                <w:sz w:val="1"/>
                <w:szCs w:val="1"/>
                <w:color w:val="auto"/>
              </w:rPr>
            </w:pPr>
          </w:p>
        </w:tc>
      </w:tr>
      <w:tr>
        <w:trPr>
          <w:trHeight w:val="266"/>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120" w:type="dxa"/>
            <w:vAlign w:val="bottom"/>
          </w:tcPr>
          <w:p>
            <w:pPr>
              <w:spacing w:after="0"/>
              <w:rPr>
                <w:sz w:val="23"/>
                <w:szCs w:val="23"/>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w w:val="93"/>
              </w:rPr>
              <w:t>Office Lease between Edgewater Corporate Park, LLC and ClearOne Communications, Inc. dated June 5,</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10.19</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09/14/06</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40" w:type="dxa"/>
            <w:vAlign w:val="bottom"/>
          </w:tcPr>
          <w:p>
            <w:pPr>
              <w:ind w:left="20"/>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20" w:type="dxa"/>
            <w:vAlign w:val="bottom"/>
          </w:tcPr>
          <w:p>
            <w:pPr>
              <w:spacing w:after="0"/>
              <w:rPr>
                <w:sz w:val="21"/>
                <w:szCs w:val="21"/>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w w:val="97"/>
              </w:rPr>
              <w:t>Stock Purchase Agreement Between ClearOne, Inc. and Doran M. Oster Dated March 4, 2014 for the</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03/20/14</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Sabine Acquisition.</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10.8</w:t>
            </w:r>
          </w:p>
        </w:tc>
        <w:tc>
          <w:tcPr>
            <w:tcW w:w="120" w:type="dxa"/>
            <w:vAlign w:val="bottom"/>
          </w:tcPr>
          <w:p>
            <w:pPr>
              <w:spacing w:after="0"/>
              <w:rPr>
                <w:sz w:val="21"/>
                <w:szCs w:val="21"/>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w w:val="95"/>
              </w:rPr>
              <w:t>Manufacturing Services Agreement between Flextronics Industrial, Ltd. and ClearOne Communications,</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10.21</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10/13/09</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Inc. dated November 3, 2008</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10.9</w:t>
            </w:r>
          </w:p>
        </w:tc>
        <w:tc>
          <w:tcPr>
            <w:tcW w:w="120" w:type="dxa"/>
            <w:vAlign w:val="bottom"/>
          </w:tcPr>
          <w:p>
            <w:pPr>
              <w:spacing w:after="0"/>
              <w:rPr>
                <w:sz w:val="22"/>
                <w:szCs w:val="22"/>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w w:val="96"/>
              </w:rPr>
              <w:t>Framework Agreement between ClearOne, Inc. and Dialcom Networks S.L., dated December 20, 2013</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8-K</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04/07/14</w:t>
            </w:r>
          </w:p>
        </w:tc>
        <w:tc>
          <w:tcPr>
            <w:tcW w:w="0" w:type="dxa"/>
            <w:vAlign w:val="bottom"/>
          </w:tcPr>
          <w:p>
            <w:pPr>
              <w:spacing w:after="0"/>
              <w:rPr>
                <w:sz w:val="1"/>
                <w:szCs w:val="1"/>
                <w:color w:val="auto"/>
              </w:rPr>
            </w:pPr>
          </w:p>
        </w:tc>
      </w:tr>
      <w:tr>
        <w:trPr>
          <w:trHeight w:val="266"/>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10.10</w:t>
            </w:r>
          </w:p>
        </w:tc>
        <w:tc>
          <w:tcPr>
            <w:tcW w:w="120" w:type="dxa"/>
            <w:vAlign w:val="bottom"/>
          </w:tcPr>
          <w:p>
            <w:pPr>
              <w:spacing w:after="0"/>
              <w:rPr>
                <w:sz w:val="23"/>
                <w:szCs w:val="23"/>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w w:val="94"/>
              </w:rPr>
              <w:t>Amendment to Framework Agreement between ClearOne, Inc. and Dialcom Networks S.L., dated March</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8-K</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04/07/14</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40" w:type="dxa"/>
            <w:vAlign w:val="bottom"/>
          </w:tcPr>
          <w:p>
            <w:pPr>
              <w:ind w:left="20"/>
              <w:spacing w:after="0"/>
              <w:rPr>
                <w:sz w:val="20"/>
                <w:szCs w:val="20"/>
                <w:color w:val="auto"/>
              </w:rPr>
            </w:pPr>
            <w:r>
              <w:rPr>
                <w:rFonts w:ascii="Arial" w:cs="Arial" w:eastAsia="Arial" w:hAnsi="Arial"/>
                <w:sz w:val="16"/>
                <w:szCs w:val="16"/>
                <w:color w:val="auto"/>
              </w:rPr>
              <w:t>31, 2014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10.11</w:t>
            </w:r>
          </w:p>
        </w:tc>
        <w:tc>
          <w:tcPr>
            <w:tcW w:w="120" w:type="dxa"/>
            <w:vAlign w:val="bottom"/>
          </w:tcPr>
          <w:p>
            <w:pPr>
              <w:spacing w:after="0"/>
              <w:rPr>
                <w:sz w:val="22"/>
                <w:szCs w:val="22"/>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Purchase Agreement between ClearOne, Inc. and Dialcom Networks S.L., dated March 31, 2014</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10-Q</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05/14/14</w:t>
            </w:r>
          </w:p>
        </w:tc>
        <w:tc>
          <w:tcPr>
            <w:tcW w:w="0" w:type="dxa"/>
            <w:vAlign w:val="bottom"/>
          </w:tcPr>
          <w:p>
            <w:pPr>
              <w:spacing w:after="0"/>
              <w:rPr>
                <w:sz w:val="1"/>
                <w:szCs w:val="1"/>
                <w:color w:val="auto"/>
              </w:rPr>
            </w:pPr>
          </w:p>
        </w:tc>
      </w:tr>
      <w:tr>
        <w:trPr>
          <w:trHeight w:val="27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14.1</w:t>
            </w:r>
          </w:p>
        </w:tc>
        <w:tc>
          <w:tcPr>
            <w:tcW w:w="120" w:type="dxa"/>
            <w:vAlign w:val="bottom"/>
          </w:tcPr>
          <w:p>
            <w:pPr>
              <w:spacing w:after="0"/>
              <w:rPr>
                <w:sz w:val="23"/>
                <w:szCs w:val="23"/>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Code of Ethics, approved by the Board of Directors on August 23, 2006</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14.1</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09/14/06</w:t>
            </w:r>
          </w:p>
        </w:tc>
        <w:tc>
          <w:tcPr>
            <w:tcW w:w="0" w:type="dxa"/>
            <w:vAlign w:val="bottom"/>
          </w:tcPr>
          <w:p>
            <w:pPr>
              <w:spacing w:after="0"/>
              <w:rPr>
                <w:sz w:val="1"/>
                <w:szCs w:val="1"/>
                <w:color w:val="auto"/>
              </w:rPr>
            </w:pPr>
          </w:p>
        </w:tc>
      </w:tr>
      <w:tr>
        <w:trPr>
          <w:trHeight w:val="27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21.1</w:t>
            </w:r>
          </w:p>
        </w:tc>
        <w:tc>
          <w:tcPr>
            <w:tcW w:w="120" w:type="dxa"/>
            <w:vAlign w:val="bottom"/>
          </w:tcPr>
          <w:p>
            <w:pPr>
              <w:spacing w:after="0"/>
              <w:rPr>
                <w:sz w:val="23"/>
                <w:szCs w:val="23"/>
                <w:color w:val="auto"/>
              </w:rPr>
            </w:pP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Subsidiaries of the registrant</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21.1</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03/31/15</w:t>
            </w:r>
          </w:p>
        </w:tc>
        <w:tc>
          <w:tcPr>
            <w:tcW w:w="0" w:type="dxa"/>
            <w:vAlign w:val="bottom"/>
          </w:tcPr>
          <w:p>
            <w:pPr>
              <w:spacing w:after="0"/>
              <w:rPr>
                <w:sz w:val="1"/>
                <w:szCs w:val="1"/>
                <w:color w:val="auto"/>
              </w:rPr>
            </w:pPr>
          </w:p>
        </w:tc>
      </w:tr>
      <w:tr>
        <w:trPr>
          <w:trHeight w:val="270"/>
        </w:trPr>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23.1†</w:t>
            </w: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Consent of Tanner LLC, Independent Registered Public Accounting Firm</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23.2†</w:t>
            </w: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Consent of RSM US LLP, Independent Registered Public Accounting Firm</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31.1†</w:t>
            </w: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Section 302 Certification of Chief Financial Officer</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31.2†</w:t>
            </w: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Section 302 Certification of Chief Financial Officer</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32.1†</w:t>
            </w: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Section 906 Certification of Chief Financial Officer</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32.2†</w:t>
            </w: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Section 906 Certification of Chief Financial Officer</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101.INS††</w:t>
            </w: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XBRL Instance Document</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101.SCH††</w:t>
            </w: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Schema</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101.CAL††</w:t>
            </w: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Calculation Linkbase</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101.DEF††</w:t>
            </w: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Definitions Linkbase</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101.LAB††</w:t>
            </w: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Label Linkbase</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101.PRE††</w:t>
            </w:r>
          </w:p>
        </w:tc>
        <w:tc>
          <w:tcPr>
            <w:tcW w:w="704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Presentation Linkbase</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61"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Constitutes a management contract or compensatory plan or arrangement.</w:t>
      </w:r>
    </w:p>
    <w:p>
      <w:pPr>
        <w:spacing w:after="0" w:line="1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Filed herewith</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Filed herewith, reflects amended interactive data originally filed with Form 10-K on March 31, 3015.</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53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Zeynep Hakimoglu</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 of the Board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January 13, 2016</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80"/>
          </w:cols>
          <w:pgMar w:left="240" w:top="121" w:right="47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6106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Zeynep Hakimoglu</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President, Chief Executive Officer and Chairman of the Board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January 13,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Brad R.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6106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Brad R. Baldwin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January 13,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Scott M. Huntsman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6106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Scott M. Huntsman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January 13,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0359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Narsi Narayanan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of Finance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January 13,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Larry R. Hendricks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035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Larry R. Hendricks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January 13,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Eric L.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Eric L. Robinson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January 13, 2016</w:t>
      </w:r>
    </w:p>
    <w:p>
      <w:pPr>
        <w:spacing w:after="0" w:line="200" w:lineRule="exact"/>
        <w:rPr>
          <w:sz w:val="20"/>
          <w:szCs w:val="20"/>
          <w:color w:val="auto"/>
        </w:rPr>
      </w:pPr>
    </w:p>
    <w:p>
      <w:pPr>
        <w:sectPr>
          <w:pgSz w:w="11900" w:h="16838" w:orient="portrait"/>
          <w:cols w:equalWidth="0" w:num="2">
            <w:col w:w="5820" w:space="720"/>
            <w:col w:w="4640"/>
          </w:cols>
          <w:pgMar w:left="240" w:top="121"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 5 |</w:t>
      </w:r>
    </w:p>
    <w:p>
      <w:pPr>
        <w:sectPr>
          <w:pgSz w:w="11900" w:h="16838" w:orient="portrait"/>
          <w:cols w:equalWidth="0" w:num="1">
            <w:col w:w="11180"/>
          </w:cols>
          <w:pgMar w:left="240" w:top="121" w:right="47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7"/>
        </w:trPr>
        <w:tc>
          <w:tcPr>
            <w:tcW w:w="4360" w:type="dxa"/>
            <w:vAlign w:val="bottom"/>
            <w:gridSpan w:val="2"/>
            <w:vMerge w:val="restart"/>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Reports of Independent Registered Public Accounting Firms</w:t>
              </w:r>
            </w:hyperlink>
          </w:p>
        </w:tc>
        <w:tc>
          <w:tcPr>
            <w:tcW w:w="6000" w:type="dxa"/>
            <w:vAlign w:val="bottom"/>
            <w:gridSpan w:val="5"/>
            <w:vMerge w:val="restart"/>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360" w:type="dxa"/>
            <w:vAlign w:val="bottom"/>
            <w:tcBorders>
              <w:bottom w:val="single" w:sz="8" w:color="0000EE"/>
            </w:tcBorders>
            <w:gridSpan w:val="2"/>
            <w:vMerge w:val="continue"/>
          </w:tcPr>
          <w:p>
            <w:pPr>
              <w:spacing w:after="0"/>
              <w:rPr>
                <w:sz w:val="15"/>
                <w:szCs w:val="15"/>
                <w:color w:val="auto"/>
              </w:rPr>
            </w:pPr>
          </w:p>
        </w:tc>
        <w:tc>
          <w:tcPr>
            <w:tcW w:w="6000" w:type="dxa"/>
            <w:vAlign w:val="bottom"/>
            <w:gridSpan w:val="5"/>
            <w:vMerge w:val="continue"/>
          </w:tcPr>
          <w:p>
            <w:pPr>
              <w:spacing w:after="0"/>
              <w:rPr>
                <w:sz w:val="15"/>
                <w:szCs w:val="15"/>
                <w:color w:val="auto"/>
              </w:rPr>
            </w:pPr>
          </w:p>
        </w:tc>
        <w:tc>
          <w:tcPr>
            <w:tcW w:w="1020" w:type="dxa"/>
            <w:vAlign w:val="bottom"/>
          </w:tcPr>
          <w:p>
            <w:pPr>
              <w:jc w:val="center"/>
              <w:spacing w:after="0" w:line="170" w:lineRule="exact"/>
              <w:rPr>
                <w:rFonts w:ascii="Arial" w:cs="Arial" w:eastAsia="Arial" w:hAnsi="Arial"/>
                <w:sz w:val="18"/>
                <w:szCs w:val="18"/>
                <w:color w:val="auto"/>
                <w:w w:val="93"/>
              </w:rPr>
            </w:pPr>
            <w:hyperlink w:anchor="page9">
              <w:r>
                <w:rPr>
                  <w:rFonts w:ascii="Arial" w:cs="Arial" w:eastAsia="Arial" w:hAnsi="Arial"/>
                  <w:sz w:val="18"/>
                  <w:szCs w:val="18"/>
                  <w:color w:val="auto"/>
                  <w:w w:val="93"/>
                </w:rPr>
                <w:t>F- 1</w:t>
              </w:r>
            </w:hyperlink>
          </w:p>
        </w:tc>
        <w:tc>
          <w:tcPr>
            <w:tcW w:w="0" w:type="dxa"/>
            <w:vAlign w:val="bottom"/>
          </w:tcPr>
          <w:p>
            <w:pPr>
              <w:spacing w:after="0"/>
              <w:rPr>
                <w:sz w:val="1"/>
                <w:szCs w:val="1"/>
                <w:color w:val="auto"/>
              </w:rPr>
            </w:pPr>
          </w:p>
        </w:tc>
      </w:tr>
      <w:tr>
        <w:trPr>
          <w:trHeight w:val="264"/>
        </w:trPr>
        <w:tc>
          <w:tcPr>
            <w:tcW w:w="57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Consolidated Balance Sheets as of December 31, 2014 and December 31, 2013</w:t>
              </w:r>
            </w:hyperlink>
          </w:p>
        </w:tc>
        <w:tc>
          <w:tcPr>
            <w:tcW w:w="4660" w:type="dxa"/>
            <w:vAlign w:val="bottom"/>
            <w:gridSpan w:val="4"/>
          </w:tcPr>
          <w:p>
            <w:pPr>
              <w:spacing w:after="0"/>
              <w:rPr>
                <w:sz w:val="22"/>
                <w:szCs w:val="22"/>
                <w:color w:val="auto"/>
              </w:rPr>
            </w:pPr>
          </w:p>
        </w:tc>
        <w:tc>
          <w:tcPr>
            <w:tcW w:w="1020" w:type="dxa"/>
            <w:vAlign w:val="bottom"/>
          </w:tcPr>
          <w:p>
            <w:pPr>
              <w:jc w:val="center"/>
              <w:spacing w:after="0"/>
              <w:rPr>
                <w:rFonts w:ascii="Arial" w:cs="Arial" w:eastAsia="Arial" w:hAnsi="Arial"/>
                <w:sz w:val="18"/>
                <w:szCs w:val="18"/>
                <w:color w:val="auto"/>
                <w:w w:val="93"/>
              </w:rPr>
            </w:pPr>
            <w:hyperlink w:anchor="page11">
              <w:r>
                <w:rPr>
                  <w:rFonts w:ascii="Arial" w:cs="Arial" w:eastAsia="Arial" w:hAnsi="Arial"/>
                  <w:sz w:val="18"/>
                  <w:szCs w:val="18"/>
                  <w:color w:val="auto"/>
                  <w:w w:val="93"/>
                </w:rPr>
                <w:t>F- 3</w:t>
              </w:r>
            </w:hyperlink>
          </w:p>
        </w:tc>
        <w:tc>
          <w:tcPr>
            <w:tcW w:w="0" w:type="dxa"/>
            <w:vAlign w:val="bottom"/>
          </w:tcPr>
          <w:p>
            <w:pPr>
              <w:spacing w:after="0"/>
              <w:rPr>
                <w:sz w:val="1"/>
                <w:szCs w:val="1"/>
                <w:color w:val="auto"/>
              </w:rPr>
            </w:pPr>
          </w:p>
        </w:tc>
      </w:tr>
      <w:tr>
        <w:trPr>
          <w:trHeight w:val="250"/>
        </w:trPr>
        <w:tc>
          <w:tcPr>
            <w:tcW w:w="82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Consolidated Statements of Income and Comprehensive Income for the years ended December 31, 2014 and 2013</w:t>
              </w:r>
            </w:hyperlink>
          </w:p>
        </w:tc>
        <w:tc>
          <w:tcPr>
            <w:tcW w:w="2140" w:type="dxa"/>
            <w:vAlign w:val="bottom"/>
          </w:tcPr>
          <w:p>
            <w:pPr>
              <w:spacing w:after="0"/>
              <w:rPr>
                <w:sz w:val="21"/>
                <w:szCs w:val="21"/>
                <w:color w:val="auto"/>
              </w:rPr>
            </w:pPr>
          </w:p>
        </w:tc>
        <w:tc>
          <w:tcPr>
            <w:tcW w:w="1020" w:type="dxa"/>
            <w:vAlign w:val="bottom"/>
          </w:tcPr>
          <w:p>
            <w:pPr>
              <w:jc w:val="center"/>
              <w:spacing w:after="0"/>
              <w:rPr>
                <w:rFonts w:ascii="Arial" w:cs="Arial" w:eastAsia="Arial" w:hAnsi="Arial"/>
                <w:sz w:val="18"/>
                <w:szCs w:val="18"/>
                <w:color w:val="auto"/>
                <w:w w:val="93"/>
              </w:rPr>
            </w:pPr>
            <w:hyperlink w:anchor="page12">
              <w:r>
                <w:rPr>
                  <w:rFonts w:ascii="Arial" w:cs="Arial" w:eastAsia="Arial" w:hAnsi="Arial"/>
                  <w:sz w:val="18"/>
                  <w:szCs w:val="18"/>
                  <w:color w:val="auto"/>
                  <w:w w:val="93"/>
                </w:rPr>
                <w:t>F- 4</w:t>
              </w:r>
            </w:hyperlink>
          </w:p>
        </w:tc>
        <w:tc>
          <w:tcPr>
            <w:tcW w:w="0" w:type="dxa"/>
            <w:vAlign w:val="bottom"/>
          </w:tcPr>
          <w:p>
            <w:pPr>
              <w:spacing w:after="0"/>
              <w:rPr>
                <w:sz w:val="1"/>
                <w:szCs w:val="1"/>
                <w:color w:val="auto"/>
              </w:rPr>
            </w:pPr>
          </w:p>
        </w:tc>
      </w:tr>
      <w:tr>
        <w:trPr>
          <w:trHeight w:val="250"/>
        </w:trPr>
        <w:tc>
          <w:tcPr>
            <w:tcW w:w="10360" w:type="dxa"/>
            <w:vAlign w:val="bottom"/>
            <w:gridSpan w:val="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Consolidated Statements of Shareholders' Equity for the years ended December 31, 2014 and 2013</w:t>
              </w:r>
            </w:hyperlink>
          </w:p>
        </w:tc>
        <w:tc>
          <w:tcPr>
            <w:tcW w:w="1020" w:type="dxa"/>
            <w:vAlign w:val="bottom"/>
          </w:tcPr>
          <w:p>
            <w:pPr>
              <w:jc w:val="center"/>
              <w:spacing w:after="0"/>
              <w:rPr>
                <w:rFonts w:ascii="Arial" w:cs="Arial" w:eastAsia="Arial" w:hAnsi="Arial"/>
                <w:sz w:val="18"/>
                <w:szCs w:val="18"/>
                <w:color w:val="auto"/>
                <w:w w:val="93"/>
              </w:rPr>
            </w:pPr>
            <w:hyperlink w:anchor="page13">
              <w:r>
                <w:rPr>
                  <w:rFonts w:ascii="Arial" w:cs="Arial" w:eastAsia="Arial" w:hAnsi="Arial"/>
                  <w:sz w:val="18"/>
                  <w:szCs w:val="18"/>
                  <w:color w:val="auto"/>
                  <w:w w:val="93"/>
                </w:rPr>
                <w:t>F- 5</w:t>
              </w:r>
            </w:hyperlink>
          </w:p>
        </w:tc>
        <w:tc>
          <w:tcPr>
            <w:tcW w:w="0" w:type="dxa"/>
            <w:vAlign w:val="bottom"/>
          </w:tcPr>
          <w:p>
            <w:pPr>
              <w:spacing w:after="0"/>
              <w:rPr>
                <w:sz w:val="1"/>
                <w:szCs w:val="1"/>
                <w:color w:val="auto"/>
              </w:rPr>
            </w:pPr>
          </w:p>
        </w:tc>
      </w:tr>
      <w:tr>
        <w:trPr>
          <w:trHeight w:val="250"/>
        </w:trPr>
        <w:tc>
          <w:tcPr>
            <w:tcW w:w="64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Consolidated Statements of Cash Flows for the years ended December 31, 2014 and 2013</w:t>
              </w:r>
            </w:hyperlink>
          </w:p>
        </w:tc>
        <w:tc>
          <w:tcPr>
            <w:tcW w:w="640" w:type="dxa"/>
            <w:vAlign w:val="bottom"/>
            <w:tcBorders>
              <w:top w:val="single" w:sz="8" w:color="0000EE"/>
            </w:tcBorders>
          </w:tcPr>
          <w:p>
            <w:pPr>
              <w:spacing w:after="0"/>
              <w:rPr>
                <w:sz w:val="21"/>
                <w:szCs w:val="21"/>
                <w:color w:val="auto"/>
              </w:rPr>
            </w:pPr>
          </w:p>
        </w:tc>
        <w:tc>
          <w:tcPr>
            <w:tcW w:w="3260" w:type="dxa"/>
            <w:vAlign w:val="bottom"/>
            <w:gridSpan w:val="2"/>
          </w:tcPr>
          <w:p>
            <w:pPr>
              <w:spacing w:after="0"/>
              <w:rPr>
                <w:sz w:val="21"/>
                <w:szCs w:val="21"/>
                <w:color w:val="auto"/>
              </w:rPr>
            </w:pPr>
          </w:p>
        </w:tc>
        <w:tc>
          <w:tcPr>
            <w:tcW w:w="1020" w:type="dxa"/>
            <w:vAlign w:val="bottom"/>
          </w:tcPr>
          <w:p>
            <w:pPr>
              <w:jc w:val="center"/>
              <w:spacing w:after="0"/>
              <w:rPr>
                <w:rFonts w:ascii="Arial" w:cs="Arial" w:eastAsia="Arial" w:hAnsi="Arial"/>
                <w:sz w:val="18"/>
                <w:szCs w:val="18"/>
                <w:color w:val="auto"/>
                <w:w w:val="93"/>
              </w:rPr>
            </w:pPr>
            <w:hyperlink w:anchor="page14">
              <w:r>
                <w:rPr>
                  <w:rFonts w:ascii="Arial" w:cs="Arial" w:eastAsia="Arial" w:hAnsi="Arial"/>
                  <w:sz w:val="18"/>
                  <w:szCs w:val="18"/>
                  <w:color w:val="auto"/>
                  <w:w w:val="93"/>
                </w:rPr>
                <w:t>F- 6</w:t>
              </w:r>
            </w:hyperlink>
          </w:p>
        </w:tc>
        <w:tc>
          <w:tcPr>
            <w:tcW w:w="0" w:type="dxa"/>
            <w:vAlign w:val="bottom"/>
          </w:tcPr>
          <w:p>
            <w:pPr>
              <w:spacing w:after="0"/>
              <w:rPr>
                <w:sz w:val="1"/>
                <w:szCs w:val="1"/>
                <w:color w:val="auto"/>
              </w:rPr>
            </w:pPr>
          </w:p>
        </w:tc>
      </w:tr>
      <w:tr>
        <w:trPr>
          <w:trHeight w:val="250"/>
        </w:trPr>
        <w:tc>
          <w:tcPr>
            <w:tcW w:w="10360" w:type="dxa"/>
            <w:vAlign w:val="bottom"/>
            <w:gridSpan w:val="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Notes to Consolidated Financial Statements</w:t>
              </w:r>
            </w:hyperlink>
          </w:p>
        </w:tc>
        <w:tc>
          <w:tcPr>
            <w:tcW w:w="1020" w:type="dxa"/>
            <w:vAlign w:val="bottom"/>
          </w:tcPr>
          <w:p>
            <w:pPr>
              <w:jc w:val="center"/>
              <w:spacing w:after="0"/>
              <w:rPr>
                <w:rFonts w:ascii="Arial" w:cs="Arial" w:eastAsia="Arial" w:hAnsi="Arial"/>
                <w:sz w:val="18"/>
                <w:szCs w:val="18"/>
                <w:color w:val="auto"/>
                <w:w w:val="93"/>
              </w:rPr>
            </w:pPr>
            <w:hyperlink w:anchor="page16">
              <w:r>
                <w:rPr>
                  <w:rFonts w:ascii="Arial" w:cs="Arial" w:eastAsia="Arial" w:hAnsi="Arial"/>
                  <w:sz w:val="18"/>
                  <w:szCs w:val="18"/>
                  <w:color w:val="auto"/>
                  <w:w w:val="93"/>
                </w:rPr>
                <w:t>F- 8</w:t>
              </w:r>
            </w:hyperlink>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ClearOne, Inc.</w:t>
      </w:r>
    </w:p>
    <w:p>
      <w:pPr>
        <w:spacing w:after="0" w:line="21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have audited the accompanying consolidated balance sheet of ClearOne, Inc. and subsidiaries (collectively, the Company) as of December 31, 2014, and the related consolidated statements of income and comprehensive income, shareholders’ equity, and cash flows for year then ended. The Company’s management is responsible for these financial statements. Our responsibility is to express an opinion on these financial statements based on our audit.</w:t>
      </w:r>
    </w:p>
    <w:p>
      <w:pPr>
        <w:spacing w:after="0" w:line="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5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ClearOne, Inc. and subsidiaries as of December 31, 2014, and the consolidated results of their operations and cash flows for the year then ended in conformity with U.S. generally accepted accounting principles.</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/s/ TANNER LLC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13, 2016</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 |</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ClearOne, Inc.</w:t>
      </w:r>
    </w:p>
    <w:p>
      <w:pPr>
        <w:spacing w:after="0" w:line="211"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We have audited the accompanying consolidated balance sheet of ClearOne, Inc. and subsidiaries (the Company) as of December 31, 2013 and the related consolidated statements of income and comprehensive income, shareholders’ equity, and cash flows for the year then ended. These financial statements are the responsibility of the Company's management. Our responsibility is to express an opinion on these financial statements based on our audit.</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6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ClearOne, Inc. and subsidiaries as of December 31, 2013, and the results of their operations and their cash flows for the year then ended in conformity with U.S. generally accepted accounting principles.</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4"/>
          <w:szCs w:val="14"/>
          <w:i w:val="1"/>
          <w:iCs w:val="1"/>
          <w:color w:val="auto"/>
        </w:rPr>
        <w:t>RSM US LLP</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19, 2014</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F- 2 |</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2014</w:t>
            </w:r>
          </w:p>
        </w:tc>
        <w:tc>
          <w:tcPr>
            <w:tcW w:w="260" w:type="dxa"/>
            <w:vAlign w:val="bottom"/>
          </w:tcPr>
          <w:p>
            <w:pPr>
              <w:spacing w:after="0"/>
              <w:rPr>
                <w:sz w:val="18"/>
                <w:szCs w:val="18"/>
                <w:color w:val="auto"/>
              </w:rPr>
            </w:pPr>
          </w:p>
        </w:tc>
        <w:tc>
          <w:tcPr>
            <w:tcW w:w="1800" w:type="dxa"/>
            <w:vAlign w:val="bottom"/>
          </w:tcPr>
          <w:p>
            <w:pPr>
              <w:jc w:val="right"/>
              <w:ind w:right="290"/>
              <w:spacing w:after="0"/>
              <w:rPr>
                <w:sz w:val="20"/>
                <w:szCs w:val="20"/>
                <w:color w:val="auto"/>
              </w:rPr>
            </w:pPr>
            <w:r>
              <w:rPr>
                <w:rFonts w:ascii="Arial" w:cs="Arial" w:eastAsia="Arial" w:hAnsi="Arial"/>
                <w:sz w:val="16"/>
                <w:szCs w:val="16"/>
                <w:b w:val="1"/>
                <w:bCs w:val="1"/>
                <w:color w:val="auto"/>
                <w:w w:val="97"/>
              </w:rPr>
              <w:t>December 31, 2013</w:t>
            </w:r>
          </w:p>
        </w:tc>
      </w:tr>
      <w:tr>
        <w:trPr>
          <w:trHeight w:val="33"/>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328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17,192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6,994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3,200</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29"/>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Receivables, net of allowance for doubtful accounts of $58 and $129, as of December 31, 2014</w:t>
            </w: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7"/>
        </w:trPr>
        <w:tc>
          <w:tcPr>
            <w:tcW w:w="7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and 2013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12,766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10,758</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Distributor channel 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3,824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3,325</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2,693</w:t>
            </w: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44,781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48,066</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22,326</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Long-term inventories, net</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551</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7,896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3,710</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1,024</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97"/>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88,860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81,061</w:t>
            </w:r>
          </w:p>
        </w:tc>
      </w:tr>
      <w:tr>
        <w:trPr>
          <w:trHeight w:val="237"/>
        </w:trPr>
        <w:tc>
          <w:tcPr>
            <w:tcW w:w="720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1,761</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product revenue</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4,158</w:t>
            </w: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10,755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8,649</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1,791</w:t>
            </w: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10,726</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r>
      <w:tr>
        <w:trPr>
          <w:trHeight w:val="256"/>
        </w:trPr>
        <w:tc>
          <w:tcPr>
            <w:tcW w:w="7200" w:type="dxa"/>
            <w:vAlign w:val="bottom"/>
          </w:tcPr>
          <w:p>
            <w:pPr>
              <w:ind w:left="40"/>
              <w:spacing w:after="0"/>
              <w:rPr>
                <w:sz w:val="20"/>
                <w:szCs w:val="20"/>
                <w:color w:val="auto"/>
              </w:rPr>
            </w:pPr>
            <w:r>
              <w:rPr>
                <w:rFonts w:ascii="Arial" w:cs="Arial" w:eastAsia="Arial" w:hAnsi="Arial"/>
                <w:sz w:val="18"/>
                <w:szCs w:val="18"/>
                <w:color w:val="auto"/>
                <w:w w:val="91"/>
              </w:rPr>
              <w:t>Common stock, par value $0.001, 50,000,000 shares authorized, 9,097,827 and 8,986,080 shares</w:t>
            </w:r>
          </w:p>
        </w:tc>
        <w:tc>
          <w:tcPr>
            <w:tcW w:w="2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30"/>
        </w:trPr>
        <w:tc>
          <w:tcPr>
            <w:tcW w:w="7200" w:type="dxa"/>
            <w:vAlign w:val="bottom"/>
          </w:tcPr>
          <w:p>
            <w:pPr>
              <w:ind w:left="200"/>
              <w:spacing w:after="0"/>
              <w:rPr>
                <w:sz w:val="20"/>
                <w:szCs w:val="20"/>
                <w:color w:val="auto"/>
              </w:rPr>
            </w:pPr>
            <w:r>
              <w:rPr>
                <w:rFonts w:ascii="Arial" w:cs="Arial" w:eastAsia="Arial" w:hAnsi="Arial"/>
                <w:sz w:val="18"/>
                <w:szCs w:val="18"/>
                <w:color w:val="auto"/>
              </w:rPr>
              <w:t>issued and outstanding as of December 31, 2014 and 2013, respectively</w:t>
            </w:r>
          </w:p>
        </w:tc>
        <w:tc>
          <w:tcPr>
            <w:tcW w:w="26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41,311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28,992</w:t>
            </w: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76,016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70,335</w:t>
            </w: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88,860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81,061</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F- 3 |</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w w:val="90"/>
              </w:rPr>
              <w:t>Year ended December 31,</w:t>
            </w:r>
          </w:p>
        </w:tc>
        <w:tc>
          <w:tcPr>
            <w:tcW w:w="120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jc w:val="right"/>
              <w:ind w:right="770"/>
              <w:spacing w:after="0"/>
              <w:rPr>
                <w:sz w:val="20"/>
                <w:szCs w:val="20"/>
                <w:color w:val="auto"/>
              </w:rPr>
            </w:pPr>
            <w:r>
              <w:rPr>
                <w:rFonts w:ascii="Arial" w:cs="Arial" w:eastAsia="Arial" w:hAnsi="Arial"/>
                <w:sz w:val="16"/>
                <w:szCs w:val="16"/>
                <w:b w:val="1"/>
                <w:bCs w:val="1"/>
                <w:color w:val="auto"/>
                <w:w w:val="89"/>
              </w:rPr>
              <w:t>2013</w:t>
            </w:r>
          </w:p>
        </w:tc>
      </w:tr>
      <w:tr>
        <w:trPr>
          <w:trHeight w:val="33"/>
        </w:trPr>
        <w:tc>
          <w:tcPr>
            <w:tcW w:w="7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20" w:type="dxa"/>
            <w:vAlign w:val="bottom"/>
            <w:tcBorders>
              <w:bottom w:val="single" w:sz="8" w:color="CCEEFF"/>
            </w:tcBorders>
            <w:shd w:val="clear" w:color="auto" w:fill="CCEEFF"/>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57,909</w:t>
            </w:r>
          </w:p>
        </w:tc>
        <w:tc>
          <w:tcPr>
            <w:tcW w:w="96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49,592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22,586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19,735</w:t>
            </w:r>
          </w:p>
        </w:tc>
      </w:tr>
      <w:tr>
        <w:trPr>
          <w:trHeight w:val="27"/>
        </w:trPr>
        <w:tc>
          <w:tcPr>
            <w:tcW w:w="7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35,323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29,857</w:t>
            </w:r>
          </w:p>
        </w:tc>
      </w:tr>
      <w:tr>
        <w:trPr>
          <w:trHeight w:val="318"/>
        </w:trPr>
        <w:tc>
          <w:tcPr>
            <w:tcW w:w="72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11,227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8,896</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7,152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6,416</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litigation, net</w:t>
            </w:r>
          </w:p>
        </w:tc>
        <w:tc>
          <w:tcPr>
            <w:tcW w:w="1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27,348</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22,235</w:t>
            </w:r>
          </w:p>
        </w:tc>
      </w:tr>
      <w:tr>
        <w:trPr>
          <w:trHeight w:val="27"/>
        </w:trPr>
        <w:tc>
          <w:tcPr>
            <w:tcW w:w="7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7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7,975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7,622</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8,229</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7,769</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r>
      <w:tr>
        <w:trPr>
          <w:trHeight w:val="297"/>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w:t>
            </w:r>
          </w:p>
        </w:tc>
        <w:tc>
          <w:tcPr>
            <w:tcW w:w="1220" w:type="dxa"/>
            <w:vAlign w:val="bottom"/>
            <w:tcBorders>
              <w:top w:val="single" w:sz="8" w:color="auto"/>
              <w:bottom w:val="single" w:sz="8" w:color="auto"/>
            </w:tcBorders>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5,596</w:t>
            </w:r>
          </w:p>
        </w:tc>
        <w:tc>
          <w:tcPr>
            <w:tcW w:w="100" w:type="dxa"/>
            <w:vAlign w:val="bottom"/>
            <w:tcBorders>
              <w:bottom w:val="single" w:sz="8" w:color="CCEEFF"/>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5,179</w:t>
            </w:r>
          </w:p>
        </w:tc>
      </w:tr>
      <w:tr>
        <w:trPr>
          <w:trHeight w:val="311"/>
        </w:trPr>
        <w:tc>
          <w:tcPr>
            <w:tcW w:w="7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220" w:type="dxa"/>
            <w:vAlign w:val="bottom"/>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0.61</w:t>
            </w:r>
          </w:p>
        </w:tc>
        <w:tc>
          <w:tcPr>
            <w:tcW w:w="9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0.57</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220" w:type="dxa"/>
            <w:vAlign w:val="bottom"/>
            <w:tcBorders>
              <w:bottom w:val="single" w:sz="8" w:color="CCEEFF"/>
            </w:tcBorders>
            <w:shd w:val="clear" w:color="auto" w:fill="CCEEFF"/>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c>
          <w:tcPr>
            <w:tcW w:w="96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0.55</w:t>
            </w:r>
          </w:p>
        </w:tc>
      </w:tr>
      <w:tr>
        <w:trPr>
          <w:trHeight w:val="324"/>
        </w:trPr>
        <w:tc>
          <w:tcPr>
            <w:tcW w:w="7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9,166,769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9,064,340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9,581,326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9,455,518</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7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CCEEFF"/>
            </w:tcBorders>
            <w:shd w:val="clear" w:color="auto" w:fill="CCEEFF"/>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5,596</w:t>
            </w:r>
          </w:p>
        </w:tc>
        <w:tc>
          <w:tcPr>
            <w:tcW w:w="96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5,179</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1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Unrealized gain on available-for-sale securities, net of tax</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7200" w:type="dxa"/>
            <w:vAlign w:val="bottom"/>
          </w:tcPr>
          <w:p>
            <w:pPr>
              <w:ind w:left="260"/>
              <w:spacing w:after="0"/>
              <w:rPr>
                <w:sz w:val="20"/>
                <w:szCs w:val="20"/>
                <w:color w:val="auto"/>
              </w:rPr>
            </w:pPr>
            <w:r>
              <w:rPr>
                <w:rFonts w:ascii="Arial" w:cs="Arial" w:eastAsia="Arial" w:hAnsi="Arial"/>
                <w:sz w:val="18"/>
                <w:szCs w:val="18"/>
                <w:color w:val="auto"/>
              </w:rPr>
              <w:t>Change in foreign currency translation adjustment</w:t>
            </w:r>
          </w:p>
        </w:tc>
        <w:tc>
          <w:tcPr>
            <w:tcW w:w="1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220" w:type="dxa"/>
            <w:vAlign w:val="bottom"/>
            <w:shd w:val="clear" w:color="auto" w:fill="CCEEFF"/>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5,565</w:t>
            </w:r>
          </w:p>
        </w:tc>
        <w:tc>
          <w:tcPr>
            <w:tcW w:w="9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5,202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F- 4 |</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340" w:type="dxa"/>
            <w:vAlign w:val="bottom"/>
            <w:gridSpan w:val="5"/>
          </w:tcPr>
          <w:p>
            <w:pPr>
              <w:ind w:left="6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3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restart"/>
          </w:tcPr>
          <w:p>
            <w:pPr>
              <w:spacing w:after="0" w:line="139" w:lineRule="exact"/>
              <w:rPr>
                <w:sz w:val="20"/>
                <w:szCs w:val="20"/>
                <w:color w:val="auto"/>
              </w:rPr>
            </w:pPr>
            <w:r>
              <w:rPr>
                <w:rFonts w:ascii="Arial" w:cs="Arial" w:eastAsia="Arial" w:hAnsi="Arial"/>
                <w:sz w:val="14"/>
                <w:szCs w:val="14"/>
                <w:b w:val="1"/>
                <w:bCs w:val="1"/>
                <w:color w:val="auto"/>
              </w:rPr>
              <w:t>Additional Paid-in</w:t>
            </w:r>
          </w:p>
        </w:tc>
        <w:tc>
          <w:tcPr>
            <w:tcW w:w="16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auto"/>
                <w:w w:val="96"/>
              </w:rPr>
              <w:t>Total Shareholders'</w:t>
            </w:r>
          </w:p>
        </w:tc>
        <w:tc>
          <w:tcPr>
            <w:tcW w:w="0" w:type="dxa"/>
            <w:vAlign w:val="bottom"/>
          </w:tcPr>
          <w:p>
            <w:pPr>
              <w:spacing w:after="0"/>
              <w:rPr>
                <w:sz w:val="1"/>
                <w:szCs w:val="1"/>
                <w:color w:val="auto"/>
              </w:rPr>
            </w:pPr>
          </w:p>
        </w:tc>
      </w:tr>
      <w:tr>
        <w:trPr>
          <w:trHeight w:val="65"/>
        </w:trPr>
        <w:tc>
          <w:tcPr>
            <w:tcW w:w="3320" w:type="dxa"/>
            <w:vAlign w:val="bottom"/>
          </w:tcPr>
          <w:p>
            <w:pPr>
              <w:spacing w:after="0"/>
              <w:rPr>
                <w:sz w:val="5"/>
                <w:szCs w:val="5"/>
                <w:color w:val="auto"/>
              </w:rPr>
            </w:pPr>
          </w:p>
        </w:tc>
        <w:tc>
          <w:tcPr>
            <w:tcW w:w="10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36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Retained Earnings</w:t>
            </w:r>
          </w:p>
        </w:tc>
        <w:tc>
          <w:tcPr>
            <w:tcW w:w="100" w:type="dxa"/>
            <w:vAlign w:val="bottom"/>
            <w:vMerge w:val="restart"/>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320" w:type="dxa"/>
            <w:vAlign w:val="bottom"/>
          </w:tcPr>
          <w:p>
            <w:pPr>
              <w:ind w:left="40"/>
              <w:spacing w:after="0"/>
              <w:rPr>
                <w:sz w:val="20"/>
                <w:szCs w:val="20"/>
                <w:color w:val="auto"/>
              </w:rPr>
            </w:pPr>
            <w:r>
              <w:rPr>
                <w:rFonts w:ascii="Arial" w:cs="Arial" w:eastAsia="Arial" w:hAnsi="Arial"/>
                <w:sz w:val="16"/>
                <w:szCs w:val="16"/>
                <w:color w:val="auto"/>
              </w:rPr>
              <w:t>As of December 31, 2012</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9,163,462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40,430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26,229</w:t>
            </w:r>
          </w:p>
        </w:tc>
        <w:tc>
          <w:tcPr>
            <w:tcW w:w="100" w:type="dxa"/>
            <w:vAlign w:val="bottom"/>
          </w:tcPr>
          <w:p>
            <w:pPr>
              <w:spacing w:after="0"/>
              <w:rPr>
                <w:sz w:val="19"/>
                <w:szCs w:val="19"/>
                <w:color w:val="auto"/>
              </w:rPr>
            </w:pPr>
          </w:p>
        </w:tc>
        <w:tc>
          <w:tcPr>
            <w:tcW w:w="3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66,668</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Exercise of stock options</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Stock repurchased</w:t>
            </w:r>
          </w:p>
        </w:tc>
        <w:tc>
          <w:tcPr>
            <w:tcW w:w="1040" w:type="dxa"/>
            <w:vAlign w:val="bottom"/>
          </w:tcPr>
          <w:p>
            <w:pPr>
              <w:jc w:val="right"/>
              <w:spacing w:after="0"/>
              <w:rPr>
                <w:sz w:val="20"/>
                <w:szCs w:val="20"/>
                <w:color w:val="auto"/>
              </w:rPr>
            </w:pPr>
            <w:r>
              <w:rPr>
                <w:rFonts w:ascii="Arial" w:cs="Arial" w:eastAsia="Arial" w:hAnsi="Arial"/>
                <w:sz w:val="16"/>
                <w:szCs w:val="16"/>
                <w:color w:val="auto"/>
              </w:rPr>
              <w:t>(300,087)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(2,416)</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 benefit - stock option exercises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stock purchase plan</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320" w:type="dxa"/>
            <w:vAlign w:val="bottom"/>
          </w:tcPr>
          <w:p>
            <w:pPr>
              <w:ind w:left="180"/>
              <w:spacing w:after="0"/>
              <w:rPr>
                <w:sz w:val="20"/>
                <w:szCs w:val="20"/>
                <w:color w:val="auto"/>
              </w:rPr>
            </w:pPr>
            <w:r>
              <w:rPr>
                <w:rFonts w:ascii="Arial" w:cs="Arial" w:eastAsia="Arial" w:hAnsi="Arial"/>
                <w:sz w:val="16"/>
                <w:szCs w:val="16"/>
                <w:color w:val="auto"/>
                <w:w w:val="92"/>
              </w:rPr>
              <w:t>Unrealized gain on available-for-sale securities,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Arial" w:cs="Arial" w:eastAsia="Arial" w:hAnsi="Arial"/>
                <w:sz w:val="16"/>
                <w:szCs w:val="16"/>
                <w:color w:val="auto"/>
              </w:rPr>
              <w:t>net of tax</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5,179</w:t>
            </w:r>
          </w:p>
        </w:tc>
        <w:tc>
          <w:tcPr>
            <w:tcW w:w="0" w:type="dxa"/>
            <w:vAlign w:val="bottom"/>
          </w:tcPr>
          <w:p>
            <w:pPr>
              <w:spacing w:after="0"/>
              <w:rPr>
                <w:sz w:val="1"/>
                <w:szCs w:val="1"/>
                <w:color w:val="auto"/>
              </w:rPr>
            </w:pPr>
          </w:p>
        </w:tc>
      </w:tr>
      <w:tr>
        <w:trPr>
          <w:trHeight w:val="217"/>
        </w:trPr>
        <w:tc>
          <w:tcPr>
            <w:tcW w:w="3320" w:type="dxa"/>
            <w:vAlign w:val="bottom"/>
          </w:tcPr>
          <w:p>
            <w:pPr>
              <w:ind w:left="40"/>
              <w:spacing w:after="0"/>
              <w:rPr>
                <w:sz w:val="20"/>
                <w:szCs w:val="20"/>
                <w:color w:val="auto"/>
              </w:rPr>
            </w:pPr>
            <w:r>
              <w:rPr>
                <w:rFonts w:ascii="Arial" w:cs="Arial" w:eastAsia="Arial" w:hAnsi="Arial"/>
                <w:sz w:val="16"/>
                <w:szCs w:val="16"/>
                <w:color w:val="auto"/>
              </w:rPr>
              <w:t>As of December 31, 2013</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8,986,080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41,311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28,992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70,335</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Exercise of stock options</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234,432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Stock repurchased</w:t>
            </w:r>
          </w:p>
        </w:tc>
        <w:tc>
          <w:tcPr>
            <w:tcW w:w="1040" w:type="dxa"/>
            <w:vAlign w:val="bottom"/>
          </w:tcPr>
          <w:p>
            <w:pPr>
              <w:jc w:val="right"/>
              <w:spacing w:after="0"/>
              <w:rPr>
                <w:sz w:val="20"/>
                <w:szCs w:val="20"/>
                <w:color w:val="auto"/>
              </w:rPr>
            </w:pPr>
            <w:r>
              <w:rPr>
                <w:rFonts w:ascii="Arial" w:cs="Arial" w:eastAsia="Arial" w:hAnsi="Arial"/>
                <w:sz w:val="16"/>
                <w:szCs w:val="16"/>
                <w:color w:val="auto"/>
              </w:rPr>
              <w:t>(272,767)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(2,598)</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dividends ($0.10 per share)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Stock issued - Sabine acquisition</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1,679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 benefit - stock option exercises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stock purchase plan</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320" w:type="dxa"/>
            <w:vAlign w:val="bottom"/>
          </w:tcPr>
          <w:p>
            <w:pPr>
              <w:ind w:left="180"/>
              <w:spacing w:after="0"/>
              <w:rPr>
                <w:sz w:val="20"/>
                <w:szCs w:val="20"/>
                <w:color w:val="auto"/>
              </w:rPr>
            </w:pPr>
            <w:r>
              <w:rPr>
                <w:rFonts w:ascii="Arial" w:cs="Arial" w:eastAsia="Arial" w:hAnsi="Arial"/>
                <w:sz w:val="16"/>
                <w:szCs w:val="16"/>
                <w:color w:val="auto"/>
                <w:w w:val="92"/>
              </w:rPr>
              <w:t>Unrealized gain on available-for-sale securities,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Arial" w:cs="Arial" w:eastAsia="Arial" w:hAnsi="Arial"/>
                <w:sz w:val="16"/>
                <w:szCs w:val="16"/>
                <w:color w:val="auto"/>
              </w:rPr>
              <w:t>net of tax</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5,596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5,596</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 of December 31, 2014</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9,097,827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44,939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31,076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76,016</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F- 5 |</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2013</w:t>
            </w:r>
          </w:p>
        </w:tc>
      </w:tr>
      <w:tr>
        <w:trPr>
          <w:trHeight w:val="33"/>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5,596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5,179</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1,422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deferred rent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296</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Write-down of inventory to net realizable value</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996</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8120" w:type="dxa"/>
            <w:vAlign w:val="bottom"/>
          </w:tcPr>
          <w:p>
            <w:pPr>
              <w:ind w:left="120"/>
              <w:spacing w:after="0"/>
              <w:rPr>
                <w:sz w:val="20"/>
                <w:szCs w:val="20"/>
                <w:color w:val="auto"/>
              </w:rPr>
            </w:pPr>
            <w:r>
              <w:rPr>
                <w:rFonts w:ascii="Arial" w:cs="Arial" w:eastAsia="Arial" w:hAnsi="Arial"/>
                <w:sz w:val="18"/>
                <w:szCs w:val="18"/>
                <w:color w:val="auto"/>
              </w:rPr>
              <w:t>Tax benefit from exercise of stock options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Receivables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(998)</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428</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(14,782)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product revenue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(9,952)</w:t>
            </w:r>
          </w:p>
        </w:tc>
      </w:tr>
      <w:tr>
        <w:trPr>
          <w:trHeight w:val="223"/>
        </w:trPr>
        <w:tc>
          <w:tcPr>
            <w:tcW w:w="8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Payment towards business acquisitions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Purchase of intangibles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maturities of marketable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Purchase of marketable securities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(25,502)</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(26,542)</w:t>
            </w:r>
          </w:p>
        </w:tc>
      </w:tr>
      <w:tr>
        <w:trPr>
          <w:trHeight w:val="210"/>
        </w:trPr>
        <w:tc>
          <w:tcPr>
            <w:tcW w:w="8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Net proceeds from equity-based compensation programs</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489</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benefits from equity-based compensation programs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Stock registration costs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 payments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Payments for stock repurchases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(2,416)</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r>
      <w:tr>
        <w:trPr>
          <w:trHeight w:val="210"/>
        </w:trPr>
        <w:tc>
          <w:tcPr>
            <w:tcW w:w="8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(38,317)</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year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17,192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55,509</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Cash and cash equivalents at the end of the year</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7,440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17,192</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F- 6 |</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680" w:type="dxa"/>
            <w:vAlign w:val="bottom"/>
            <w:gridSpan w:val="4"/>
          </w:tcPr>
          <w:p>
            <w:pPr>
              <w:jc w:val="right"/>
              <w:ind w:right="54"/>
              <w:spacing w:after="0"/>
              <w:rPr>
                <w:sz w:val="20"/>
                <w:szCs w:val="20"/>
                <w:color w:val="auto"/>
              </w:rPr>
            </w:pPr>
            <w:r>
              <w:rPr>
                <w:rFonts w:ascii="Arial" w:cs="Arial" w:eastAsia="Arial" w:hAnsi="Arial"/>
                <w:sz w:val="16"/>
                <w:szCs w:val="16"/>
                <w:b w:val="1"/>
                <w:bCs w:val="1"/>
                <w:color w:val="auto"/>
              </w:rPr>
              <w:t>Year ended December 31,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vMerge w:val="restart"/>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paid for interest</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220"/>
              <w:spacing w:after="0"/>
              <w:rPr>
                <w:sz w:val="20"/>
                <w:szCs w:val="20"/>
                <w:color w:val="auto"/>
              </w:rPr>
            </w:pPr>
            <w:r>
              <w:rPr>
                <w:rFonts w:ascii="Arial" w:cs="Arial" w:eastAsia="Arial" w:hAnsi="Arial"/>
                <w:sz w:val="18"/>
                <w:szCs w:val="18"/>
                <w:color w:val="auto"/>
              </w:rPr>
              <w:t>Cash paid for income taxes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18,021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 in connection with acquisition of Sabine</w:t>
            </w:r>
          </w:p>
        </w:tc>
        <w:tc>
          <w:tcPr>
            <w:tcW w:w="10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F- 7 |</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Business Description:</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ClearOne, Inc., together with its subsidiaries (collectively, “ClearOne” or the “Company”), is a global company that designs, develops and sells conferencing, collaboration, streaming and digital signage solutions for audio and visual communications. The performance and simplicity of its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 This report on Form 10-K/A includes financial statements for the years ended December 31, 2014 and 2013.</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 These consolidated financial statements include the financial statements of ClearOne, Inc. and its wholly owned subsidiaries. All inter-company accounts and transactions have been eliminated in consolidation. Certain prior year amounts have been reclassified to conform to the current year presentation.</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financial statements in conformity with generally accepted accounting principles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the disclosure of contingent assets and liabilities at the date of the financial statements and the reported amounts of sales and expenses during the reporting periods. Key estimates in the accompanying consolidated financial statements include, among others, revenue recognition, allowances for doubtful accounts and product returns, provisions for obsolete inventory, valuation of long-lived assets, and deferred income tax asset valuation allowances. Actual results could differ materially from these estimates.</w:t>
      </w:r>
    </w:p>
    <w:p>
      <w:pPr>
        <w:spacing w:after="0" w:line="19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i w:val="1"/>
          <w:iCs w:val="1"/>
          <w:color w:val="auto"/>
        </w:rPr>
        <w:t xml:space="preserve">Foreign Currency Translation </w:t>
      </w:r>
      <w:r>
        <w:rPr>
          <w:rFonts w:ascii="Arial" w:cs="Arial" w:eastAsia="Arial" w:hAnsi="Arial"/>
          <w:sz w:val="16"/>
          <w:szCs w:val="16"/>
          <w:color w:val="auto"/>
        </w:rPr>
        <w:t>– We are exposed to foreign currency exchange risk through our foreign subsidiaries. Other than our Spain subsidiary, our</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subsidiaries are U.S. dollar functional, for which gains and losses arising from remeasurement are included in earnings. Our Spain subsidiary is Euro functional, for which gains and losses arising from translation are included in accumulated other comprehensive income or loss. We translate and remeasure foreign assets and liabilities at exchange rates in effect at the balance sheet dates. We translate revenue and expenses using average rates during the year.</w:t>
      </w:r>
    </w:p>
    <w:p>
      <w:pPr>
        <w:spacing w:after="0" w:line="154"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 We depend on an outsourced manufacturing strategy for our products. We outsource the manufacture of all of our products to third-party</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located in both the U.S. and Asia. If any of these manufacturers experience difficulties in obtaining sufficient supplies of components, component prices significantly exceeding the anticipated costs, an interruption in their operations, or otherwise suffer capacity constraints, we would experience a delay in production and shipping of these products which would have a negative impact on our revenues. Should there be any disruption in services due to natural disaster, economic or political difficulties, transportation restrictions, acts of terror, quarantine or other restrictions associated with infectious diseases, or other similar events, or any other reason, such disruption may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Significant Accounting Policies:</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highly-liquid investments with a maturity of three months or less, when purchased, to be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places its temporary cash investments with high-quality financial institutions. At times, such investments may be in excess of the Federal Deposit Insurance Corporation insurance limits.</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Marketable Securities - </w:t>
      </w:r>
      <w:r>
        <w:rPr>
          <w:rFonts w:ascii="Arial" w:cs="Arial" w:eastAsia="Arial" w:hAnsi="Arial"/>
          <w:sz w:val="18"/>
          <w:szCs w:val="18"/>
          <w:color w:val="auto"/>
        </w:rPr>
        <w:t>The Company has classified its marketable securities as available-for-sale securities. These securities are carried at estimated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with unrealized holding gains and losses included in accumulated other comprehensive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F- 8 |</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income/loss in shareholders' equity until realized. Gains and losses on marketable security transactions are reported on the specific-identification method.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Dividend and interest income are recognized when earned.</w:t>
      </w:r>
    </w:p>
    <w:p>
      <w:pPr>
        <w:spacing w:after="0" w:line="21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 decline in the market value of any available-for-sale security below cost that is deemed other than temporary results in a charge to earnings and establishes a new cost basis for the security. Losses are charged against “Other income” when a decline in fair value is determined to be other than temporary. We review several factors to determine whether a loss is other than temporary. These factors include, but are not limited to: (i) the extent to which the fair value is less than cost and the cause for the fair value decline, (ii) the financial condition and near term prospects of the issuer, (iii) the length of time a security is in an unrealized loss position and (iv) our ability to hold the security for a period of time sufficient to allow for any anticipated recovery in fair value. There were no other-than-temporary impairments recognized during the years ended December 31, 2014 and 2013.</w:t>
      </w:r>
    </w:p>
    <w:p>
      <w:pPr>
        <w:spacing w:after="0" w:line="17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i w:val="1"/>
          <w:iCs w:val="1"/>
          <w:color w:val="auto"/>
        </w:rPr>
        <w:t xml:space="preserve">Accounts Receivable </w:t>
      </w:r>
      <w:r>
        <w:rPr>
          <w:rFonts w:ascii="Arial" w:cs="Arial" w:eastAsia="Arial" w:hAnsi="Arial"/>
          <w:sz w:val="16"/>
          <w:szCs w:val="16"/>
          <w:color w:val="auto"/>
        </w:rPr>
        <w:t>– Accounts receivable are recorded at the invoiced amount. Generally, credit is granted to customers on a short-term basis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requiring collateral, and as such, these accounts receivable, do not bear interest, although a finance charge may be applied to such receivables that are past due. The Company extends credit to customers who it believes have the financial strength to pay. The Company has in place credit policies and procedures, an approval process for sales returns and credit memos, and processes for managing and monitoring channel inventory levels.</w:t>
      </w:r>
    </w:p>
    <w:p>
      <w:pPr>
        <w:spacing w:after="0" w:line="15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allowance for doubtful accounts is the Company’s best estimate of the amount of probable credit losses in the Company’s existing accounts receivable. Management regularly analyzes accounts receivable including current aging, historical write-off experience, customer concentrations, customer creditworthiness, and current economic trends when evaluating the adequacy of the allowance for doubtful accounts. We review customer accounts quarterly by first assessing accounts with aging over a specific duration and balance over a specific amount. We review all other balances on a pooled basis based on past collection experience. Accounts identified in our customer-level review as exceeding certain thresholds are assessed for potential allowance adjustment if we conclude the financial condition of that customer has deteriorated, adversely affecting their ability to make payments. Delinquent account balances are written off if the Company determines that the likelihood of collection is not probable. If the assumptions that are used to determine the allowance for doubtful accounts change, the Company may have to provide for a greater level of expense in future periods or reverse amounts provided in prior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allowance for doubtful accounts activity for the years ended December 31, 2014 and 2013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the year</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Allowance increase (decrease)</w:t>
            </w:r>
          </w:p>
        </w:tc>
        <w:tc>
          <w:tcPr>
            <w:tcW w:w="1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96</w:t>
            </w:r>
          </w:p>
        </w:tc>
      </w:tr>
      <w:tr>
        <w:trPr>
          <w:trHeight w:val="27"/>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 offs, net of recoveries</w:t>
            </w: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end of the year</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129</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are valued at the lower of cost or market, with cost computed on a first-in, first-out (“FIFO”) basis. In addition to the price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purchased, the cost of inventory includes the Company’s internal manufacturing costs, including warehousing, engineering, material purchasing, quality and product planning expenses and applicable overhead, not in excess of estimated realizable value. Consideration is given to obsolescence, excessive levels, deterioration, direct selling expenses, and other factors in evaluating net realizable value.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Distributor channel inventories include products that have been delivered to customers for which revenue recognition criteria have not been met.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inventory also includes advance replacement units (valued at cost) provided by the Company to end-users to service defective products under warranty.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value of advance replacement units included in the inventory was $47 and $45, as of December 31, 2014 and 2013, respectively.</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 Property and equipment are stated at cost less accumulated depreciation and amortization. Expenditures that materially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values or capacities or extend useful lives of property and equipment are capitalized. Routine maintenance, repairs, and renewal costs are expensed as incurred. Gains or losses from the sale, trade-in or retirement of property and equipment are recorded in current operations and the related book value of the property is removed from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F- 9 |</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property and equipment accounts and the related accumulated depreciation and amortization accounts. 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spacing w:after="0" w:line="147" w:lineRule="exact"/>
        <w:rPr>
          <w:sz w:val="20"/>
          <w:szCs w:val="20"/>
          <w:color w:val="auto"/>
        </w:rPr>
      </w:pPr>
    </w:p>
    <w:p>
      <w:pPr>
        <w:spacing w:after="0" w:line="287" w:lineRule="auto"/>
        <w:rPr>
          <w:rFonts w:ascii="Arial" w:cs="Arial" w:eastAsia="Arial" w:hAnsi="Arial"/>
          <w:sz w:val="16"/>
          <w:szCs w:val="16"/>
          <w:color w:val="auto"/>
        </w:rPr>
      </w:pPr>
      <w:r>
        <w:rPr>
          <w:rFonts w:ascii="Arial" w:cs="Arial" w:eastAsia="Arial" w:hAnsi="Arial"/>
          <w:sz w:val="16"/>
          <w:szCs w:val="16"/>
          <w:i w:val="1"/>
          <w:iCs w:val="1"/>
          <w:color w:val="auto"/>
        </w:rPr>
        <w:t xml:space="preserve">Goodwill and Intangible Assets – </w:t>
      </w:r>
      <w:r>
        <w:rPr>
          <w:rFonts w:ascii="Arial" w:cs="Arial" w:eastAsia="Arial" w:hAnsi="Arial"/>
          <w:sz w:val="16"/>
          <w:szCs w:val="16"/>
          <w:color w:val="auto"/>
        </w:rPr>
        <w:t>Intangible assets acquired in a purchase business combination are amortized over their useful lives unless these lives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determined to be indefinite. Intangible assets are carried at cost, less accumulated amortization. Amortization is computed over the estimated useful lives of the respective assets, which are generally three to ten years. Goodwill represents the excess of costs over the fair value of net assets of businesses acquired. Goodwill and intangible assets acquired in a purchase business combination and determined to have an indefinite useful life are not amortized. In accordance with the provisions of FASB ASC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the Company tests goodwill and other intangible assets with indefinite lives for impairment at least annually at the beginning of the fourth quarter, or sooner if a triggering event occurs suggesting possible impairment of the values of these assets. Impairment testing for these assets involves a two-step process. In the first step, the fair value of the reporting unit holding the assets is compared to its carrying amount. If the carrying amount of the reporting unit exceeds its fair value, the second step of the impairment test is performed to measure the amount of the impairment loss, if any. In the second step, the fair value of the reporting unit is allocated to all of its assets and liabilities, including intangible assets and liabilities not recorded on the balance sheet. The excess, if any, of the fair value of the reporting unit over the sum of the fair values allocated to identified assets and liabilities is the value of goodwill to be compared to its carrying value (See </w:t>
      </w:r>
      <w:hyperlink w:anchor="page23">
        <w:r>
          <w:rPr>
            <w:rFonts w:ascii="Arial" w:cs="Arial" w:eastAsia="Arial" w:hAnsi="Arial"/>
            <w:sz w:val="16"/>
            <w:szCs w:val="16"/>
            <w:u w:val="single" w:color="auto"/>
            <w:color w:val="0000EE"/>
          </w:rPr>
          <w:t>Note 3 – Business Combinations, Goodwill and Intangibles</w:t>
        </w:r>
      </w:hyperlink>
      <w:r>
        <w:rPr>
          <w:rFonts w:ascii="Arial" w:cs="Arial" w:eastAsia="Arial" w:hAnsi="Arial"/>
          <w:sz w:val="16"/>
          <w:szCs w:val="16"/>
          <w:color w:val="auto"/>
        </w:rPr>
        <w:t>). ClearOne and all of its subsidiaries are considered as one reporting unit for this purpose.</w:t>
      </w:r>
    </w:p>
    <w:p>
      <w:pPr>
        <w:spacing w:after="0" w:line="16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Impairment of Long-Lived Assets – </w:t>
      </w:r>
      <w:r>
        <w:rPr>
          <w:rFonts w:ascii="Arial" w:cs="Arial" w:eastAsia="Arial" w:hAnsi="Arial"/>
          <w:sz w:val="16"/>
          <w:szCs w:val="16"/>
          <w:color w:val="auto"/>
        </w:rPr>
        <w:t>Long-lived assets, such as property, equipment, and definite-lived intangibles subject to depreciation and amortization, are</w:t>
      </w:r>
      <w:r>
        <w:rPr>
          <w:rFonts w:ascii="Arial" w:cs="Arial" w:eastAsia="Arial" w:hAnsi="Arial"/>
          <w:sz w:val="16"/>
          <w:szCs w:val="16"/>
          <w:i w:val="1"/>
          <w:iCs w:val="1"/>
          <w:color w:val="auto"/>
        </w:rPr>
        <w:t xml:space="preserve"> </w:t>
      </w:r>
      <w:r>
        <w:rPr>
          <w:rFonts w:ascii="Arial" w:cs="Arial" w:eastAsia="Arial" w:hAnsi="Arial"/>
          <w:sz w:val="16"/>
          <w:szCs w:val="16"/>
          <w:color w:val="auto"/>
        </w:rPr>
        <w:t>reviewed for impairment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Product revenue is recognized when (i) the products are shipped, (ii) persuasive evidence of an arrangement exists, (iii) the price is</w:t>
      </w:r>
      <w:r>
        <w:rPr>
          <w:rFonts w:ascii="Arial" w:cs="Arial" w:eastAsia="Arial" w:hAnsi="Arial"/>
          <w:sz w:val="18"/>
          <w:szCs w:val="18"/>
          <w:i w:val="1"/>
          <w:iCs w:val="1"/>
          <w:color w:val="auto"/>
        </w:rPr>
        <w:t xml:space="preserve"> </w:t>
      </w:r>
      <w:r>
        <w:rPr>
          <w:rFonts w:ascii="Arial" w:cs="Arial" w:eastAsia="Arial" w:hAnsi="Arial"/>
          <w:sz w:val="18"/>
          <w:szCs w:val="18"/>
          <w:color w:val="auto"/>
        </w:rPr>
        <w:t>fixed and determinable, and (iv) collection is reasonably assured.</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provides a right of return on product sales to certain distributors and other resellers under a product rotation program. Under this seldom-used program, once a quarter, a distributor or reseller is allowed to return products purchased during the prior 180 days for a total value generally not exceeding 15% of the distributor's or reseller’s net purchases during the preceding quarter. The distributor or reseller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fulfilled, the revenue, associated cost of goods sold, inventory and accounts receivable are recorded and the product revenue is subject to the deferral analysis described below. In a small number of cases, the distributors are also permitted to return products for other business reasons.</w:t>
      </w:r>
    </w:p>
    <w:p>
      <w:pPr>
        <w:spacing w:after="0" w:line="17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Revenue from product sales to distributors is not recognized until the return privilege has expired or until it can be determined with reasonable certainty that the return privilege has expired, which approximates when product is sold-through to customers of the Company’s distributors (dealers, system integrators, value-added resellers, and end-users) rather than when the product is initially shipped to a distributor. At each quarter-end, the Company evaluates the inventory in the channel through information provided by our distributors. The level of inventory in the channel will fluctuate up-ward or down-ward each quarter, based upon its distributors’ individual operations. Accordingly, at each quarter-end, the deferral for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the Company receives payment for the product sales made to such distributors or channel partners.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deferred cost of goods sold is included in distributor channel inventories.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F- 10 |</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deferred revenue and associated cost of goods sold and gross profit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8"/>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5,004</w:t>
            </w:r>
          </w:p>
        </w:tc>
        <w:tc>
          <w:tcPr>
            <w:tcW w:w="120" w:type="dxa"/>
            <w:vAlign w:val="bottom"/>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4,158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cost of goods sold</w:t>
            </w:r>
          </w:p>
        </w:tc>
        <w:tc>
          <w:tcPr>
            <w:tcW w:w="1180" w:type="dxa"/>
            <w:vAlign w:val="bottom"/>
          </w:tcPr>
          <w:p>
            <w:pPr>
              <w:spacing w:after="0"/>
              <w:rPr>
                <w:sz w:val="21"/>
                <w:szCs w:val="21"/>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1,520</w:t>
            </w:r>
          </w:p>
        </w:tc>
      </w:tr>
      <w:tr>
        <w:trPr>
          <w:trHeight w:val="27"/>
        </w:trPr>
        <w:tc>
          <w:tcPr>
            <w:tcW w:w="7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gross profit</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3,306</w:t>
            </w:r>
          </w:p>
        </w:tc>
        <w:tc>
          <w:tcPr>
            <w:tcW w:w="78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2,638</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offers rebates and market development funds to certain of its distributors, dealers/resellers, and end-users based upon the volume of product purchased by them. The Company records rebates as a reduction of revenue in accordance with GAAP.</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provides, at its discretion, advance replacement units to end-users on defective units of certain products under warranty. Since the purpose of these units is not revenue generating, the Company tracks the units due from the end-user, valued at retail price, until the defective unit has been returned, but no receivable balance is maintained on the Company’s balance sheet.</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Sales and Similar Taxes - </w:t>
      </w:r>
      <w:r>
        <w:rPr>
          <w:rFonts w:ascii="Arial" w:cs="Arial" w:eastAsia="Arial" w:hAnsi="Arial"/>
          <w:sz w:val="18"/>
          <w:szCs w:val="18"/>
          <w:color w:val="auto"/>
        </w:rPr>
        <w:t>Taxes collected from customers and remitted to government authorities are reported on a net basis and thus are excluded from</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Shipping and Handling Costs – </w:t>
      </w:r>
      <w:r>
        <w:rPr>
          <w:rFonts w:ascii="Arial" w:cs="Arial" w:eastAsia="Arial" w:hAnsi="Arial"/>
          <w:sz w:val="18"/>
          <w:szCs w:val="18"/>
          <w:color w:val="auto"/>
        </w:rPr>
        <w:t>Shipping and handling billed to customers is recorded as revenue. Shipping and handling costs are included in cost of goods</w:t>
      </w:r>
      <w:r>
        <w:rPr>
          <w:rFonts w:ascii="Arial" w:cs="Arial" w:eastAsia="Arial" w:hAnsi="Arial"/>
          <w:sz w:val="18"/>
          <w:szCs w:val="18"/>
          <w:i w:val="1"/>
          <w:iCs w:val="1"/>
          <w:color w:val="auto"/>
        </w:rPr>
        <w:t xml:space="preserve"> </w:t>
      </w:r>
      <w:r>
        <w:rPr>
          <w:rFonts w:ascii="Arial" w:cs="Arial" w:eastAsia="Arial" w:hAnsi="Arial"/>
          <w:sz w:val="18"/>
          <w:szCs w:val="18"/>
          <w:color w:val="auto"/>
        </w:rPr>
        <w:t>sold.</w:t>
      </w:r>
    </w:p>
    <w:p>
      <w:pPr>
        <w:spacing w:after="0" w:line="17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 xml:space="preserve">Warranty Costs </w:t>
      </w:r>
      <w:r>
        <w:rPr>
          <w:rFonts w:ascii="Arial" w:cs="Arial" w:eastAsia="Arial" w:hAnsi="Arial"/>
          <w:sz w:val="16"/>
          <w:szCs w:val="16"/>
          <w:color w:val="auto"/>
        </w:rPr>
        <w:t>– The Company accrues for warranty costs based on estimated warranty return rates and estimated costs to repair. These reserve costs are</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classified as accrued liabilities on the consolidated balance sheets. Factors that affect the Company’s warranty liability include the number of units sold, historical and anticipated rates of warranty returns, and repair cost. The Company reviews the adequacy of its recorded warranty accrual on a quarterly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changes in the Company’s warranty accrual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beginning of year</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Accruals/additions</w:t>
            </w:r>
          </w:p>
        </w:tc>
        <w:tc>
          <w:tcPr>
            <w:tcW w:w="10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433</w:t>
            </w:r>
          </w:p>
        </w:tc>
      </w:tr>
      <w:tr>
        <w:trPr>
          <w:trHeight w:val="27"/>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Usage/claims</w:t>
            </w: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338</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 The Company expenses advertising costs as incurred. Advertising costs consist of trade shows, magazine advertisements, and other forms of</w:t>
      </w:r>
      <w:r>
        <w:rPr>
          <w:rFonts w:ascii="Arial" w:cs="Arial" w:eastAsia="Arial" w:hAnsi="Arial"/>
          <w:sz w:val="18"/>
          <w:szCs w:val="18"/>
          <w:i w:val="1"/>
          <w:iCs w:val="1"/>
          <w:color w:val="auto"/>
        </w:rPr>
        <w:t xml:space="preserve"> </w:t>
      </w:r>
      <w:r>
        <w:rPr>
          <w:rFonts w:ascii="Arial" w:cs="Arial" w:eastAsia="Arial" w:hAnsi="Arial"/>
          <w:sz w:val="18"/>
          <w:szCs w:val="18"/>
          <w:color w:val="auto"/>
        </w:rPr>
        <w:t>media. Advertising expenses for the years ended December 31, 2014 and 2013 totaled $768 and $472, respectively, and are included under the caption “Sales and Marketing”.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Product Development Costs </w:t>
      </w:r>
      <w:r>
        <w:rPr>
          <w:rFonts w:ascii="Arial" w:cs="Arial" w:eastAsia="Arial" w:hAnsi="Arial"/>
          <w:sz w:val="18"/>
          <w:szCs w:val="18"/>
          <w:color w:val="auto"/>
        </w:rPr>
        <w:t>– The Company expenses research and product development costs as incurred.</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The Company uses the asset and liability method of accounting for income taxes. Under the asset and liability method, deferred tax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are recognized for the future tax consequences attributable to temporary differences between the financial statement carrying amounts of existing assets and liabilities and their respective tax bases, and operating loss and tax credit carry-forwards. These temporary differences will result in deductible or taxable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The Company evaluates the realizability of its net deferred tax assets on a quarterly basis and valuation allowances are provided, as necessary. Adjustments to the valuation allowance increase or decrease the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F- 11 |</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Company’s income tax provision or benefit. As of December 31, 2014 and 2013, the Company had a valuation allowance of $786 and $378 against foreign net operating losses, and state research and development credits, respectively.</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The Company follows the provisions contained in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The Company recognizes the tax benefit from an uncertain tax position only if it is at least more likely than not that the tax position will be sustained on examination by the taxing authorities, based on the technical merits of the position.</w:t>
      </w:r>
    </w:p>
    <w:p>
      <w:pPr>
        <w:spacing w:after="0" w:line="18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Judgment is required in determining the provision for income taxes and related accruals, deferred tax assets and liabilities. In the ordinary course of business, there are transactions and calculations where the ultimate tax outcome is uncertain. Additionally, the Company’s tax returns are subject to audit by various tax authorities. Although the Company believes that its estimates are reasonable, actual results could differ from these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following table sets forth the computation of basic and diluted earnings per common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5,596</w:t>
            </w:r>
          </w:p>
        </w:tc>
        <w:tc>
          <w:tcPr>
            <w:tcW w:w="12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5,179</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Basic weighted average shares</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9,166,769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9,064,340</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common stock equivalents using treasury stock method</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414,557</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391,178</w:t>
            </w:r>
          </w:p>
        </w:tc>
      </w:tr>
      <w:tr>
        <w:trPr>
          <w:trHeight w:val="297"/>
        </w:trPr>
        <w:tc>
          <w:tcPr>
            <w:tcW w:w="76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Diluted weighted average shares</w:t>
            </w:r>
          </w:p>
        </w:tc>
        <w:tc>
          <w:tcPr>
            <w:tcW w:w="44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9,581,326</w:t>
            </w:r>
          </w:p>
        </w:tc>
        <w:tc>
          <w:tcPr>
            <w:tcW w:w="12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9,455,518</w:t>
            </w:r>
          </w:p>
        </w:tc>
      </w:tr>
      <w:tr>
        <w:trPr>
          <w:trHeight w:val="311"/>
        </w:trPr>
        <w:tc>
          <w:tcPr>
            <w:tcW w:w="7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0.61</w:t>
            </w:r>
          </w:p>
        </w:tc>
        <w:tc>
          <w:tcPr>
            <w:tcW w:w="12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0.57</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0.55</w:t>
            </w:r>
          </w:p>
        </w:tc>
      </w:tr>
      <w:tr>
        <w:trPr>
          <w:trHeight w:val="324"/>
        </w:trPr>
        <w:tc>
          <w:tcPr>
            <w:tcW w:w="7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options outstanding</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975,696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1,128,045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Anti-dilutive options not included in the computation</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209,751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149,773</w:t>
            </w:r>
          </w:p>
        </w:tc>
      </w:tr>
    </w:tbl>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Share-Based Payment </w:t>
      </w:r>
      <w:r>
        <w:rPr>
          <w:rFonts w:ascii="Arial" w:cs="Arial" w:eastAsia="Arial" w:hAnsi="Arial"/>
          <w:sz w:val="18"/>
          <w:szCs w:val="18"/>
          <w:color w:val="auto"/>
        </w:rPr>
        <w:t>– We estimate the fair value of stock options using the Black-Scholes option pricing model, which requires certain estimates,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Recent Accounting Pronouncements - </w:t>
      </w:r>
      <w:r>
        <w:rPr>
          <w:rFonts w:ascii="Arial" w:cs="Arial" w:eastAsia="Arial" w:hAnsi="Arial"/>
          <w:sz w:val="18"/>
          <w:szCs w:val="18"/>
          <w:color w:val="auto"/>
        </w:rPr>
        <w:t>In May 2014, the FASB issued ASU 2014-09, Revenue from Contracts with Customers (Topic 606), requiring an entity</w:t>
      </w:r>
      <w:r>
        <w:rPr>
          <w:rFonts w:ascii="Arial" w:cs="Arial" w:eastAsia="Arial" w:hAnsi="Arial"/>
          <w:sz w:val="18"/>
          <w:szCs w:val="18"/>
          <w:i w:val="1"/>
          <w:iCs w:val="1"/>
          <w:color w:val="auto"/>
        </w:rPr>
        <w:t xml:space="preserve"> </w:t>
      </w:r>
      <w:r>
        <w:rPr>
          <w:rFonts w:ascii="Arial" w:cs="Arial" w:eastAsia="Arial" w:hAnsi="Arial"/>
          <w:sz w:val="18"/>
          <w:szCs w:val="18"/>
          <w:color w:val="auto"/>
        </w:rPr>
        <w:t>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Early adoption is not permitted. The updated standard becomes effective for the Company on January 1, 2017. The Company has not yet selected a transition method and is currently evaluating the effect that the updated standard will have on the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Marketable Securities</w:t>
      </w:r>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has classified its marketable securities as available-for-sale securities. These securities are carried at estimated fair value with unrealized holding gains and losses included in accumulated other comprehensive income/loss in shareholders'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F- 12 |</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2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equity until realized. Gains and losses on marketable security transactions are reported on the specific-identification method. Dividend and interest income are recognized when earned.</w:t>
      </w:r>
    </w:p>
    <w:p>
      <w:pPr>
        <w:spacing w:after="0" w:line="116"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security at December 31, 2014 and 2013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Amortized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cost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6"/>
                <w:szCs w:val="16"/>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77"/>
              </w:rPr>
              <w:t>losses</w:t>
            </w: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rPr>
              <w:t>Available-for-sale securities: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Corporate bonds and notes</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w w:val="9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tcPr>
          <w:p>
            <w:pPr>
              <w:ind w:left="940"/>
              <w:spacing w:after="0"/>
              <w:rPr>
                <w:sz w:val="20"/>
                <w:szCs w:val="20"/>
                <w:color w:val="auto"/>
              </w:rPr>
            </w:pPr>
            <w:r>
              <w:rPr>
                <w:rFonts w:ascii="Arial" w:cs="Arial" w:eastAsia="Arial" w:hAnsi="Arial"/>
                <w:sz w:val="18"/>
                <w:szCs w:val="18"/>
                <w:color w:val="auto"/>
              </w:rPr>
              <w:t>Municipal bonds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6,292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ind w:left="88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rPr>
              <w:t>Total available-for-sale securities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26,096</w:t>
            </w:r>
          </w:p>
        </w:tc>
        <w:tc>
          <w:tcPr>
            <w:tcW w:w="100" w:type="dxa"/>
            <w:vAlign w:val="bottom"/>
          </w:tcPr>
          <w:p>
            <w:pPr>
              <w:spacing w:after="0"/>
              <w:rPr>
                <w:sz w:val="22"/>
                <w:szCs w:val="22"/>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780"/>
              <w:spacing w:after="0"/>
              <w:rPr>
                <w:sz w:val="20"/>
                <w:szCs w:val="20"/>
                <w:color w:val="auto"/>
              </w:rPr>
            </w:pPr>
            <w:r>
              <w:rPr>
                <w:rFonts w:ascii="Arial" w:cs="Arial" w:eastAsia="Arial" w:hAnsi="Arial"/>
                <w:sz w:val="18"/>
                <w:szCs w:val="18"/>
                <w:color w:val="auto"/>
                <w:w w:val="99"/>
              </w:rPr>
              <w:t>(57)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26,156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24"/>
                <w:szCs w:val="2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holding</w:t>
            </w:r>
          </w:p>
        </w:tc>
        <w:tc>
          <w:tcPr>
            <w:tcW w:w="240" w:type="dxa"/>
            <w:vAlign w:val="bottom"/>
          </w:tcPr>
          <w:p>
            <w:pPr>
              <w:spacing w:after="0"/>
              <w:rPr>
                <w:sz w:val="12"/>
                <w:szCs w:val="12"/>
                <w:color w:val="auto"/>
              </w:rPr>
            </w:pPr>
          </w:p>
        </w:tc>
        <w:tc>
          <w:tcPr>
            <w:tcW w:w="12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6"/>
                <w:szCs w:val="16"/>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77"/>
              </w:rPr>
              <w:t>losses</w:t>
            </w: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2013</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rPr>
              <w:t>Available-for-sale securities: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Corporate bonds and notes</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18,832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18,857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tcPr>
          <w:p>
            <w:pPr>
              <w:ind w:left="920"/>
              <w:spacing w:after="0"/>
              <w:rPr>
                <w:sz w:val="20"/>
                <w:szCs w:val="20"/>
                <w:color w:val="auto"/>
              </w:rPr>
            </w:pPr>
            <w:r>
              <w:rPr>
                <w:rFonts w:ascii="Arial" w:cs="Arial" w:eastAsia="Arial" w:hAnsi="Arial"/>
                <w:sz w:val="18"/>
                <w:szCs w:val="18"/>
                <w:color w:val="auto"/>
              </w:rPr>
              <w:t>Municipal bonds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6,658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ind w:left="780"/>
              <w:spacing w:after="0"/>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6,669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520" w:type="dxa"/>
            <w:vAlign w:val="bottom"/>
            <w:shd w:val="clear" w:color="auto" w:fill="CCEEFF"/>
          </w:tcPr>
          <w:p>
            <w:pPr>
              <w:spacing w:after="0"/>
              <w:rPr>
                <w:sz w:val="23"/>
                <w:szCs w:val="23"/>
                <w:color w:val="auto"/>
              </w:rPr>
            </w:pPr>
          </w:p>
        </w:tc>
        <w:tc>
          <w:tcPr>
            <w:tcW w:w="280" w:type="dxa"/>
            <w:vAlign w:val="bottom"/>
            <w:tcBorders>
              <w:bottom w:val="single" w:sz="8" w:color="auto"/>
            </w:tcBorders>
            <w:gridSpan w:val="2"/>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tcBorders>
              <w:bottom w:val="single" w:sz="8" w:color="auto"/>
            </w:tcBorders>
            <w:gridSpan w:val="2"/>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rPr>
              <w:t>Total available-for-sale securities</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25,490</w:t>
            </w:r>
          </w:p>
        </w:tc>
        <w:tc>
          <w:tcPr>
            <w:tcW w:w="100" w:type="dxa"/>
            <w:vAlign w:val="bottom"/>
          </w:tcPr>
          <w:p>
            <w:pPr>
              <w:spacing w:after="0"/>
              <w:rPr>
                <w:sz w:val="22"/>
                <w:szCs w:val="22"/>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76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25,526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December 31,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Amortized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tcPr>
          <w:p>
            <w:pPr>
              <w:jc w:val="right"/>
              <w:ind w:right="576"/>
              <w:spacing w:after="0"/>
              <w:rPr>
                <w:sz w:val="20"/>
                <w:szCs w:val="20"/>
                <w:color w:val="auto"/>
              </w:rPr>
            </w:pPr>
            <w:r>
              <w:rPr>
                <w:rFonts w:ascii="Arial" w:cs="Arial" w:eastAsia="Arial" w:hAnsi="Arial"/>
                <w:sz w:val="14"/>
                <w:szCs w:val="14"/>
                <w:b w:val="1"/>
                <w:bCs w:val="1"/>
                <w:color w:val="auto"/>
              </w:rPr>
              <w:t>Estimated</w:t>
            </w:r>
          </w:p>
        </w:tc>
      </w:tr>
      <w:tr>
        <w:trPr>
          <w:trHeight w:val="192"/>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cost</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fair value</w:t>
            </w:r>
          </w:p>
        </w:tc>
      </w:tr>
      <w:tr>
        <w:trPr>
          <w:trHeight w:val="216"/>
        </w:trPr>
        <w:tc>
          <w:tcPr>
            <w:tcW w:w="7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Due within one year</w:t>
            </w:r>
          </w:p>
        </w:tc>
        <w:tc>
          <w:tcPr>
            <w:tcW w:w="1320" w:type="dxa"/>
            <w:vAlign w:val="bottom"/>
          </w:tcPr>
          <w:p>
            <w:pPr>
              <w:jc w:val="right"/>
              <w:ind w:right="111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6,998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6,994</w:t>
            </w:r>
          </w:p>
        </w:tc>
      </w:tr>
      <w:tr>
        <w:trPr>
          <w:trHeight w:val="27"/>
        </w:trPr>
        <w:tc>
          <w:tcPr>
            <w:tcW w:w="7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Due after one year through five years</w:t>
            </w:r>
          </w:p>
        </w:tc>
        <w:tc>
          <w:tcPr>
            <w:tcW w:w="1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18,733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18,796</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Due after five years through ten years</w:t>
            </w:r>
          </w:p>
        </w:tc>
        <w:tc>
          <w:tcPr>
            <w:tcW w:w="13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366</w:t>
            </w:r>
          </w:p>
        </w:tc>
      </w:tr>
      <w:tr>
        <w:trPr>
          <w:trHeight w:val="27"/>
        </w:trPr>
        <w:tc>
          <w:tcPr>
            <w:tcW w:w="7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74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8"/>
                <w:szCs w:val="18"/>
                <w:color w:val="auto"/>
              </w:rPr>
              <w:t>Total available-for-sale securities</w:t>
            </w:r>
          </w:p>
        </w:tc>
        <w:tc>
          <w:tcPr>
            <w:tcW w:w="1320" w:type="dxa"/>
            <w:vAlign w:val="bottom"/>
            <w:tcBorders>
              <w:bottom w:val="single" w:sz="8" w:color="auto"/>
            </w:tcBorders>
          </w:tcPr>
          <w:p>
            <w:pPr>
              <w:jc w:val="right"/>
              <w:ind w:right="11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26,096</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26,156</w:t>
            </w:r>
          </w:p>
        </w:tc>
      </w:tr>
      <w:tr>
        <w:trPr>
          <w:trHeight w:val="20"/>
        </w:trPr>
        <w:tc>
          <w:tcPr>
            <w:tcW w:w="7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Debt securities in an unrealized loss position as of December 31, 2014 were not deemed impaired at acquisition and subsequent declines in fair value are not deemed attributed to declines in credit quality. Management believes that it is more likely than not that the securities will receive a full recovery of par value. The available-for-sale marketable securities in a gross unrealized loss position as of December 31, 2014 are summarized as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F- 13 |</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ind w:left="340"/>
              <w:spacing w:after="0"/>
              <w:rPr>
                <w:sz w:val="20"/>
                <w:szCs w:val="20"/>
                <w:color w:val="auto"/>
              </w:rPr>
            </w:pPr>
            <w:r>
              <w:rPr>
                <w:rFonts w:ascii="Arial" w:cs="Arial" w:eastAsia="Arial" w:hAnsi="Arial"/>
                <w:sz w:val="16"/>
                <w:szCs w:val="16"/>
                <w:b w:val="1"/>
                <w:bCs w:val="1"/>
                <w:color w:val="auto"/>
              </w:rPr>
              <w:t>Less than 12 months</w:t>
            </w:r>
          </w:p>
        </w:tc>
        <w:tc>
          <w:tcPr>
            <w:tcW w:w="180" w:type="dxa"/>
            <w:vAlign w:val="bottom"/>
          </w:tcPr>
          <w:p>
            <w:pPr>
              <w:spacing w:after="0"/>
              <w:rPr>
                <w:sz w:val="18"/>
                <w:szCs w:val="18"/>
                <w:color w:val="auto"/>
              </w:rPr>
            </w:pPr>
          </w:p>
        </w:tc>
        <w:tc>
          <w:tcPr>
            <w:tcW w:w="2300" w:type="dxa"/>
            <w:vAlign w:val="bottom"/>
            <w:gridSpan w:val="5"/>
          </w:tcPr>
          <w:p>
            <w:pPr>
              <w:ind w:left="280"/>
              <w:spacing w:after="0"/>
              <w:rPr>
                <w:sz w:val="20"/>
                <w:szCs w:val="20"/>
                <w:color w:val="auto"/>
              </w:rPr>
            </w:pPr>
            <w:r>
              <w:rPr>
                <w:rFonts w:ascii="Arial" w:cs="Arial" w:eastAsia="Arial" w:hAnsi="Arial"/>
                <w:sz w:val="16"/>
                <w:szCs w:val="16"/>
                <w:b w:val="1"/>
                <w:bCs w:val="1"/>
                <w:color w:val="auto"/>
              </w:rPr>
              <w:t>More than 12 months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03"/>
              <w:spacing w:after="0" w:line="147"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8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84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2"/>
              </w:rPr>
              <w:t>unrealized</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holding</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holding</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0"/>
              </w:rPr>
              <w:t>holding</w:t>
            </w:r>
          </w:p>
        </w:tc>
        <w:tc>
          <w:tcPr>
            <w:tcW w:w="0" w:type="dxa"/>
            <w:vAlign w:val="bottom"/>
          </w:tcPr>
          <w:p>
            <w:pPr>
              <w:spacing w:after="0"/>
              <w:rPr>
                <w:sz w:val="1"/>
                <w:szCs w:val="1"/>
                <w:color w:val="auto"/>
              </w:rPr>
            </w:pPr>
          </w:p>
        </w:tc>
      </w:tr>
      <w:tr>
        <w:trPr>
          <w:trHeight w:val="192"/>
        </w:trPr>
        <w:tc>
          <w:tcPr>
            <w:tcW w:w="4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losses</w:t>
            </w: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80" w:type="dxa"/>
            <w:vAlign w:val="bottom"/>
          </w:tcPr>
          <w:p>
            <w:pPr>
              <w:spacing w:after="0"/>
              <w:rPr>
                <w:sz w:val="16"/>
                <w:szCs w:val="16"/>
                <w:color w:val="auto"/>
              </w:rPr>
            </w:pPr>
          </w:p>
        </w:tc>
        <w:tc>
          <w:tcPr>
            <w:tcW w:w="840" w:type="dxa"/>
            <w:vAlign w:val="bottom"/>
          </w:tcPr>
          <w:p>
            <w:pPr>
              <w:jc w:val="right"/>
              <w:ind w:right="8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23"/>
              <w:spacing w:after="0"/>
              <w:rPr>
                <w:sz w:val="20"/>
                <w:szCs w:val="20"/>
                <w:color w:val="auto"/>
              </w:rPr>
            </w:pPr>
            <w:r>
              <w:rPr>
                <w:rFonts w:ascii="Arial" w:cs="Arial" w:eastAsia="Arial" w:hAnsi="Arial"/>
                <w:sz w:val="14"/>
                <w:szCs w:val="14"/>
                <w:b w:val="1"/>
                <w:bCs w:val="1"/>
                <w:color w:val="auto"/>
                <w:w w:val="77"/>
              </w:rPr>
              <w:t>losses</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2014</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6"/>
                <w:szCs w:val="16"/>
                <w:color w:val="auto"/>
              </w:rPr>
              <w:t>Corporate bonds and notes</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0"/>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0"/>
              <w:spacing w:after="0"/>
              <w:rPr>
                <w:sz w:val="20"/>
                <w:szCs w:val="20"/>
                <w:color w:val="auto"/>
              </w:rPr>
            </w:pPr>
            <w:r>
              <w:rPr>
                <w:rFonts w:ascii="Arial" w:cs="Arial" w:eastAsia="Arial" w:hAnsi="Arial"/>
                <w:sz w:val="18"/>
                <w:szCs w:val="18"/>
                <w:color w:val="auto"/>
              </w:rPr>
              <w:t>6,865</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8,466</w:t>
            </w:r>
          </w:p>
        </w:tc>
        <w:tc>
          <w:tcPr>
            <w:tcW w:w="4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Municipal bonds</w:t>
            </w:r>
          </w:p>
        </w:tc>
        <w:tc>
          <w:tcPr>
            <w:tcW w:w="20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gridSpan w:val="2"/>
            <w:shd w:val="clear" w:color="auto" w:fill="BFE4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40"/>
              <w:spacing w:after="0"/>
              <w:rPr>
                <w:sz w:val="20"/>
                <w:szCs w:val="20"/>
                <w:color w:val="auto"/>
              </w:rPr>
            </w:pPr>
            <w:r>
              <w:rPr>
                <w:rFonts w:ascii="Arial" w:cs="Arial" w:eastAsia="Arial" w:hAnsi="Arial"/>
                <w:sz w:val="16"/>
                <w:szCs w:val="16"/>
                <w:color w:val="auto"/>
              </w:rPr>
              <w:t>1,168</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1,168</w:t>
            </w:r>
          </w:p>
        </w:tc>
        <w:tc>
          <w:tcPr>
            <w:tcW w:w="1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1,601</w:t>
            </w:r>
          </w:p>
        </w:tc>
        <w:tc>
          <w:tcPr>
            <w:tcW w:w="1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8,033</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9,634</w:t>
            </w:r>
          </w:p>
        </w:tc>
        <w:tc>
          <w:tcPr>
            <w:tcW w:w="420" w:type="dxa"/>
            <w:vAlign w:val="bottom"/>
            <w:gridSpan w:val="3"/>
          </w:tcPr>
          <w:p>
            <w:pPr>
              <w:ind w:left="2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 Goodwill and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Acquisition of Sabine</w:t>
      </w:r>
    </w:p>
    <w:p>
      <w:pPr>
        <w:spacing w:after="0" w:line="9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March 7, 2014, the Company completed the acquisition of Sabine, Inc. ("Sabine") through a stock purchase agreement ("SPA"). Sabine manufactures, designs and sells Sacom professional wireless microphone systems for live and installed audio. It also makes FBX Feedback Exterminator for reliable automatic feedback control. With the addition of Sabine, ClearOne will have reliable and exclusive access to the wireless microphones that are a critical component of ClearOne’s complete microphone portfolio.</w:t>
      </w:r>
    </w:p>
    <w:p>
      <w:pPr>
        <w:spacing w:after="0" w:line="187"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Pursuant to the SPA, the Company (i) paid initial consideration of $8,141 in cash, (ii) accrued for possible additional earn-out payments over the next two years, estimated to be $657, and (iii) issued 150,000 shares of restricted common stock of the Company, valued at $1,679 (determined on the basis of the closing market price of the Company's stock on the acquisition date). The purchase price was paid out of cash on hand. The SPA contains representations, warranties and indemnifications customary for a transaction of this type.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consideration paid for the acquisition: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b w:val="1"/>
                <w:bCs w:val="1"/>
                <w:color w:val="auto"/>
              </w:rPr>
              <w:t>Consideration</w:t>
            </w:r>
          </w:p>
        </w:tc>
      </w:tr>
      <w:tr>
        <w:trPr>
          <w:trHeight w:val="27"/>
        </w:trPr>
        <w:tc>
          <w:tcPr>
            <w:tcW w:w="9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8,141</w:t>
            </w:r>
          </w:p>
        </w:tc>
      </w:tr>
      <w:tr>
        <w:trPr>
          <w:trHeight w:val="261"/>
        </w:trPr>
        <w:tc>
          <w:tcPr>
            <w:tcW w:w="9360" w:type="dxa"/>
            <w:vAlign w:val="bottom"/>
          </w:tcPr>
          <w:p>
            <w:pPr>
              <w:ind w:left="40"/>
              <w:spacing w:after="0"/>
              <w:rPr>
                <w:sz w:val="20"/>
                <w:szCs w:val="20"/>
                <w:color w:val="auto"/>
              </w:rPr>
            </w:pPr>
            <w:r>
              <w:rPr>
                <w:rFonts w:ascii="Arial" w:cs="Arial" w:eastAsia="Arial" w:hAnsi="Arial"/>
                <w:sz w:val="20"/>
                <w:szCs w:val="20"/>
                <w:color w:val="auto"/>
              </w:rPr>
              <w:t>Common stock</w:t>
            </w:r>
          </w:p>
        </w:tc>
        <w:tc>
          <w:tcPr>
            <w:tcW w:w="30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1,679</w:t>
            </w:r>
          </w:p>
        </w:tc>
      </w:tr>
      <w:tr>
        <w:trPr>
          <w:trHeight w:val="23"/>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Contingent consideration</w:t>
            </w:r>
          </w:p>
        </w:tc>
        <w:tc>
          <w:tcPr>
            <w:tcW w:w="3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r>
      <w:tr>
        <w:trPr>
          <w:trHeight w:val="259"/>
        </w:trPr>
        <w:tc>
          <w:tcPr>
            <w:tcW w:w="9360" w:type="dxa"/>
            <w:vAlign w:val="bottom"/>
          </w:tcPr>
          <w:p>
            <w:pPr>
              <w:ind w:left="40"/>
              <w:spacing w:after="0"/>
              <w:rPr>
                <w:sz w:val="20"/>
                <w:szCs w:val="20"/>
                <w:color w:val="auto"/>
              </w:rPr>
            </w:pPr>
            <w:r>
              <w:rPr>
                <w:rFonts w:ascii="Arial" w:cs="Arial" w:eastAsia="Arial" w:hAnsi="Arial"/>
                <w:sz w:val="20"/>
                <w:szCs w:val="20"/>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10,477</w:t>
            </w:r>
          </w:p>
        </w:tc>
      </w:tr>
      <w:tr>
        <w:trPr>
          <w:trHeight w:val="20"/>
        </w:trPr>
        <w:tc>
          <w:tcPr>
            <w:tcW w:w="9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F- 14 |</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fair values of Sabine assets acquired and liabilities assumed are based on the information that was available during the measurement period of twelve months from the date of acquisition. The fair value of identified assets and liabilities acquired and goodwill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9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Prepaid and other</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292</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5,510</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Stock registration costs</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9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10,477</w:t>
            </w:r>
          </w:p>
        </w:tc>
      </w:tr>
      <w:tr>
        <w:trPr>
          <w:trHeight w:val="20"/>
        </w:trPr>
        <w:tc>
          <w:tcPr>
            <w:tcW w:w="9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auto"/>
        </w:rPr>
        <w:t>The goodwill of $5,510 related to the acquisition of of Sabine is composed of expected synergies in utilizing Sabine technology in ClearOne product offerings, reduction in future combined research and development expenses, and intangible assets including acquired workforce that do not qualify for separate recognition. The goodwill balance of $5,510 related to the acquisition of Sabine is expected to be deductible for tax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Pro Forma Information:</w:t>
      </w:r>
    </w:p>
    <w:p>
      <w:pPr>
        <w:spacing w:after="0" w:line="225"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and net income from the Sabine business from March 8, 2014 to December 31, 2014 was $3,841 and $619 respectively.</w:t>
      </w:r>
    </w:p>
    <w:p>
      <w:pPr>
        <w:spacing w:after="0" w:line="23" w:lineRule="exact"/>
        <w:rPr>
          <w:rFonts w:ascii="Arial" w:cs="Arial" w:eastAsia="Arial" w:hAnsi="Arial"/>
          <w:sz w:val="18"/>
          <w:szCs w:val="18"/>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and earnings of the combined entity as though the business combination occurred as of January 1, 2013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91440</wp:posOffset>
            </wp:positionV>
            <wp:extent cx="26416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Arial" w:cs="Arial" w:eastAsia="Arial" w:hAnsi="Arial"/>
                <w:sz w:val="16"/>
                <w:szCs w:val="16"/>
                <w:b w:val="1"/>
                <w:bCs w:val="1"/>
                <w:color w:val="auto"/>
              </w:rPr>
              <w:t>2014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jc w:val="right"/>
              <w:ind w:right="772"/>
              <w:spacing w:after="0"/>
              <w:rPr>
                <w:sz w:val="20"/>
                <w:szCs w:val="20"/>
                <w:color w:val="auto"/>
              </w:rPr>
            </w:pPr>
            <w:r>
              <w:rPr>
                <w:rFonts w:ascii="Arial" w:cs="Arial" w:eastAsia="Arial" w:hAnsi="Arial"/>
                <w:sz w:val="16"/>
                <w:szCs w:val="16"/>
                <w:b w:val="1"/>
                <w:bCs w:val="1"/>
                <w:color w:val="auto"/>
              </w:rPr>
              <w:t>2013</w:t>
            </w:r>
          </w:p>
        </w:tc>
      </w:tr>
      <w:tr>
        <w:trPr>
          <w:trHeight w:val="33"/>
        </w:trPr>
        <w:tc>
          <w:tcPr>
            <w:tcW w:w="65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Revenue</w:t>
            </w:r>
          </w:p>
        </w:tc>
        <w:tc>
          <w:tcPr>
            <w:tcW w:w="1300" w:type="dxa"/>
            <w:vAlign w:val="bottom"/>
          </w:tcPr>
          <w:p>
            <w:pPr>
              <w:jc w:val="right"/>
              <w:ind w:right="109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58,178</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53,003</w:t>
            </w:r>
          </w:p>
        </w:tc>
      </w:tr>
      <w:tr>
        <w:trPr>
          <w:trHeight w:val="27"/>
        </w:trPr>
        <w:tc>
          <w:tcPr>
            <w:tcW w:w="6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5,020</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1300" w:type="dxa"/>
            <w:vAlign w:val="bottom"/>
          </w:tcPr>
          <w:p>
            <w:pPr>
              <w:jc w:val="right"/>
              <w:ind w:right="109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0.55</w:t>
            </w:r>
          </w:p>
        </w:tc>
      </w:tr>
      <w:tr>
        <w:trPr>
          <w:trHeight w:val="27"/>
        </w:trPr>
        <w:tc>
          <w:tcPr>
            <w:tcW w:w="6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300" w:type="dxa"/>
            <w:vAlign w:val="bottom"/>
            <w:shd w:val="clear" w:color="auto" w:fill="CCEEFF"/>
          </w:tcPr>
          <w:p>
            <w:pPr>
              <w:jc w:val="right"/>
              <w:ind w:right="1092"/>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0.53</w:t>
            </w:r>
          </w:p>
        </w:tc>
      </w:tr>
      <w:tr>
        <w:trPr>
          <w:trHeight w:val="27"/>
        </w:trPr>
        <w:tc>
          <w:tcPr>
            <w:tcW w:w="65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3) There were no material, nonrecurring pro forma adjustments directly attributable to the acquisition included in this Supplemental Pro Forma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Spontania business of Spain-based Dialcom Networks, S.L.</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April 1, 2014 ClearOne, Inc. closed on the acquisition of the Spontania business of Spain-based Dialcom Networks, S.L. The Spontania cloud-based service empowers customers to deploy HD video conferencing, web collaboration, and more with equipment most businesses have and use every day - video-conferencing endpoints, desktops, laptops, web browsers, tablets, and smartphones. With Spontania there is no hardware investment and the service operates off of a reservation-less model, enabling on-demand video communications from virtually anywhere, anytime, with anyone on any device.</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aggregate purchase price under the terms of the transaction was approximately €3.66 million in cash (approximately US$5.1 million), after certain closing adjustments. ClearOne did not assume any debt or cash. The cash purchase price was paid out of cash on hand. The addition of this technology was an integral part of the company’s strategy to build an all-inclusive video collaboration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F- 15 |</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bl>
      <w:tblPr>
        <w:tblLayout w:type="fixed"/>
        <w:tblInd w:w="0" w:type="dxa"/>
        <w:tblCellMar>
          <w:top w:w="0" w:type="dxa"/>
          <w:left w:w="0" w:type="dxa"/>
          <w:bottom w:w="0" w:type="dxa"/>
          <w:right w:w="0" w:type="dxa"/>
        </w:tblCellMar>
      </w:tblPr>
      <w:tr>
        <w:trPr>
          <w:trHeight w:val="200"/>
        </w:trPr>
        <w:tc>
          <w:tcPr>
            <w:tcW w:w="1020" w:type="dxa"/>
            <w:vAlign w:val="bottom"/>
            <w:tcBorders>
              <w:top w:val="single" w:sz="8" w:color="0000EE"/>
            </w:tcBorders>
          </w:tcPr>
          <w:p>
            <w:pPr>
              <w:spacing w:after="0"/>
              <w:rPr>
                <w:sz w:val="17"/>
                <w:szCs w:val="17"/>
                <w:color w:val="auto"/>
              </w:rPr>
            </w:pPr>
          </w:p>
        </w:tc>
        <w:tc>
          <w:tcPr>
            <w:tcW w:w="8340" w:type="dxa"/>
            <w:vAlign w:val="bottom"/>
          </w:tcPr>
          <w:p>
            <w:pPr>
              <w:jc w:val="center"/>
              <w:ind w:left="979"/>
              <w:spacing w:after="0" w:line="201" w:lineRule="exact"/>
              <w:rPr>
                <w:sz w:val="20"/>
                <w:szCs w:val="20"/>
                <w:color w:val="auto"/>
              </w:rPr>
            </w:pPr>
            <w:r>
              <w:rPr>
                <w:rFonts w:ascii="Arial" w:cs="Arial" w:eastAsia="Arial" w:hAnsi="Arial"/>
                <w:sz w:val="18"/>
                <w:szCs w:val="18"/>
                <w:b w:val="1"/>
                <w:bCs w:val="1"/>
                <w:color w:val="auto"/>
              </w:rPr>
              <w:t>NOTES TO CONSOLIDATED FINANCIAL STATEMENTS</w:t>
            </w: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86"/>
        </w:trPr>
        <w:tc>
          <w:tcPr>
            <w:tcW w:w="1020" w:type="dxa"/>
            <w:vAlign w:val="bottom"/>
          </w:tcPr>
          <w:p>
            <w:pPr>
              <w:spacing w:after="0"/>
              <w:rPr>
                <w:sz w:val="16"/>
                <w:szCs w:val="16"/>
                <w:color w:val="auto"/>
              </w:rPr>
            </w:pPr>
          </w:p>
        </w:tc>
        <w:tc>
          <w:tcPr>
            <w:tcW w:w="8340" w:type="dxa"/>
            <w:vAlign w:val="bottom"/>
          </w:tcPr>
          <w:p>
            <w:pPr>
              <w:jc w:val="center"/>
              <w:ind w:left="979"/>
              <w:spacing w:after="0"/>
              <w:rPr>
                <w:sz w:val="20"/>
                <w:szCs w:val="20"/>
                <w:color w:val="auto"/>
              </w:rPr>
            </w:pPr>
            <w:r>
              <w:rPr>
                <w:rFonts w:ascii="Arial" w:cs="Arial" w:eastAsia="Arial" w:hAnsi="Arial"/>
                <w:sz w:val="14"/>
                <w:szCs w:val="14"/>
                <w:b w:val="1"/>
                <w:bCs w:val="1"/>
                <w:color w:val="auto"/>
                <w:w w:val="91"/>
              </w:rPr>
              <w:t>(Dollars in thousands, except share and per share amounts)</w:t>
            </w:r>
          </w:p>
        </w:tc>
        <w:tc>
          <w:tcPr>
            <w:tcW w:w="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620"/>
        </w:trPr>
        <w:tc>
          <w:tcPr>
            <w:tcW w:w="9360" w:type="dxa"/>
            <w:vAlign w:val="bottom"/>
            <w:gridSpan w:val="2"/>
          </w:tcPr>
          <w:p>
            <w:pPr>
              <w:spacing w:after="0"/>
              <w:rPr>
                <w:sz w:val="20"/>
                <w:szCs w:val="20"/>
                <w:color w:val="auto"/>
              </w:rPr>
            </w:pPr>
            <w:r>
              <w:rPr>
                <w:rFonts w:ascii="Arial" w:cs="Arial" w:eastAsia="Arial" w:hAnsi="Arial"/>
                <w:sz w:val="18"/>
                <w:szCs w:val="18"/>
                <w:color w:val="auto"/>
              </w:rPr>
              <w:t>The fair value of identified assets and liabilities acquired from the Spontania acquisition was as follows:</w:t>
            </w: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8"/>
        </w:trPr>
        <w:tc>
          <w:tcPr>
            <w:tcW w:w="10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10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w:t>
            </w: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10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3,741</w:t>
            </w: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102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5,052</w:t>
            </w:r>
          </w:p>
        </w:tc>
      </w:tr>
      <w:tr>
        <w:trPr>
          <w:trHeight w:val="20"/>
        </w:trPr>
        <w:tc>
          <w:tcPr>
            <w:tcW w:w="10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goodwill of $3,741 relates to the acquisition of Spontania cloud-based technology and intangible assets including acquired workforce that does not qualify for separate recognition. The goodwill of $3,741 from the Spontania acquisition is expected to be deductible for tax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Pro Forma Information:</w:t>
      </w:r>
    </w:p>
    <w:p>
      <w:pPr>
        <w:spacing w:after="0" w:line="225" w:lineRule="exact"/>
        <w:rPr>
          <w:sz w:val="20"/>
          <w:szCs w:val="20"/>
          <w:color w:val="auto"/>
        </w:rPr>
      </w:pPr>
    </w:p>
    <w:p>
      <w:pPr>
        <w:ind w:left="860" w:hanging="20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and net loss from the Spontania business from April 1, 2014 to December 31, 2014 was $753 and $1,629 respectively.</w:t>
      </w:r>
    </w:p>
    <w:p>
      <w:pPr>
        <w:spacing w:after="0" w:line="23" w:lineRule="exact"/>
        <w:rPr>
          <w:rFonts w:ascii="Arial" w:cs="Arial" w:eastAsia="Arial" w:hAnsi="Arial"/>
          <w:sz w:val="18"/>
          <w:szCs w:val="18"/>
          <w:color w:val="auto"/>
        </w:rPr>
      </w:pPr>
    </w:p>
    <w:p>
      <w:pPr>
        <w:ind w:right="180" w:firstLine="656"/>
        <w:spacing w:after="0" w:line="323" w:lineRule="auto"/>
        <w:tabs>
          <w:tab w:leader="none" w:pos="84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Revenue and earnings of the combined entity as though the business combination occurred as of January 1, 2013 is not available. The Spontania business was part of a business unit of Dialcom Networks, S.L., and thus separate stand-alone financial information for Spontania is not available.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Expenses</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Company incurred $588 in total acquisition related expenses for the Sabine and Spontania acquisitions, all of which are categorized under General and administrative expenses in the Consolidated Statement of Income and Comprehensive Income for the year ended December 31,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the Company's goodwill for the years ended December 31, 2014 and 2013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Balance as of January 1,</w:t>
            </w: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3,472</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Accumulated impairment losses</w:t>
            </w:r>
          </w:p>
        </w:tc>
        <w:tc>
          <w:tcPr>
            <w:tcW w:w="50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3,472</w:t>
            </w:r>
          </w:p>
        </w:tc>
      </w:tr>
      <w:tr>
        <w:trPr>
          <w:trHeight w:val="318"/>
        </w:trPr>
        <w:tc>
          <w:tcPr>
            <w:tcW w:w="72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acquired during the year</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Balance as of December 31,</w:t>
            </w: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12,724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3,472</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Accumulated impairment losses</w:t>
            </w:r>
          </w:p>
        </w:tc>
        <w:tc>
          <w:tcPr>
            <w:tcW w:w="50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12,724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F- 16 |</w:t>
      </w:r>
    </w:p>
    <w:p>
      <w:pPr>
        <w:sectPr>
          <w:pgSz w:w="11900" w:h="16838" w:orient="portrait"/>
          <w:cols w:equalWidth="0" w:num="1">
            <w:col w:w="11420"/>
          </w:cols>
          <w:pgMar w:left="240" w:top="114"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2014 and 2013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24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2013</w:t>
            </w: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Tradename</w:t>
            </w: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5 to 7 years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Patents and technological know-how</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10 years</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5,850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2,070</w:t>
            </w:r>
          </w:p>
        </w:tc>
      </w:tr>
      <w:tr>
        <w:trPr>
          <w:trHeight w:val="27"/>
        </w:trPr>
        <w:tc>
          <w:tcPr>
            <w:tcW w:w="6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software</w:t>
            </w: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15 years</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4,341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2,961</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Other</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3 to 5 years</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208</w:t>
            </w:r>
          </w:p>
        </w:tc>
      </w:tr>
      <w:tr>
        <w:trPr>
          <w:trHeight w:val="27"/>
        </w:trPr>
        <w:tc>
          <w:tcPr>
            <w:tcW w:w="62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11,070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5,674</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(3,174)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(1,964)</w:t>
            </w:r>
          </w:p>
        </w:tc>
      </w:tr>
      <w:tr>
        <w:trPr>
          <w:trHeight w:val="27"/>
        </w:trPr>
        <w:tc>
          <w:tcPr>
            <w:tcW w:w="62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intangible assets, net</w:t>
            </w: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7,896</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3,710</w:t>
            </w:r>
          </w:p>
        </w:tc>
      </w:tr>
      <w:tr>
        <w:trPr>
          <w:trHeight w:val="20"/>
        </w:trPr>
        <w:tc>
          <w:tcPr>
            <w:tcW w:w="6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2014 and 2013, amortization of these intangible assets were $1,210 and $547,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of intangible assets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8"/>
              </w:rPr>
              <w:t>Years ending December 31,</w:t>
            </w:r>
          </w:p>
        </w:tc>
        <w:tc>
          <w:tcPr>
            <w:tcW w:w="5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2015</w:t>
            </w:r>
          </w:p>
        </w:tc>
        <w:tc>
          <w:tcPr>
            <w:tcW w:w="5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43"/>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5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43"/>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5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7,896</w:t>
            </w:r>
          </w:p>
        </w:tc>
        <w:tc>
          <w:tcPr>
            <w:tcW w:w="0" w:type="dxa"/>
            <w:vAlign w:val="bottom"/>
          </w:tcPr>
          <w:p>
            <w:pPr>
              <w:spacing w:after="0"/>
              <w:rPr>
                <w:sz w:val="1"/>
                <w:szCs w:val="1"/>
                <w:color w:val="auto"/>
              </w:rPr>
            </w:pPr>
          </w:p>
        </w:tc>
      </w:tr>
      <w:tr>
        <w:trPr>
          <w:trHeight w:val="27"/>
        </w:trPr>
        <w:tc>
          <w:tcPr>
            <w:tcW w:w="7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Inventories</w:t>
            </w: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gridSpan w:val="3"/>
          </w:tcPr>
          <w:p>
            <w:pPr>
              <w:spacing w:after="0"/>
              <w:rPr>
                <w:sz w:val="20"/>
                <w:szCs w:val="20"/>
                <w:color w:val="auto"/>
              </w:rPr>
            </w:pPr>
            <w:r>
              <w:rPr>
                <w:rFonts w:ascii="Arial" w:cs="Arial" w:eastAsia="Arial" w:hAnsi="Arial"/>
                <w:sz w:val="18"/>
                <w:szCs w:val="18"/>
                <w:color w:val="auto"/>
              </w:rPr>
              <w:t>Inventories, net of reserves, consisted of the following:</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880" w:type="dxa"/>
            <w:vAlign w:val="bottom"/>
            <w:tcBorders>
              <w:bottom w:val="single" w:sz="8" w:color="CCEEFF"/>
            </w:tcBorders>
          </w:tcPr>
          <w:p>
            <w:pPr>
              <w:spacing w:after="0"/>
              <w:rPr>
                <w:sz w:val="22"/>
                <w:szCs w:val="22"/>
                <w:color w:val="auto"/>
              </w:rPr>
            </w:pPr>
          </w:p>
        </w:tc>
        <w:tc>
          <w:tcPr>
            <w:tcW w:w="57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8"/>
                <w:szCs w:val="18"/>
                <w:color w:val="auto"/>
              </w:rPr>
              <w:t>Raw materials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3,056</w:t>
            </w:r>
          </w:p>
        </w:tc>
        <w:tc>
          <w:tcPr>
            <w:tcW w:w="880" w:type="dxa"/>
            <w:vAlign w:val="bottom"/>
            <w:gridSpan w:val="3"/>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Finished goods (including distributor channel inventories)</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11,408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14,464</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12,278</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880" w:type="dxa"/>
            <w:vAlign w:val="bottom"/>
            <w:tcBorders>
              <w:bottom w:val="single" w:sz="8" w:color="CCEEFF"/>
            </w:tcBorders>
          </w:tcPr>
          <w:p>
            <w:pPr>
              <w:spacing w:after="0"/>
              <w:rPr>
                <w:sz w:val="5"/>
                <w:szCs w:val="5"/>
                <w:color w:val="auto"/>
              </w:rPr>
            </w:pPr>
          </w:p>
        </w:tc>
        <w:tc>
          <w:tcPr>
            <w:tcW w:w="574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0" w:type="dxa"/>
            <w:vAlign w:val="bottom"/>
            <w:tcBorders>
              <w:bottom w:val="single" w:sz="8" w:color="CCEEFF"/>
            </w:tcBorders>
            <w:shd w:val="clear" w:color="auto" w:fill="CCEEFF"/>
          </w:tcPr>
          <w:p>
            <w:pPr>
              <w:spacing w:after="0"/>
              <w:rPr>
                <w:sz w:val="20"/>
                <w:szCs w:val="20"/>
                <w:color w:val="auto"/>
              </w:rPr>
            </w:pPr>
          </w:p>
        </w:tc>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w:t>
            </w:r>
          </w:p>
        </w:tc>
        <w:tc>
          <w:tcPr>
            <w:tcW w:w="4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8"/>
                <w:szCs w:val="18"/>
                <w:color w:val="auto"/>
              </w:rPr>
              <w:t>Raw materials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880" w:type="dxa"/>
            <w:vAlign w:val="bottom"/>
            <w:gridSpan w:val="3"/>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spacing w:after="0" w:line="181"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Current finished goods include distributor channel inventories in the amounts of approximately $1,698 and $1,520 as of December 31, 2014 and 2013, respectively. Distributor channel inventories represent inventory at distributors and other customers where revenue recognition criteria have not been achieved.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F- 17 |</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losses incurred on valuation of inventory at the lower of cost or market value and write-off of obsolete inventory amounted to $946 and $996 during the years ended December 31,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and estimated useful lives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Estimated</w:t>
            </w: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2013</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10 years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7,234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6,676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 to 6 years</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1,429</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and test equipment</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2 to 10 years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3,023</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2,681</w:t>
            </w:r>
          </w:p>
        </w:tc>
      </w:tr>
      <w:tr>
        <w:trPr>
          <w:trHeight w:val="237"/>
        </w:trPr>
        <w:tc>
          <w:tcPr>
            <w:tcW w:w="57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11,731</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10,786</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1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(9,692)</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(8,961)</w:t>
            </w:r>
          </w:p>
        </w:tc>
      </w:tr>
      <w:tr>
        <w:trPr>
          <w:trHeight w:val="257"/>
        </w:trPr>
        <w:tc>
          <w:tcPr>
            <w:tcW w:w="572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1,825</w:t>
            </w:r>
          </w:p>
        </w:tc>
      </w:tr>
      <w:tr>
        <w:trPr>
          <w:trHeight w:val="20"/>
        </w:trPr>
        <w:tc>
          <w:tcPr>
            <w:tcW w:w="5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on property and equipment for the years ended December 31, 2014 and 2013 was $761 and $780,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 and Deferred Rent</w:t>
      </w:r>
    </w:p>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Rent expense is recognized on a straight-line basis over the period of the lease taking into account future rent escalation and holiday periods. Rent expense was $1,236 and $909, including amortization of deferred rent of $79 and $110, for the years ended December 31, 2014 and 2013, respectively.</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occupy a 31,000 square-foot facility in Salt Lake City, Utah under the terms of an operating lease expiring in May 2016 which supports our principal administrative, sales, marketing, customer support, and research and product development activities.</w:t>
      </w:r>
    </w:p>
    <w:p>
      <w:pPr>
        <w:spacing w:after="0" w:line="170"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We occupy a 46,000 square-foot manufacturing facility in Alachua, Florida under the terms of an operation lease expiring in March 2016 with an option to extend the lease by two years. The Alachua facility is used primarily to manufacture our wireless microphone products and to support this line of business.</w:t>
      </w:r>
    </w:p>
    <w:p>
      <w:pPr>
        <w:spacing w:after="0" w:line="12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We occupy a 40,000 square-foot warehouse in Salt Lake City, Utah under the terms of an operating lease expiring in December 2017, which serves as our primary inventory fulfillment and repair center. This facility also serves as our assembly workshop for digital signage products.</w:t>
      </w:r>
    </w:p>
    <w:p>
      <w:pPr>
        <w:spacing w:after="0" w:line="14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occupy a 7,070 square-foot facility in Austin, Texas under the terms of an operating lease expiring in October 2019 which serves as an additional facility to support our administrative, sales, marketing, customer support, and research and development activities. Our previous lease for a 11,100 square-foot facility in Austin, Texas under the terms of an operating lease expiring in August 2016 is still intact while we search for a sub-lease arrangement.</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occupied 5,600 square-feet of warehouse space in Hong Kong to support our partners and customers located in the Asia-Pacific region. This operating lease expired in February 2014 and has not been renewed.</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occupy a 4,700 square-foot office facility in Hod Hasharon, Israel under the terms of an operating lease expiring in December 2015 which serves to support our research and development activities. Upon expiration, we will have the option to extend the lease for two to four additional years. The prior 1,000 square-foot warehouse lease expired in August 2013 and was not renewed.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F- 18 |</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non-cancellable operating leases with initial terms of one year or more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1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2016</w:t>
            </w:r>
          </w:p>
        </w:tc>
        <w:tc>
          <w:tcPr>
            <w:tcW w:w="1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2018</w:t>
            </w:r>
          </w:p>
        </w:tc>
        <w:tc>
          <w:tcPr>
            <w:tcW w:w="1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57"/>
        </w:trPr>
        <w:tc>
          <w:tcPr>
            <w:tcW w:w="7200" w:type="dxa"/>
            <w:vAlign w:val="bottom"/>
          </w:tcPr>
          <w:p>
            <w:pPr>
              <w:ind w:left="180"/>
              <w:spacing w:after="0"/>
              <w:rPr>
                <w:sz w:val="20"/>
                <w:szCs w:val="20"/>
                <w:color w:val="auto"/>
              </w:rPr>
            </w:pPr>
            <w:r>
              <w:rPr>
                <w:rFonts w:ascii="Arial" w:cs="Arial" w:eastAsia="Arial" w:hAnsi="Arial"/>
                <w:sz w:val="18"/>
                <w:szCs w:val="18"/>
                <w:color w:val="auto"/>
              </w:rPr>
              <w:t>Total minimum lease payments</w:t>
            </w:r>
          </w:p>
        </w:tc>
        <w:tc>
          <w:tcPr>
            <w:tcW w:w="1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7. Accrued Liabilities</w:t>
            </w: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2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0" w:type="dxa"/>
            <w:vAlign w:val="bottom"/>
          </w:tcPr>
          <w:p>
            <w:pPr>
              <w:spacing w:after="0"/>
              <w:rPr>
                <w:sz w:val="20"/>
                <w:szCs w:val="20"/>
                <w:color w:val="auto"/>
              </w:rPr>
            </w:pPr>
            <w:r>
              <w:rPr>
                <w:rFonts w:ascii="Arial" w:cs="Arial" w:eastAsia="Arial" w:hAnsi="Arial"/>
                <w:sz w:val="18"/>
                <w:szCs w:val="18"/>
                <w:color w:val="auto"/>
              </w:rPr>
              <w:t>Accrued liabilities consist of the following:</w:t>
            </w: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2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As of December 31,</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and other compensation</w:t>
            </w:r>
          </w:p>
        </w:tc>
        <w:tc>
          <w:tcPr>
            <w:tcW w:w="1360" w:type="dxa"/>
            <w:vAlign w:val="bottom"/>
            <w:tcBorders>
              <w:bottom w:val="single" w:sz="8" w:color="CCEEFF"/>
            </w:tcBorders>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Dividends payable</w:t>
            </w:r>
          </w:p>
        </w:tc>
        <w:tc>
          <w:tcPr>
            <w:tcW w:w="136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 programs</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Product warranty</w:t>
            </w:r>
          </w:p>
        </w:tc>
        <w:tc>
          <w:tcPr>
            <w:tcW w:w="136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57"/>
        </w:trPr>
        <w:tc>
          <w:tcPr>
            <w:tcW w:w="7200" w:type="dxa"/>
            <w:vAlign w:val="bottom"/>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ind w:right="115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We establish contingent liabilities when a particular contingency is both probable and estimable. The Company is not aware of any pending claims or assessments, other than as described below, which may have a material adverse impact on the Company’s financial position or results of operations.</w:t>
      </w:r>
    </w:p>
    <w:p>
      <w:pPr>
        <w:spacing w:after="0" w:line="12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Outsource Manufacturers. </w:t>
      </w:r>
      <w:r>
        <w:rPr>
          <w:rFonts w:ascii="Arial" w:cs="Arial" w:eastAsia="Arial" w:hAnsi="Arial"/>
          <w:sz w:val="18"/>
          <w:szCs w:val="18"/>
          <w:color w:val="auto"/>
        </w:rPr>
        <w:t>We have manufacturing agreements with electronics manufacturing service ("EMS") providers related to the outsourced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of our products. Certain manufacturing agreements establish annual volume commitments. We are also obligated to repurchase Company-forecasted but unused materials. The Company has non-cancellable, non-returnable, and long-lead time commitments with its EMS providers and certain suppliers for inventory components that will be used in production. The Company’s purchase commitments under such agreements is approximately $3,830 as of December 31, 2014.</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Uncertain Tax Positions. </w:t>
      </w:r>
      <w:r>
        <w:rPr>
          <w:rFonts w:ascii="Arial" w:cs="Arial" w:eastAsia="Arial" w:hAnsi="Arial"/>
          <w:sz w:val="18"/>
          <w:szCs w:val="18"/>
          <w:color w:val="auto"/>
        </w:rPr>
        <w:t>As further discussed in Note 12, we had $1,678 of uncertain tax positions as of December 31, 2014. Due to the inherent uncertainty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underlying tax positions, it is not possible to forecast the payment of this liability to any particular year.</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Legal Proceedings. </w:t>
      </w:r>
      <w:r>
        <w:rPr>
          <w:rFonts w:ascii="Arial" w:cs="Arial" w:eastAsia="Arial" w:hAnsi="Arial"/>
          <w:sz w:val="18"/>
          <w:szCs w:val="18"/>
          <w:color w:val="auto"/>
        </w:rPr>
        <w:t>In addition to the legal proceedings described below, we are also involved from time to time in various claims and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arise in the normal course of our business. Such matters are subject to many uncertainties and outcomes that are not predictable. However, based on the information available to us, we do not believe any such proceedings will have a material adverse effect on our business, results of operations, financial position, or liquidity, except as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Former Officer Indemnification</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July 2007 and January 2008, the U.S. Attorney for the District of Utah indicted two of our former officers, Frances Flood (“Flood”) and Susie Strohm (“Strohm”), for allegedly causing us to issue materially misstated financial statements for our 2001 and 2002 fiscal years and for perjury in connection with the investigation by the SEC into the alleged misstatements. In December 2003, we entered into indemnification agreements with each former officer, requiring payment of all reasonable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F- 19 |</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attorneys’ fees and costs incurred in defending against the charges in certain circumstances consistent with and subject to limitations imposed by our bylaws and applicable law. In total, we paid approximately $3,630 in attorneys’ fees and costs to defend against the charges. In February 2009, Flood was convicted on nine counts and Strohm was convicted on one count. In June 2010, Flood was sentenced to four years in prison and three years of probation and Strohm was sentenced to two years of probation plus 150 hours of community service. In April 2011, the Tenth Circuit Court of Appeals in Denver affirmed Flood’s conviction, but has allowed her to assert in a collateral proceeding her claim that she received ineffective assistance of counsel. In November 2011, the Tenth Circuit affirmed Strohm’s perjury conviction as well.</w:t>
      </w:r>
    </w:p>
    <w:p>
      <w:pPr>
        <w:spacing w:after="0" w:line="174"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Flood</w:t>
      </w:r>
      <w:r>
        <w:rPr>
          <w:rFonts w:ascii="Arial" w:cs="Arial" w:eastAsia="Arial" w:hAnsi="Arial"/>
          <w:sz w:val="17"/>
          <w:szCs w:val="17"/>
          <w:color w:val="auto"/>
        </w:rPr>
        <w:t>: In August 2008, Flood filed a lawsuit in Federal District Court for the District of Utah, seeking to compel us to pay her attorneys’ fees and costs to</w:t>
      </w:r>
      <w:r>
        <w:rPr>
          <w:rFonts w:ascii="Arial" w:cs="Arial" w:eastAsia="Arial" w:hAnsi="Arial"/>
          <w:sz w:val="17"/>
          <w:szCs w:val="17"/>
          <w:b w:val="1"/>
          <w:bCs w:val="1"/>
          <w:color w:val="auto"/>
        </w:rPr>
        <w:t xml:space="preserve"> </w:t>
      </w:r>
      <w:r>
        <w:rPr>
          <w:rFonts w:ascii="Arial" w:cs="Arial" w:eastAsia="Arial" w:hAnsi="Arial"/>
          <w:sz w:val="17"/>
          <w:szCs w:val="17"/>
          <w:color w:val="auto"/>
        </w:rPr>
        <w:t>defend against the criminal charges. The District Court issued a preliminary injunction in January 2009 requiring us to pay Flood’s criminal legal fees and costs through trial. Pursuant to the Court’s order, ClearOne paid approximately $373 to Flood’s attorneys and approximately $248 into the Court’s escrow. In July 2009, ClearOne asserted counterclaims against Flood and sought to recover $3,390 plus interest, costs and attorneys' fees.</w:t>
      </w:r>
    </w:p>
    <w:p>
      <w:pPr>
        <w:spacing w:after="0" w:line="16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Tenth Circuit Court of Appeals issued a ruling in August 2010 vacating the District Court’s preliminary injunction on the grounds that it rested on a legally erroneous interpretation of Flood’s Employment Separation Agreement. ClearOne filed a motion in the United States District Court for the District of Utah seeking a return of the monies paid by ClearOne pursuant to the Court’s order. The District Court granted ClearOne’s motion in January 2012 for return of the $248 held in the Court’s escrow, but denied ClearOne’s motion with respect to the $373 paid to Flood’s attorneys.</w:t>
      </w:r>
    </w:p>
    <w:p>
      <w:pPr>
        <w:spacing w:after="0" w:line="17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or about March 1, 2013, Flood filed for personal bankruptcy in the U.S. Bankruptcy Court for the Eastern District of Virginia. On March 19, 2013, the US District Court for the District of Utah issued an order staying this case. On June 2, 2014, on the parties’ cross-motions for summary judgment, the bankruptcy judge ruled that Flood’s debt to ClearOne for the criminal defense fees advanced on her behalf is dischargeable in bankruptcy. On August 5, 2014, ClearOne and Flood entered into a settlement agreement whereby ClearOne released Flood from any claims in exchange for Flood’s release of ClearOne.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Theft of Intellectual Property and Related Cases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January 2007, we filed a lawsuit in the Third Judicial District Court, Salt Lake County, Utah against WideBand Solutions, Inc. (“WideBand”) and two of its principals, Dr. Jun Yang, and Andrew Chiang for misappropriation of our trade secrets (the “Trade Secret Case”). We also brought claims against Biamp Systems Corporation, Inc. (“Biamp”). The litigation eventually included other defendants, namely Lonny Bowers, Donald Bowers, David Sullivan, Dial HD and Versatile DSP. The matter was subsequently removed to federal court. The United States District Court, District of Utah, Central Division.</w:t>
      </w:r>
    </w:p>
    <w:p>
      <w:pPr>
        <w:spacing w:after="0" w:line="17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litigation involved various appeals filed by all parties extended to various state courts, federal courts and the federal appeal court. The court found the defendants guilty of willfully and maliciously misappropriating our trade secrets. Various awards were made in ClearOne's favor and against the defendants. Biamp settled with us and paid $3,860 after we won the appeal in the Tenth Circuit court. We also settled with one of the defendants and received $250 in February 2012. We have various awards against other defendants amounting to approximately $7,658 owed jointly and severally by them. While we intend to vigorously pursue collection of these outstanding awards, there can be no assurance that we will ultimately collect on all or a portion of these awards.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Conclusion</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These legal proceedings are subject to all of the risks and uncertainties of legal proceedings and there can be no assurance as to the probable result of the legal proceedings.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believes it is adequately accrued for the aforementioned contingent liabilities. While we intend to defend ourselves in the above matters vigorously and diligently, there exists the possibility of adverse outcomes that we estimate could be up to $1,000 over and above amounts already provided for. If these adverse outcomes were to occur, our financial position, results of operations and cash flows could be negatively affected materially for the period in which the adverse outcomes are 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F- 20 |</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Payments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share-based compensation primarily consists of two share-based compensation plans, one which was replaced on November 20, 2007, and one which became active on the same date. The plans are described below.</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1998 Incentive Plan (the “1998 Plan”) had shares of common stock available for issuance to employees and directors. Through December 1999, 1,066,000 options were granted that would cliff vest after 9.8 years; however, such vesting was accelerated for 637,089 of these options upon meeting certain earnings per share goals through the fiscal year ended June 30, 2003. Subsequent to December 1999 and through June 2002, 1,248,250 options were granted that would cliff vest after 6.0 years; however, such vesting was accelerated for 300,494 of these options upon meeting certain earnings per share goals through the fiscal year ended June 30, 2005.</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also has a 2007 Equity Incentive Plan (the “2007 Plan”). Provisions of the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 Under both plans, one new share is issued for each stock option exercised.</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has the authority to elect that all unvested options shall vest and become exercisable immediately prior to the event or closing of the transaction. All options outstanding as of December 31, 2014 had contractual lives of ten years. Under the 1998 Plan, 2,500,000 shares were authorized for grant. As of December 31, 2014, there were 346,000 options outstanding under the 1998 Plan, which includes the cliff vesting and 3 or 4-year vesting options discussed above. As of December 31, 2014, there were 694,081 options outstanding under the 2007 Plan. As of December 31, 2014, the 2007 Plan had 95,915 authorized unissued options, while there were no options remaining that could be granted under the 1998 Plan.</w:t>
      </w:r>
    </w:p>
    <w:p>
      <w:pPr>
        <w:spacing w:after="0" w:line="16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During 2014, the Company also had an Employee Stock Purchase Plan (“ESPP”) wherein employees could purchase common stock through payroll deductions of up to 10 percent of their base pay. Amounts deducted and accumulated by the employees were used to purchase shares of common stock on or about the first day of each month. The Company contributed to the account of the employee one share of common stock for every nine shares purchased by the employee under the ESPP. The details of the company's ESPP were modified for future periods.</w:t>
      </w:r>
    </w:p>
    <w:p>
      <w:pPr>
        <w:spacing w:after="0" w:line="17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applying the Black-Scholes methodology to the options granted, the Company used the following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76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66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average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Expected option life, average</w:t>
            </w:r>
          </w:p>
        </w:tc>
        <w:tc>
          <w:tcPr>
            <w:tcW w:w="1940" w:type="dxa"/>
            <w:vAlign w:val="bottom"/>
            <w:gridSpan w:val="2"/>
          </w:tcPr>
          <w:p>
            <w:pPr>
              <w:ind w:left="600"/>
              <w:spacing w:after="0"/>
              <w:rPr>
                <w:sz w:val="20"/>
                <w:szCs w:val="20"/>
                <w:color w:val="auto"/>
              </w:rPr>
            </w:pPr>
            <w:r>
              <w:rPr>
                <w:rFonts w:ascii="Arial" w:cs="Arial" w:eastAsia="Arial" w:hAnsi="Arial"/>
                <w:sz w:val="18"/>
                <w:szCs w:val="18"/>
                <w:color w:val="auto"/>
              </w:rPr>
              <w:t>8.2 years</w:t>
            </w:r>
          </w:p>
        </w:tc>
        <w:tc>
          <w:tcPr>
            <w:tcW w:w="1820" w:type="dxa"/>
            <w:vAlign w:val="bottom"/>
          </w:tcPr>
          <w:p>
            <w:pPr>
              <w:ind w:left="580"/>
              <w:spacing w:after="0"/>
              <w:rPr>
                <w:sz w:val="20"/>
                <w:szCs w:val="20"/>
                <w:color w:val="auto"/>
              </w:rPr>
            </w:pPr>
            <w:r>
              <w:rPr>
                <w:rFonts w:ascii="Arial" w:cs="Arial" w:eastAsia="Arial" w:hAnsi="Arial"/>
                <w:sz w:val="18"/>
                <w:szCs w:val="18"/>
                <w:color w:val="auto"/>
              </w:rPr>
              <w:t>6.8 years</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price volatility, average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49.8%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risk-free interest rate is determined using the U.S. Treasury rate in effect as of the date of the grant, based on the expected life of the stock option. The expected life of the stock option is determined using historical data.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F- 21 |</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expected price volatility is determined using a weighted average of daily historical volatility of the Company’s stock price over the corresponding expected option life.</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Under guidelines of ASC Topic 718, the Company recognizes compensation cost net of an expected forfeiture rate and recognized the associated compensation cost for only those awards expected to vest on a straight-line basis over the underlying requisite service period. The Company estimated the forfeiture rates based on its historical experience and expectations about future forfeitures.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stock option activity: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7"/>
              </w:rPr>
              <w:t>Weighted Average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Contractual Term</w:t>
            </w: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5160" w:type="dxa"/>
            <w:vAlign w:val="bottom"/>
          </w:tcPr>
          <w:p>
            <w:pPr>
              <w:spacing w:after="0"/>
              <w:rPr>
                <w:sz w:val="18"/>
                <w:szCs w:val="18"/>
                <w:color w:val="auto"/>
              </w:rPr>
            </w:pPr>
          </w:p>
        </w:tc>
        <w:tc>
          <w:tcPr>
            <w:tcW w:w="1600" w:type="dxa"/>
            <w:vAlign w:val="bottom"/>
          </w:tcPr>
          <w:p>
            <w:pPr>
              <w:jc w:val="right"/>
              <w:ind w:right="91"/>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300" w:type="dxa"/>
            <w:vAlign w:val="bottom"/>
          </w:tcPr>
          <w:p>
            <w:pPr>
              <w:spacing w:after="0"/>
              <w:rPr>
                <w:sz w:val="18"/>
                <w:szCs w:val="18"/>
                <w:color w:val="auto"/>
              </w:rPr>
            </w:pPr>
          </w:p>
        </w:tc>
        <w:tc>
          <w:tcPr>
            <w:tcW w:w="1060" w:type="dxa"/>
            <w:vAlign w:val="bottom"/>
          </w:tcPr>
          <w:p>
            <w:pPr>
              <w:jc w:val="right"/>
              <w:ind w:right="392"/>
              <w:spacing w:after="0"/>
              <w:rPr>
                <w:sz w:val="20"/>
                <w:szCs w:val="20"/>
                <w:color w:val="auto"/>
              </w:rPr>
            </w:pPr>
            <w:r>
              <w:rPr>
                <w:rFonts w:ascii="Arial" w:cs="Arial" w:eastAsia="Arial" w:hAnsi="Arial"/>
                <w:sz w:val="16"/>
                <w:szCs w:val="16"/>
                <w:b w:val="1"/>
                <w:bCs w:val="1"/>
                <w:color w:val="auto"/>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2013</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1,111,274</w:t>
            </w:r>
          </w:p>
        </w:tc>
        <w:tc>
          <w:tcPr>
            <w:tcW w:w="12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193,500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 and canceled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Forfeited prior to vesting</w:t>
            </w:r>
          </w:p>
        </w:tc>
        <w:tc>
          <w:tcPr>
            <w:tcW w:w="1600" w:type="dxa"/>
            <w:vAlign w:val="bottom"/>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(234,432)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 of December 31, 2014</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1,040,081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4,286</w:t>
            </w: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Expected to Vest at December 31, 2014</w:t>
            </w:r>
          </w:p>
        </w:tc>
        <w:tc>
          <w:tcPr>
            <w:tcW w:w="1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1,040,081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4,286</w:t>
            </w:r>
          </w:p>
        </w:tc>
      </w:tr>
      <w:tr>
        <w:trPr>
          <w:trHeight w:val="20"/>
        </w:trPr>
        <w:tc>
          <w:tcPr>
            <w:tcW w:w="5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Vested at December 31, 2014</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730,016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3,721</w:t>
            </w:r>
          </w:p>
        </w:tc>
      </w:tr>
      <w:tr>
        <w:trPr>
          <w:trHeight w:val="20"/>
        </w:trPr>
        <w:tc>
          <w:tcPr>
            <w:tcW w:w="51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weighted average per share fair value of options granted during the years ending December 31, 2014 and 2013 was $4.85 and $4.38 respectively. The total intrinsic value of options exercised during the years ended December 31, 2014 and 2013 was $1,337 and $489, respectively.</w:t>
      </w:r>
    </w:p>
    <w:p>
      <w:pPr>
        <w:spacing w:after="0" w:line="14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total pre-tax compensation cost related to stock options recognized during the years ended December 31, 2014 and 2013 was $401 and $296, respectively. Tax benefit from compensation cost related to stock options during the years ended December 31, 2014 and 2013 was $211 and $96, respectively. As of December 31, 2014, the total compensation cost related to stock options not yet recognized and before the effect of any forfeitures was $1,230, which is expected to be recognized over approximately the next 2.7 years on a straight-line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Repurchase Program and Cash Dividends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May 2012, our Board of Directors authorized a stock repurchase program to purchase the Company's common stock in the open market. A total of 272,767 and 300,087 shares costing $2,598 and $2,416 were purchased under this program during the years ended December 31, 2014 and 2013. The cost of shares purchased is recorded as a reduction to shareholders' equity. On December 2, 2014, the Company announced the discontinuance of the stock repurchase program along with the initiation of a cash dividend plan. The first of such dividends was of $0.10 per share of ClearOne common stock, payable on January 5, 2015, to stockholders of record on December 12,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Significant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Sales to significant customers that represented more than 10 percent of total revenues are as follows:</w:t>
      </w:r>
    </w:p>
    <w:p>
      <w:pPr>
        <w:spacing w:after="0" w:line="230"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23495</wp:posOffset>
            </wp:positionV>
            <wp:extent cx="2521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A</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Customer B</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 Sales didn't exceed 10% of the revenue.</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F- 22 |</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percentage of total gross accounts receivable from significant customers:</w:t>
      </w:r>
    </w:p>
    <w:p>
      <w:pPr>
        <w:spacing w:after="0" w:line="230"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23495</wp:posOffset>
            </wp:positionV>
            <wp:extent cx="24523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2013</w:t>
            </w: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A</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Customer B</w:t>
            </w: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75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These customers facilitate product sales to a large number of end-users, none of which is known to account for more than 10 percent of the Company’s revenue from product sales. Nevertheless, the loss of one or more of these customers could reduce revenue and have a material adverse effect on the Company’s business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9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198" w:lineRule="exact"/>
        <w:rPr>
          <w:sz w:val="20"/>
          <w:szCs w:val="20"/>
          <w:color w:val="auto"/>
        </w:rPr>
      </w:pPr>
    </w:p>
    <w:p>
      <w:pPr>
        <w:ind w:left="660" w:right="60"/>
        <w:spacing w:after="0" w:line="31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substantial majority of the Company’s financial instruments are valued using quoted prices in active markets or based on other observable inputs. The following tables set forth the fair value of the financial instruments re-measured by the Company as of December 31, 2014 and 2013: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300" w:type="dxa"/>
            <w:vAlign w:val="bottom"/>
          </w:tcPr>
          <w:p>
            <w:pPr>
              <w:jc w:val="right"/>
              <w:ind w:right="153"/>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3"/>
          </w:tcPr>
          <w:p>
            <w:pPr>
              <w:ind w:left="240"/>
              <w:spacing w:after="0"/>
              <w:rPr>
                <w:sz w:val="20"/>
                <w:szCs w:val="20"/>
                <w:color w:val="auto"/>
              </w:rPr>
            </w:pPr>
            <w:r>
              <w:rPr>
                <w:rFonts w:ascii="Arial" w:cs="Arial" w:eastAsia="Arial" w:hAnsi="Arial"/>
                <w:sz w:val="16"/>
                <w:szCs w:val="16"/>
                <w:b w:val="1"/>
                <w:bCs w:val="1"/>
                <w:color w:val="auto"/>
              </w:rPr>
              <w:t>Level 2</w:t>
            </w:r>
          </w:p>
        </w:tc>
        <w:tc>
          <w:tcPr>
            <w:tcW w:w="118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3"/>
                <w:szCs w:val="13"/>
                <w:i w:val="1"/>
                <w:iCs w:val="1"/>
                <w:color w:val="auto"/>
              </w:rPr>
              <w:t>(In thousands)</w:t>
            </w: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700" w:type="dxa"/>
            <w:vAlign w:val="bottom"/>
            <w:vMerge w:val="continue"/>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2014</w:t>
            </w:r>
          </w:p>
        </w:tc>
        <w:tc>
          <w:tcPr>
            <w:tcW w:w="13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1300" w:type="dxa"/>
            <w:vAlign w:val="bottom"/>
          </w:tcPr>
          <w:p>
            <w:pPr>
              <w:jc w:val="right"/>
              <w:ind w:right="1093"/>
              <w:spacing w:after="0"/>
              <w:rPr>
                <w:sz w:val="20"/>
                <w:szCs w:val="20"/>
                <w:color w:val="auto"/>
              </w:rPr>
            </w:pPr>
            <w:r>
              <w:rPr>
                <w:rFonts w:ascii="Arial" w:cs="Arial" w:eastAsia="Arial" w:hAnsi="Arial"/>
                <w:sz w:val="18"/>
                <w:szCs w:val="18"/>
                <w:color w:val="auto"/>
                <w:w w:val="99"/>
              </w:rPr>
              <w:t>$</w:t>
            </w:r>
          </w:p>
        </w:tc>
        <w:tc>
          <w:tcPr>
            <w:tcW w:w="420" w:type="dxa"/>
            <w:vAlign w:val="bottom"/>
            <w:gridSpan w:val="4"/>
          </w:tcPr>
          <w:p>
            <w:pPr>
              <w:ind w:left="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19,838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ind w:right="97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19,838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300" w:type="dxa"/>
            <w:vAlign w:val="bottom"/>
            <w:shd w:val="clear" w:color="auto" w:fill="CCEEFF"/>
          </w:tcPr>
          <w:p>
            <w:pPr>
              <w:jc w:val="right"/>
              <w:ind w:right="1093"/>
              <w:spacing w:after="0"/>
              <w:rPr>
                <w:sz w:val="20"/>
                <w:szCs w:val="20"/>
                <w:color w:val="auto"/>
              </w:rPr>
            </w:pPr>
            <w:r>
              <w:rPr>
                <w:rFonts w:ascii="Arial" w:cs="Arial" w:eastAsia="Arial" w:hAnsi="Arial"/>
                <w:sz w:val="18"/>
                <w:szCs w:val="18"/>
                <w:color w:val="auto"/>
                <w:w w:val="99"/>
              </w:rPr>
              <w:t>$</w:t>
            </w:r>
          </w:p>
        </w:tc>
        <w:tc>
          <w:tcPr>
            <w:tcW w:w="4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26,156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26,156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1300" w:type="dxa"/>
            <w:vAlign w:val="bottom"/>
          </w:tcPr>
          <w:p>
            <w:pPr>
              <w:jc w:val="right"/>
              <w:ind w:right="173"/>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3"/>
          </w:tcPr>
          <w:p>
            <w:pPr>
              <w:ind w:left="220"/>
              <w:spacing w:after="0"/>
              <w:rPr>
                <w:sz w:val="20"/>
                <w:szCs w:val="20"/>
                <w:color w:val="auto"/>
              </w:rPr>
            </w:pPr>
            <w:r>
              <w:rPr>
                <w:rFonts w:ascii="Arial" w:cs="Arial" w:eastAsia="Arial" w:hAnsi="Arial"/>
                <w:sz w:val="16"/>
                <w:szCs w:val="16"/>
                <w:b w:val="1"/>
                <w:bCs w:val="1"/>
                <w:color w:val="auto"/>
              </w:rPr>
              <w:t>Level 2</w:t>
            </w:r>
          </w:p>
        </w:tc>
        <w:tc>
          <w:tcPr>
            <w:tcW w:w="118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3"/>
                <w:szCs w:val="13"/>
                <w:i w:val="1"/>
                <w:iCs w:val="1"/>
                <w:color w:val="auto"/>
              </w:rPr>
              <w:t>(In thousands)</w:t>
            </w: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700" w:type="dxa"/>
            <w:vAlign w:val="bottom"/>
            <w:vMerge w:val="continue"/>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2013</w:t>
            </w:r>
          </w:p>
        </w:tc>
        <w:tc>
          <w:tcPr>
            <w:tcW w:w="13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1300" w:type="dxa"/>
            <w:vAlign w:val="bottom"/>
          </w:tcPr>
          <w:p>
            <w:pPr>
              <w:jc w:val="right"/>
              <w:ind w:right="1093"/>
              <w:spacing w:after="0"/>
              <w:rPr>
                <w:sz w:val="20"/>
                <w:szCs w:val="20"/>
                <w:color w:val="auto"/>
              </w:rPr>
            </w:pPr>
            <w:r>
              <w:rPr>
                <w:rFonts w:ascii="Arial" w:cs="Arial" w:eastAsia="Arial" w:hAnsi="Arial"/>
                <w:sz w:val="18"/>
                <w:szCs w:val="18"/>
                <w:color w:val="auto"/>
                <w:w w:val="99"/>
              </w:rPr>
              <w:t>$</w:t>
            </w:r>
          </w:p>
        </w:tc>
        <w:tc>
          <w:tcPr>
            <w:tcW w:w="420" w:type="dxa"/>
            <w:vAlign w:val="bottom"/>
            <w:gridSpan w:val="4"/>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18,857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ind w:right="97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18,857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300" w:type="dxa"/>
            <w:vAlign w:val="bottom"/>
            <w:shd w:val="clear" w:color="auto" w:fill="CCEEFF"/>
          </w:tcPr>
          <w:p>
            <w:pPr>
              <w:jc w:val="right"/>
              <w:ind w:right="1093"/>
              <w:spacing w:after="0"/>
              <w:rPr>
                <w:sz w:val="20"/>
                <w:szCs w:val="20"/>
                <w:color w:val="auto"/>
              </w:rPr>
            </w:pPr>
            <w:r>
              <w:rPr>
                <w:rFonts w:ascii="Arial" w:cs="Arial" w:eastAsia="Arial" w:hAnsi="Arial"/>
                <w:sz w:val="18"/>
                <w:szCs w:val="18"/>
                <w:color w:val="auto"/>
                <w:w w:val="99"/>
              </w:rPr>
              <w:t>$</w:t>
            </w:r>
          </w:p>
        </w:tc>
        <w:tc>
          <w:tcPr>
            <w:tcW w:w="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25,526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25,526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 F- 23 |</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Consolidated income before taxes for domestic and foreign operations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9,615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8,714</w:t>
            </w:r>
          </w:p>
        </w:tc>
        <w:tc>
          <w:tcPr>
            <w:tcW w:w="0" w:type="dxa"/>
            <w:vAlign w:val="bottom"/>
          </w:tcPr>
          <w:p>
            <w:pPr>
              <w:spacing w:after="0"/>
              <w:rPr>
                <w:sz w:val="1"/>
                <w:szCs w:val="1"/>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8,229</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7,769</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The Company's (provision) for income taxes consisted of the following:</w:t>
            </w: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right"/>
              <w:ind w:right="99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74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Federal</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(2,750)</w:t>
            </w:r>
          </w:p>
        </w:tc>
        <w:tc>
          <w:tcPr>
            <w:tcW w:w="20" w:type="dxa"/>
            <w:vAlign w:val="bottom"/>
          </w:tcPr>
          <w:p>
            <w:pPr>
              <w:spacing w:after="0"/>
              <w:rPr>
                <w:sz w:val="21"/>
                <w:szCs w:val="21"/>
                <w:color w:val="auto"/>
              </w:rPr>
            </w:pPr>
          </w:p>
        </w:tc>
        <w:tc>
          <w:tcPr>
            <w:tcW w:w="7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1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37"/>
        </w:trPr>
        <w:tc>
          <w:tcPr>
            <w:tcW w:w="7480" w:type="dxa"/>
            <w:vAlign w:val="bottom"/>
          </w:tcPr>
          <w:p>
            <w:pPr>
              <w:ind w:left="40"/>
              <w:spacing w:after="0"/>
              <w:rPr>
                <w:sz w:val="20"/>
                <w:szCs w:val="20"/>
                <w:color w:val="auto"/>
              </w:rPr>
            </w:pPr>
            <w:r>
              <w:rPr>
                <w:rFonts w:ascii="Arial" w:cs="Arial" w:eastAsia="Arial" w:hAnsi="Arial"/>
                <w:sz w:val="18"/>
                <w:szCs w:val="18"/>
                <w:color w:val="auto"/>
              </w:rPr>
              <w:t>Deferred:</w:t>
            </w:r>
          </w:p>
        </w:tc>
        <w:tc>
          <w:tcPr>
            <w:tcW w:w="1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State</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7"/>
        </w:trPr>
        <w:tc>
          <w:tcPr>
            <w:tcW w:w="7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7"/>
        </w:trPr>
        <w:tc>
          <w:tcPr>
            <w:tcW w:w="748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1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(2,633)</w:t>
            </w:r>
          </w:p>
        </w:tc>
        <w:tc>
          <w:tcPr>
            <w:tcW w:w="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gridSpan w:val="2"/>
          </w:tcPr>
          <w:p>
            <w:pPr>
              <w:spacing w:after="0" w:line="20" w:lineRule="exact"/>
              <w:rPr>
                <w:sz w:val="1"/>
                <w:szCs w:val="1"/>
                <w:color w:val="auto"/>
              </w:rPr>
            </w:pPr>
          </w:p>
        </w:tc>
        <w:tc>
          <w:tcPr>
            <w:tcW w:w="182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500" w:type="dxa"/>
            <w:vAlign w:val="bottom"/>
            <w:gridSpan w:val="6"/>
          </w:tcPr>
          <w:p>
            <w:pPr>
              <w:spacing w:after="0"/>
              <w:rPr>
                <w:sz w:val="20"/>
                <w:szCs w:val="20"/>
                <w:color w:val="auto"/>
              </w:rPr>
            </w:pPr>
            <w:r>
              <w:rPr>
                <w:rFonts w:ascii="Arial" w:cs="Arial" w:eastAsia="Arial" w:hAnsi="Arial"/>
                <w:sz w:val="18"/>
                <w:szCs w:val="18"/>
                <w:color w:val="auto"/>
              </w:rPr>
              <w:t>The income tax (provision) differs from that computed at the federal statutory corporate income tax rate as follows:</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right"/>
              <w:ind w:right="99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74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 at Federal statutory rate</w:t>
            </w: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(2,798)</w:t>
            </w: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State income tax (provision), net of federal benefit</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tax credits</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Foreign earnings or losses taxed at different rates</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(provision)</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(2,633)</w:t>
            </w:r>
          </w:p>
        </w:tc>
        <w:tc>
          <w:tcPr>
            <w:tcW w:w="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F- 24 |</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significant temporary differences representing net deferred tax assets and liabilities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As of December 31, 2014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As of December 31, 2013</w:t>
            </w:r>
          </w:p>
        </w:tc>
      </w:tr>
      <w:tr>
        <w:trPr>
          <w:trHeight w:val="264"/>
        </w:trPr>
        <w:tc>
          <w:tcPr>
            <w:tcW w:w="56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Current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Long-term</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Current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Long-term</w:t>
            </w:r>
          </w:p>
        </w:tc>
      </w:tr>
      <w:tr>
        <w:trPr>
          <w:trHeight w:val="25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Basis difference in intangible assets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82</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 reserve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682</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Allowance for sales returns and doubtful accounts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Difference in property and equipment basis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deferred income tax asset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income tax asset (liability)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1,024</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The Company has not provided for U.S. deferred income taxes or foreign withholding taxes on undistributed earnings of its non-U.S. subsidiaries since these earnings are intended to be reinvested indefinitely, in accordance with guidelines contained in ASC Topic 740,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It is not practical to estimate the amount of additional taxes that might be payable on such undistributed earnings.</w:t>
      </w:r>
    </w:p>
    <w:p>
      <w:pPr>
        <w:spacing w:after="0" w:line="16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accordance with ASC Topic 740, the Company analyzed its valuation allowance at December 31, 2014 and determined that, based upon available evidence, it is more likely than not that certain of its deferred tax assets may not be realized and, as such, has established a valuation allowance against certain deferred tax assets. These deferred tax assets include state research and development credits, and foreign net operating loss carryforwards.</w:t>
      </w:r>
    </w:p>
    <w:p>
      <w:pPr>
        <w:spacing w:after="0" w:line="14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 of December 31, 2014, the Company had state research credit carryforwards of $60, which will begin to expire in 2027 if not utilized. The Company has federal net operating loss (“NOL”) carryforwards of approximately $881 (pre-tax), Hong Kong NOL carryforwards of approximately $1,223, and Spain NOL carryforwards of approximately $1,820. The federal NOL carryforwards will begin to expire in 2029. The Hong Kong and Spain NOL carryforwards do not expire.</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Effective July 1, 2007, the Company adopted the accounting standards related to uncertain tax positions. This standard requires that tax positions be assessed using a two-step process. A tax position is recognized if it meets a "more likely than not" threshold, and is measured at the largest amount of benefit that is greater than 50 percent likely of being realized. Uncertain tax positions must be reviewed at each balance sheet date. Liabilities recorded as a result of this analysis must generally be recorded separately from any current or deferred income tax accounts.</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total amount of unrecognized tax benefits at December 31, 2014 and 2013, that would favorably impact our effective tax rate if recognized was $723 and $623, respectively. As of December 31, 2014 and 2013, we accrued $40 and $51, respectively, in interest and penalties related to unrecognized tax benefits. We account for interest expense and penalties for unrecognized tax benefits as part of our income tax provision.</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Although we believe our estimates are reasonable, we can make no assurance that the final tax outcome of these matters will not be different from that which we have reflected in our historical income tax provisions and accruals. Such difference could have a material impact on our income tax provision and operating results in the period in which we make such determination.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liabilities associated with uncertain tax positions is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F- 25 |</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 beginning of year</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2,384</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Additions based on tax positions related to the current year</w:t>
            </w:r>
          </w:p>
        </w:tc>
        <w:tc>
          <w:tcPr>
            <w:tcW w:w="10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84</w:t>
            </w:r>
          </w:p>
        </w:tc>
      </w:tr>
      <w:tr>
        <w:trPr>
          <w:trHeight w:val="27"/>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for tax positions of prior years</w:t>
            </w:r>
          </w:p>
        </w:tc>
        <w:tc>
          <w:tcPr>
            <w:tcW w:w="10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1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7"/>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Lapse in statutes of limitations</w:t>
            </w:r>
          </w:p>
        </w:tc>
        <w:tc>
          <w:tcPr>
            <w:tcW w:w="1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76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Uncertain tax positions, ending balance</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1,678</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1,901</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U.S. federal income tax returns for 2011 through 2014 are subject to examination. The Company also files in various state and foreign jurisdictions. With few exceptions, the Company is no longer subject to federal, state, or non-U.S. income tax examinations by tax authorities for years prior to 2011. The Company completed its audit by the Internal Revenue Service (“IRS”) for its 2006 tax return in 2010. As a result of the audit by the IRS, there were no material adjustments made to the Company’s tax return. The IRS commenced an examination of the Company's 2012 tax return. We do not anticipate the examination will result in a material change to its financial position.</w:t>
      </w:r>
    </w:p>
    <w:p>
      <w:pPr>
        <w:spacing w:after="0" w:line="18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Inland Revenue Department of Hong Kong, a Special Administrative Region (the “IRD”), commenced an examination of the Company's Hong Kong profits tax returns for 2009 through 2011 in the fourth quarter of 2012 that is anticipated to be completed in 2016. The Company does not anticipate the examination will result in a material change to its financial position. During the next twelve months, it is reasonably possible that the amount of the Company's unrecognized income tax benefits could change significantly. These changes could be the result of our ongoing tax audits or the settlement of outstanding audit issues. However, due to the issues being examined, at the current time, an estimate of the range of reasonably possible outcomes cannot be made, beyond amounts currently accrued.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 Sales Information</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United States was the only country to contribute more than 10 percent of total revenues in each fiscal year. The Company’s revenues are substantially denominated in U.S. dollars and are summarized geographically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39,598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32,292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All other countries</w:t>
            </w:r>
          </w:p>
        </w:tc>
        <w:tc>
          <w:tcPr>
            <w:tcW w:w="10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18,311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17,300</w:t>
            </w:r>
          </w:p>
        </w:tc>
      </w:tr>
      <w:tr>
        <w:trPr>
          <w:trHeight w:val="27"/>
        </w:trPr>
        <w:tc>
          <w:tcPr>
            <w:tcW w:w="76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57,909</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49,592</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On April 28, 2015, the Company announced a quarterly cash dividend of $0.035 per share to be paid on May 15, 2015 to shareholders of record as of May 4, 2015.</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July 16, 2015, the Company announced a quarterly cash dividend of $0.035 per share to be paid on August 10, 2015 to shareholders of record as of July 27, 2015.</w:t>
      </w:r>
    </w:p>
    <w:p>
      <w:pPr>
        <w:spacing w:after="0" w:line="17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On October 8, 2015, the Company received notice from its former auditor, RSM US LLP (RSM) (formerly McGladrey LLP), that RSM resigned effective October 8, 2015. A full description the disclosures surrounding the resignation can be found in the related Form 8-K filed on October 14, 2015.</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October 13, 2015, the Company engaged Tanner LLC (Tanner) to serve as its new independent registered public accounting firm for (a) the audit for the fiscal year ending December 31, 2015; (b) interim reviews for the periods ending September 30, 2015, March 31, 2016, June 30, 2016 and September 30, 2016; and (c) for the (i) re-audit and report of Independent Registered Public Accounting Firm relating to the Company's consolidated financial statements for the year ended December 31, 2014;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F- 26 |</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ind w:right="100" w:firstLine="8"/>
        <w:spacing w:after="0" w:line="277"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re-review of the Company's financial statements for the interim periods ended March 31, 2015 and June 30, 2015. A full description the disclosures surrounding the appointment can be found in the related Form 8-K filed on October 14, 2015.</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12, 2015, the Company announced a quarterly cash dividend of $0.05 per share to be paid on December 21, 2015 to shareholders of record as of December 4, 2015.</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November 24, 2015, the Company received a letter from NASDAQ Stock Market stating that the Company no longer complies with NASDAQ Listing Rule 5250(c)(1) as a result of its former auditor RSM’s resignation and withdrawal of its audit report on the Company’s financial statements for the year ended December 31, 2014 solely as a result of its determination that it was not independent of the Company for such period and subsequent interim periods and the Company’s delay in filing its Form 10-Q for the period ended September 30, 2015. A full description the disclosures surrounding the receipt of the letter can be found in the related Form 8-K filed on December 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F- 27 |</w:t>
      </w:r>
    </w:p>
    <w:p>
      <w:pPr>
        <w:sectPr>
          <w:pgSz w:w="11900" w:h="16838" w:orient="portrait"/>
          <w:cols w:equalWidth="0" w:num="1">
            <w:col w:w="11260"/>
          </w:cols>
          <w:pgMar w:left="240" w:top="121" w:right="3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consent to the incorporation by reference in Registration Statements (Nos. 333-205356, 333-148789 and 333-137859) on Form S-8 and Registration Statement (No. 333-195591) on Form S-3 of ClearOne, Inc. of our report dated January 13, 2016, relating to our audit of the December 31, 2014 consolidated financial statements, which appears in this Annual Report on Form 10-K/A of ClearOne, Inc.</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Tanner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13, 2016</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consent to the incorporation by reference in Registration Statements (Nos. 333-205356, 333-148789 and 333-137859) on Form S-8 and Registration Statement (No. 333-195591) on Form S-3 of ClearOne, Inc. of our report dated March 19, 2014, relating to our audit of the consolidated financial statements for the year ended December 31, 2013, which appears in this Annual Report on Form 10-K/A of ClearOne, Inc.</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12, 2016</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171"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annual report of ClearOne, Inc. on Form 10-K;</w:t>
      </w:r>
    </w:p>
    <w:p>
      <w:pPr>
        <w:spacing w:after="0" w:line="171" w:lineRule="exact"/>
        <w:rPr>
          <w:rFonts w:ascii="Arial" w:cs="Arial" w:eastAsia="Arial" w:hAnsi="Arial"/>
          <w:sz w:val="18"/>
          <w:szCs w:val="18"/>
          <w:color w:val="auto"/>
        </w:rPr>
      </w:pPr>
    </w:p>
    <w:p>
      <w:pPr>
        <w:jc w:val="both"/>
        <w:ind w:left="480" w:right="460" w:hanging="472"/>
        <w:spacing w:after="0" w:line="264"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480" w:right="440" w:hanging="472"/>
        <w:spacing w:after="0" w:line="308"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480" w:right="40" w:hanging="472"/>
        <w:spacing w:after="0" w:line="318"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8"/>
          <w:szCs w:val="18"/>
          <w:color w:val="auto"/>
        </w:rPr>
      </w:pPr>
    </w:p>
    <w:p>
      <w:pPr>
        <w:ind w:left="980" w:right="220" w:hanging="513"/>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513"/>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513"/>
        <w:spacing w:after="0" w:line="342" w:lineRule="auto"/>
        <w:tabs>
          <w:tab w:leader="none" w:pos="98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513"/>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rFonts w:ascii="Arial" w:cs="Arial" w:eastAsia="Arial" w:hAnsi="Arial"/>
          <w:sz w:val="18"/>
          <w:szCs w:val="18"/>
          <w:color w:val="auto"/>
        </w:rPr>
      </w:pPr>
    </w:p>
    <w:p>
      <w:pPr>
        <w:ind w:left="480" w:right="380" w:hanging="472"/>
        <w:spacing w:after="0" w:line="308"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513"/>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513"/>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
        <w:spacing w:after="0"/>
        <w:tabs>
          <w:tab w:leader="none" w:pos="5520" w:val="left"/>
          <w:tab w:leader="none" w:pos="6160" w:val="left"/>
        </w:tabs>
        <w:rPr>
          <w:sz w:val="20"/>
          <w:szCs w:val="20"/>
          <w:color w:val="auto"/>
        </w:rPr>
      </w:pPr>
      <w:r>
        <w:rPr>
          <w:rFonts w:ascii="Arial" w:cs="Arial" w:eastAsia="Arial" w:hAnsi="Arial"/>
          <w:sz w:val="18"/>
          <w:szCs w:val="18"/>
          <w:color w:val="auto"/>
        </w:rPr>
        <w:t>January 13,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0873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117"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annual report of ClearOne, Inc. on Form 10-K;</w:t>
      </w:r>
    </w:p>
    <w:p>
      <w:pPr>
        <w:spacing w:after="0" w:line="117" w:lineRule="exact"/>
        <w:rPr>
          <w:rFonts w:ascii="Arial" w:cs="Arial" w:eastAsia="Arial" w:hAnsi="Arial"/>
          <w:sz w:val="18"/>
          <w:szCs w:val="18"/>
          <w:color w:val="auto"/>
        </w:rPr>
      </w:pPr>
    </w:p>
    <w:p>
      <w:pPr>
        <w:jc w:val="both"/>
        <w:ind w:left="480" w:right="460" w:hanging="472"/>
        <w:spacing w:after="0" w:line="264"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80" w:right="440" w:hanging="472"/>
        <w:spacing w:after="0" w:line="308"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480" w:right="40" w:hanging="472"/>
        <w:spacing w:after="0" w:line="318"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8"/>
          <w:szCs w:val="18"/>
          <w:color w:val="auto"/>
        </w:rPr>
      </w:pPr>
    </w:p>
    <w:p>
      <w:pPr>
        <w:ind w:left="980" w:right="220" w:hanging="513"/>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513"/>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513"/>
        <w:spacing w:after="0" w:line="342" w:lineRule="auto"/>
        <w:tabs>
          <w:tab w:leader="none" w:pos="98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60" w:hanging="513"/>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480" w:right="380" w:hanging="472"/>
        <w:spacing w:after="0" w:line="308"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513"/>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100" w:hanging="513"/>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
        <w:spacing w:after="0"/>
        <w:tabs>
          <w:tab w:leader="none" w:pos="5520" w:val="left"/>
          <w:tab w:leader="none" w:pos="6160" w:val="left"/>
        </w:tabs>
        <w:rPr>
          <w:sz w:val="20"/>
          <w:szCs w:val="20"/>
          <w:color w:val="auto"/>
        </w:rPr>
      </w:pPr>
      <w:r>
        <w:rPr>
          <w:rFonts w:ascii="Arial" w:cs="Arial" w:eastAsia="Arial" w:hAnsi="Arial"/>
          <w:sz w:val="18"/>
          <w:szCs w:val="18"/>
          <w:color w:val="auto"/>
        </w:rPr>
        <w:t>January 13,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0873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of Finance</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annual report of ClearOne, Inc. on Form 10-K for the year ended December 31, 2014, fully complies with the requirements of Section 13(a) or 15(d) of the Securities Exchange Act of 1934 and that information contained in such annual report on Form 10-K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40"/>
        <w:spacing w:after="0"/>
        <w:tabs>
          <w:tab w:leader="none" w:pos="5520" w:val="left"/>
          <w:tab w:leader="none" w:pos="6160" w:val="left"/>
        </w:tabs>
        <w:rPr>
          <w:sz w:val="20"/>
          <w:szCs w:val="20"/>
          <w:color w:val="auto"/>
        </w:rPr>
      </w:pPr>
      <w:r>
        <w:rPr>
          <w:rFonts w:ascii="Arial" w:cs="Arial" w:eastAsia="Arial" w:hAnsi="Arial"/>
          <w:sz w:val="18"/>
          <w:szCs w:val="18"/>
          <w:color w:val="auto"/>
        </w:rPr>
        <w:t>January 13,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0873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annual report of ClearOne Inc. on Form 10-K for the year ended December 31, 2014, fully complies with the requirements of Section 13(a) or 15(d) of the Securities Exchange Act of 1934 and that information contained in such annual report on Form 10-K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0"/>
        <w:spacing w:after="0"/>
        <w:tabs>
          <w:tab w:leader="none" w:pos="5520" w:val="left"/>
          <w:tab w:leader="none" w:pos="6160" w:val="left"/>
        </w:tabs>
        <w:rPr>
          <w:sz w:val="20"/>
          <w:szCs w:val="20"/>
          <w:color w:val="auto"/>
        </w:rPr>
      </w:pPr>
      <w:r>
        <w:rPr>
          <w:rFonts w:ascii="Arial" w:cs="Arial" w:eastAsia="Arial" w:hAnsi="Arial"/>
          <w:sz w:val="18"/>
          <w:szCs w:val="18"/>
          <w:color w:val="auto"/>
        </w:rPr>
        <w:t>January 13,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0873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of Finance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upperLetter"/>
      <w:start w:val="1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lowerRoman"/>
      <w:start w:val="2"/>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2019-12-29T13:37:53Z</dcterms:created>
  <dcterms:modified xsi:type="dcterms:W3CDTF">2019-12-29T13:37:53Z</dcterms:modified>
</cp:coreProperties>
</file>