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7"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218"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Date of Report (Date of earliest event reported): May 16, 2003</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ClearOne Communications Inc.</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3"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UTAH</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w:t>
      </w:r>
    </w:p>
    <w:p>
      <w:pPr>
        <w:ind w:left="640"/>
        <w:spacing w:after="0" w:line="238" w:lineRule="auto"/>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0-17219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w:t>
      </w:r>
    </w:p>
    <w:p>
      <w:pPr>
        <w:spacing w:after="0" w:line="238" w:lineRule="auto"/>
        <w:rPr>
          <w:sz w:val="20"/>
          <w:szCs w:val="20"/>
          <w:color w:val="auto"/>
        </w:rPr>
      </w:pPr>
      <w:r>
        <w:rPr>
          <w:rFonts w:ascii="Courier New" w:cs="Courier New" w:eastAsia="Courier New" w:hAnsi="Courier New"/>
          <w:sz w:val="18"/>
          <w:szCs w:val="18"/>
          <w:color w:val="auto"/>
        </w:rPr>
        <w:t>File Number)</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87-0398877</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 Number)</w:t>
      </w:r>
    </w:p>
    <w:p>
      <w:pPr>
        <w:spacing w:after="0" w:line="200" w:lineRule="exact"/>
        <w:rPr>
          <w:sz w:val="24"/>
          <w:szCs w:val="24"/>
          <w:color w:val="auto"/>
        </w:rPr>
      </w:pPr>
    </w:p>
    <w:p>
      <w:pPr>
        <w:sectPr>
          <w:pgSz w:w="11900" w:h="16838" w:orient="portrait"/>
          <w:cols w:equalWidth="0" w:num="3">
            <w:col w:w="3280" w:space="300"/>
            <w:col w:w="1600" w:space="720"/>
            <w:col w:w="4319"/>
          </w:cols>
          <w:pgMar w:left="240" w:top="244" w:right="1440" w:bottom="1440" w:gutter="0" w:footer="0" w:header="0"/>
          <w:type w:val="continuous"/>
        </w:sectPr>
      </w:pPr>
    </w:p>
    <w:p>
      <w:pPr>
        <w:spacing w:after="0" w:line="204"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1825 Research Way, Salt Lake City, Utah 84119</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rPr>
          <w:sz w:val="20"/>
          <w:szCs w:val="20"/>
          <w:color w:val="auto"/>
        </w:rPr>
      </w:pPr>
      <w:r>
        <w:rPr>
          <w:rFonts w:ascii="Courier New" w:cs="Courier New" w:eastAsia="Courier New" w:hAnsi="Courier New"/>
          <w:sz w:val="18"/>
          <w:szCs w:val="18"/>
          <w:color w:val="auto"/>
        </w:rPr>
        <w:t>(Address of Principal Executive Offices) (Zip Code)</w:t>
      </w:r>
    </w:p>
    <w:p>
      <w:pPr>
        <w:spacing w:after="0" w:line="200" w:lineRule="exact"/>
        <w:rPr>
          <w:sz w:val="24"/>
          <w:szCs w:val="24"/>
          <w:color w:val="auto"/>
        </w:rPr>
      </w:pP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(801) 975-7200</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w:t>
      </w:r>
    </w:p>
    <w:p>
      <w:pPr>
        <w:ind w:left="1060"/>
        <w:spacing w:after="0" w:line="238" w:lineRule="auto"/>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 November 22, 2002, ClearOne and Bank One entered into a $10 million Line of Credit Agreement replacing a previous $5 million Line of Credit Agreement. Effective May 16, 2003, Bank One and ClearOne have agreed to freeze that Line of Credit and ClearOne has agreed to not draw upon the Line of Credit without the consent of Bank One. Bank One requested the modification because ClearOne has not provided the bank with financial reports for the quarter ended December 31, 2002, which is required under the terms of the Agreement.</w:t>
      </w:r>
    </w:p>
    <w:p>
      <w:pPr>
        <w:spacing w:after="0" w:line="211" w:lineRule="exact"/>
        <w:rPr>
          <w:sz w:val="24"/>
          <w:szCs w:val="24"/>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Both Bank One and ClearOne acknowledge that the Line of Credit has never been drawn upon and that there is no outstanding balance.</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ClearOne has no present intention of requesting a draw on the Line of Credit.</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17"/>
                <w:szCs w:val="17"/>
                <w:color w:val="auto"/>
              </w:rPr>
            </w:pPr>
          </w:p>
        </w:tc>
        <w:tc>
          <w:tcPr>
            <w:tcW w:w="4200" w:type="dxa"/>
            <w:vAlign w:val="bottom"/>
            <w:gridSpan w:val="2"/>
          </w:tcPr>
          <w:p>
            <w:pPr>
              <w:ind w:left="1260"/>
              <w:spacing w:after="0"/>
              <w:rPr>
                <w:sz w:val="20"/>
                <w:szCs w:val="20"/>
                <w:color w:val="auto"/>
              </w:rPr>
            </w:pPr>
            <w:r>
              <w:rPr>
                <w:rFonts w:ascii="Courier New" w:cs="Courier New" w:eastAsia="Courier New" w:hAnsi="Courier New"/>
                <w:sz w:val="18"/>
                <w:szCs w:val="18"/>
                <w:color w:val="auto"/>
                <w:w w:val="96"/>
              </w:rPr>
              <w:t>CLEARONE COMMUNICATIONS INC.</w:t>
            </w:r>
          </w:p>
        </w:tc>
      </w:tr>
      <w:tr>
        <w:trPr>
          <w:trHeight w:val="203"/>
        </w:trPr>
        <w:tc>
          <w:tcPr>
            <w:tcW w:w="2540" w:type="dxa"/>
            <w:vAlign w:val="bottom"/>
          </w:tcPr>
          <w:p>
            <w:pPr>
              <w:spacing w:after="0"/>
              <w:rPr>
                <w:sz w:val="17"/>
                <w:szCs w:val="17"/>
                <w:color w:val="auto"/>
              </w:rPr>
            </w:pPr>
          </w:p>
        </w:tc>
        <w:tc>
          <w:tcPr>
            <w:tcW w:w="174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(The</w:t>
            </w:r>
          </w:p>
        </w:tc>
        <w:tc>
          <w:tcPr>
            <w:tcW w:w="2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Registrant)</w:t>
            </w:r>
          </w:p>
        </w:tc>
      </w:tr>
      <w:tr>
        <w:trPr>
          <w:trHeight w:val="810"/>
        </w:trPr>
        <w:tc>
          <w:tcPr>
            <w:tcW w:w="2540" w:type="dxa"/>
            <w:vAlign w:val="bottom"/>
          </w:tcPr>
          <w:p>
            <w:pPr>
              <w:spacing w:after="0"/>
              <w:rPr>
                <w:sz w:val="20"/>
                <w:szCs w:val="20"/>
                <w:color w:val="auto"/>
              </w:rPr>
            </w:pPr>
            <w:r>
              <w:rPr>
                <w:rFonts w:ascii="Courier New" w:cs="Courier New" w:eastAsia="Courier New" w:hAnsi="Courier New"/>
                <w:sz w:val="18"/>
                <w:szCs w:val="18"/>
                <w:color w:val="auto"/>
              </w:rPr>
              <w:t>May 16, 2003</w:t>
            </w:r>
          </w:p>
        </w:tc>
        <w:tc>
          <w:tcPr>
            <w:tcW w:w="1740" w:type="dxa"/>
            <w:vAlign w:val="bottom"/>
          </w:tcPr>
          <w:p>
            <w:pPr>
              <w:ind w:left="1260"/>
              <w:spacing w:after="0"/>
              <w:rPr>
                <w:sz w:val="20"/>
                <w:szCs w:val="20"/>
                <w:color w:val="auto"/>
              </w:rPr>
            </w:pPr>
            <w:r>
              <w:rPr>
                <w:rFonts w:ascii="Courier New" w:cs="Courier New" w:eastAsia="Courier New" w:hAnsi="Courier New"/>
                <w:sz w:val="18"/>
                <w:szCs w:val="18"/>
                <w:color w:val="auto"/>
              </w:rPr>
              <w:t>By:</w:t>
            </w:r>
          </w:p>
        </w:tc>
        <w:tc>
          <w:tcPr>
            <w:tcW w:w="2460" w:type="dxa"/>
            <w:vAlign w:val="bottom"/>
          </w:tcPr>
          <w:p>
            <w:pPr>
              <w:ind w:left="40"/>
              <w:spacing w:after="0"/>
              <w:rPr>
                <w:sz w:val="20"/>
                <w:szCs w:val="20"/>
                <w:color w:val="auto"/>
              </w:rPr>
            </w:pPr>
            <w:r>
              <w:rPr>
                <w:rFonts w:ascii="Courier New" w:cs="Courier New" w:eastAsia="Courier New" w:hAnsi="Courier New"/>
                <w:sz w:val="18"/>
                <w:szCs w:val="18"/>
                <w:color w:val="auto"/>
              </w:rPr>
              <w:t>George Claffey</w:t>
            </w:r>
          </w:p>
        </w:tc>
      </w:tr>
    </w:tbl>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Its: Chief Financial Officer</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2019-12-13T18:06:31Z</dcterms:created>
  <dcterms:modified xsi:type="dcterms:W3CDTF">2019-12-13T18:06:31Z</dcterms:modified>
</cp:coreProperties>
</file>