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r>
        <w:rPr/>
      </w:r>
    </w:p>
    <w:p>
      <w:pPr>
        <w:pStyle w:val="TextBody"/>
        <w:bidi w:val="0"/>
        <w:spacing w:lineRule="atLeast" w:line="320" w:before="0" w:after="0"/>
        <w:ind w:left="0" w:right="0" w:hanging="0"/>
        <w:jc w:val="center"/>
        <w:rPr>
          <w:rFonts w:ascii="Times New Roman" w:hAnsi="Times New Roman"/>
          <w:b/>
          <w:sz w:val="32"/>
        </w:rPr>
      </w:pPr>
      <w:r>
        <w:rPr>
          <w:rFonts w:ascii="Times New Roman" w:hAnsi="Times New Roman"/>
          <w:b/>
          <w:sz w:val="32"/>
        </w:rPr>
        <w:t>UNITED STATES SECURITIES AND EXCHANGE COMMISSION</w:t>
      </w:r>
    </w:p>
    <w:p>
      <w:pPr>
        <w:pStyle w:val="TextBody"/>
        <w:bidi w:val="0"/>
        <w:spacing w:lineRule="atLeast" w:line="200" w:before="0" w:after="0"/>
        <w:ind w:left="0" w:right="0" w:hanging="0"/>
        <w:jc w:val="center"/>
        <w:rPr>
          <w:rFonts w:ascii="Times New Roman" w:hAnsi="Times New Roman"/>
          <w:sz w:val="20"/>
        </w:rPr>
      </w:pPr>
      <w:r>
        <w:rPr>
          <w:rFonts w:ascii="Times New Roman" w:hAnsi="Times New Roman"/>
          <w:sz w:val="20"/>
        </w:rPr>
        <w:t>WASHINGTON, D.C. 20549</w:t>
      </w:r>
    </w:p>
    <w:p>
      <w:pPr>
        <w:pStyle w:val="TextBody"/>
        <w:bidi w:val="0"/>
        <w:spacing w:lineRule="atLeast" w:line="200" w:before="0" w:after="0"/>
        <w:ind w:left="0" w:right="0" w:hanging="0"/>
        <w:jc w:val="center"/>
        <w:rPr/>
      </w:pPr>
      <w:r>
        <w:rPr/>
        <w:t> </w:t>
      </w:r>
    </w:p>
    <w:p>
      <w:pPr>
        <w:pStyle w:val="TextBody"/>
        <w:bidi w:val="0"/>
        <w:spacing w:lineRule="atLeast" w:line="360" w:before="0" w:after="0"/>
        <w:ind w:left="0" w:right="0" w:hanging="0"/>
        <w:jc w:val="center"/>
        <w:rPr>
          <w:rFonts w:ascii="Times New Roman" w:hAnsi="Times New Roman"/>
          <w:b/>
          <w:sz w:val="36"/>
        </w:rPr>
      </w:pPr>
      <w:r>
        <w:rPr>
          <w:rFonts w:ascii="Times New Roman" w:hAnsi="Times New Roman"/>
          <w:b/>
          <w:sz w:val="36"/>
        </w:rPr>
        <w:t>Form 10-K/A</w:t>
      </w:r>
    </w:p>
    <w:p>
      <w:pPr>
        <w:pStyle w:val="TextBody"/>
        <w:bidi w:val="0"/>
        <w:spacing w:lineRule="atLeast" w:line="200" w:before="0" w:after="0"/>
        <w:ind w:left="0" w:right="0" w:hanging="0"/>
        <w:jc w:val="center"/>
        <w:rPr>
          <w:rFonts w:ascii="Times New Roman" w:hAnsi="Times New Roman"/>
          <w:sz w:val="20"/>
        </w:rPr>
      </w:pPr>
      <w:r>
        <w:rPr>
          <w:rFonts w:ascii="Times New Roman" w:hAnsi="Times New Roman"/>
          <w:sz w:val="20"/>
        </w:rPr>
        <w:t>(Amendment No. 1)</w:t>
      </w:r>
    </w:p>
    <w:p>
      <w:pPr>
        <w:pStyle w:val="TextBody"/>
        <w:bidi w:val="0"/>
        <w:spacing w:lineRule="atLeast" w:line="200" w:before="0" w:after="0"/>
        <w:ind w:left="0" w:right="0" w:hanging="0"/>
        <w:jc w:val="left"/>
        <w:rPr>
          <w:rFonts w:ascii="Times New Roman" w:hAnsi="Times New Roman"/>
          <w:sz w:val="20"/>
        </w:rPr>
      </w:pPr>
      <w:r>
        <w:rPr>
          <w:rFonts w:ascii="Times New Roman" w:hAnsi="Times New Roman"/>
          <w:sz w:val="20"/>
        </w:rPr>
        <w:t>(Mark One)</w:t>
      </w:r>
    </w:p>
    <w:tbl>
      <w:tblPr>
        <w:tblW w:w="5000" w:type="pct"/>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0"/>
              <w:ind w:left="0" w:right="0" w:hanging="0"/>
              <w:jc w:val="left"/>
              <w:rPr/>
            </w:pPr>
            <w:r>
              <w:rPr/>
              <w:t xml:space="preserve">☒ </w:t>
            </w:r>
          </w:p>
        </w:tc>
        <w:tc>
          <w:tcPr>
            <w:tcW w:w="9890" w:type="dxa"/>
            <w:tcBorders/>
            <w:vAlign w:val="center"/>
          </w:tcPr>
          <w:p>
            <w:pPr>
              <w:pStyle w:val="TableContents"/>
              <w:bidi w:val="0"/>
              <w:spacing w:before="0" w:after="0"/>
              <w:ind w:left="0" w:right="0" w:hanging="0"/>
              <w:jc w:val="left"/>
              <w:rPr/>
            </w:pPr>
            <w:r>
              <w:rPr>
                <w:rFonts w:ascii="Times New Roman" w:hAnsi="Times New Roman"/>
                <w:b/>
                <w:sz w:val="20"/>
              </w:rPr>
              <w:t>ANNUAL REPORT PURSUANT TO SECTION 13</w:t>
            </w:r>
            <w:r>
              <w:rPr/>
              <w:t xml:space="preserve"> </w:t>
            </w:r>
            <w:r>
              <w:rPr>
                <w:rFonts w:ascii="Times New Roman" w:hAnsi="Times New Roman"/>
                <w:b/>
                <w:sz w:val="20"/>
              </w:rPr>
              <w:t>OR 15(d) OF THE SECURITIES EXCHANGE ACT OF 1934</w:t>
            </w:r>
            <w:r>
              <w:rPr/>
              <w:t xml:space="preserve"> </w:t>
            </w:r>
          </w:p>
        </w:tc>
      </w:tr>
      <w:tr>
        <w:trPr/>
        <w:tc>
          <w:tcPr>
            <w:tcW w:w="315" w:type="dxa"/>
            <w:tcBorders/>
            <w:vAlign w:val="center"/>
          </w:tcPr>
          <w:p>
            <w:pPr>
              <w:pStyle w:val="TableContents"/>
              <w:bidi w:val="0"/>
              <w:spacing w:before="0" w:after="0"/>
              <w:ind w:left="0" w:right="0" w:hanging="0"/>
              <w:jc w:val="left"/>
              <w:rPr/>
            </w:pPr>
            <w:r>
              <w:rPr/>
              <w:t xml:space="preserve">  </w:t>
            </w:r>
          </w:p>
        </w:tc>
        <w:tc>
          <w:tcPr>
            <w:tcW w:w="9890" w:type="dxa"/>
            <w:tcBorders/>
            <w:vAlign w:val="center"/>
          </w:tcPr>
          <w:p>
            <w:pPr>
              <w:pStyle w:val="TableContents"/>
              <w:bidi w:val="0"/>
              <w:spacing w:before="0" w:after="0"/>
              <w:ind w:left="0" w:right="0" w:hanging="0"/>
              <w:jc w:val="left"/>
              <w:rPr/>
            </w:pPr>
            <w:r>
              <w:rPr>
                <w:rFonts w:ascii="Times New Roman" w:hAnsi="Times New Roman"/>
                <w:sz w:val="20"/>
              </w:rPr>
              <w:t>For the fiscal year ended December 31, 2024</w:t>
            </w:r>
            <w:r>
              <w:rPr/>
              <w:t xml:space="preserve"> </w:t>
            </w:r>
          </w:p>
        </w:tc>
      </w:tr>
    </w:tbl>
    <w:p>
      <w:pPr>
        <w:pStyle w:val="TextBody"/>
        <w:bidi w:val="0"/>
        <w:spacing w:lineRule="atLeast" w:line="200" w:before="0" w:after="0"/>
        <w:ind w:left="288" w:right="288" w:hanging="0"/>
        <w:jc w:val="center"/>
        <w:rPr/>
      </w:pPr>
      <w:r>
        <w:rPr/>
        <w:t> </w:t>
      </w:r>
    </w:p>
    <w:tbl>
      <w:tblPr>
        <w:tblW w:w="5000" w:type="pct"/>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0"/>
              <w:ind w:left="0" w:right="0" w:hanging="0"/>
              <w:jc w:val="left"/>
              <w:rPr/>
            </w:pPr>
            <w:r>
              <w:rPr/>
              <w:t xml:space="preserve">☐ </w:t>
            </w:r>
          </w:p>
        </w:tc>
        <w:tc>
          <w:tcPr>
            <w:tcW w:w="9902" w:type="dxa"/>
            <w:tcBorders/>
            <w:vAlign w:val="center"/>
          </w:tcPr>
          <w:p>
            <w:pPr>
              <w:pStyle w:val="TableContents"/>
              <w:bidi w:val="0"/>
              <w:spacing w:before="0" w:after="0"/>
              <w:ind w:left="0" w:right="0" w:hanging="0"/>
              <w:jc w:val="left"/>
              <w:rPr/>
            </w:pPr>
            <w:r>
              <w:rPr>
                <w:rFonts w:ascii="Times New Roman" w:hAnsi="Times New Roman"/>
                <w:b/>
                <w:sz w:val="20"/>
              </w:rPr>
              <w:t>TRANSITION REPORT PURSUANT TO SECTION 13</w:t>
            </w:r>
            <w:r>
              <w:rPr/>
              <w:t xml:space="preserve"> </w:t>
            </w:r>
            <w:r>
              <w:rPr>
                <w:rFonts w:ascii="Times New Roman" w:hAnsi="Times New Roman"/>
                <w:b/>
                <w:sz w:val="20"/>
              </w:rPr>
              <w:t>OR 15(d) OF THE SECURITIES EXCHANGE ACT OF 1934</w:t>
            </w:r>
            <w:r>
              <w:rPr/>
              <w:t xml:space="preserve"> </w:t>
            </w:r>
          </w:p>
        </w:tc>
      </w:tr>
      <w:tr>
        <w:trPr/>
        <w:tc>
          <w:tcPr>
            <w:tcW w:w="303" w:type="dxa"/>
            <w:tcBorders/>
            <w:vAlign w:val="center"/>
          </w:tcPr>
          <w:p>
            <w:pPr>
              <w:pStyle w:val="TableContents"/>
              <w:bidi w:val="0"/>
              <w:spacing w:before="0" w:after="0"/>
              <w:ind w:left="0" w:right="0" w:hanging="0"/>
              <w:jc w:val="left"/>
              <w:rPr/>
            </w:pPr>
            <w:r>
              <w:rPr/>
              <w:t xml:space="preserve">  </w:t>
            </w:r>
          </w:p>
        </w:tc>
        <w:tc>
          <w:tcPr>
            <w:tcW w:w="9902" w:type="dxa"/>
            <w:tcBorders/>
            <w:vAlign w:val="center"/>
          </w:tcPr>
          <w:p>
            <w:pPr>
              <w:pStyle w:val="TableContents"/>
              <w:bidi w:val="0"/>
              <w:spacing w:before="0" w:after="0"/>
              <w:ind w:left="0" w:right="0" w:hanging="0"/>
              <w:jc w:val="left"/>
              <w:rPr/>
            </w:pPr>
            <w:r>
              <w:rPr>
                <w:rFonts w:ascii="Times New Roman" w:hAnsi="Times New Roman"/>
                <w:sz w:val="20"/>
              </w:rPr>
              <w:t>For the transition period from _________ to _________</w:t>
            </w:r>
            <w:r>
              <w:rPr/>
              <w:t> </w:t>
            </w:r>
          </w:p>
        </w:tc>
      </w:tr>
    </w:tbl>
    <w:p>
      <w:pPr>
        <w:pStyle w:val="TextBody"/>
        <w:bidi w:val="0"/>
        <w:spacing w:lineRule="atLeast" w:line="200" w:before="0" w:after="0"/>
        <w:ind w:left="288" w:right="288" w:hanging="0"/>
        <w:jc w:val="center"/>
        <w:rPr/>
      </w:pPr>
      <w:r>
        <w:rPr/>
        <w:t> </w:t>
      </w:r>
    </w:p>
    <w:p>
      <w:pPr>
        <w:pStyle w:val="TextBody"/>
        <w:bidi w:val="0"/>
        <w:spacing w:lineRule="atLeast" w:line="200" w:before="0" w:after="0"/>
        <w:ind w:left="0" w:right="0" w:hanging="0"/>
        <w:jc w:val="left"/>
        <w:rPr>
          <w:rFonts w:ascii="times new roman;times" w:hAnsi="times new roman;times"/>
          <w:sz w:val="20"/>
        </w:rPr>
      </w:pPr>
      <w:r>
        <w:rPr>
          <w:rFonts w:ascii="Times New Roman" w:hAnsi="Times New Roman"/>
          <w:sz w:val="20"/>
        </w:rPr>
        <w:t xml:space="preserve">Commission file number </w:t>
      </w:r>
      <w:r>
        <w:rPr>
          <w:rFonts w:ascii="Times New Roman" w:hAnsi="Times New Roman"/>
          <w:sz w:val="20"/>
          <w:u w:val="single"/>
        </w:rPr>
        <w:t>001-33660</w:t>
      </w:r>
    </w:p>
    <w:p>
      <w:pPr>
        <w:pStyle w:val="TextBody"/>
        <w:bidi w:val="0"/>
        <w:spacing w:lineRule="atLeast" w:line="200" w:before="0" w:after="0"/>
        <w:ind w:left="0" w:right="0" w:hanging="0"/>
        <w:jc w:val="left"/>
        <w:rPr/>
      </w:pPr>
      <w:r>
        <w:rPr/>
        <w:t> </w:t>
      </w:r>
    </w:p>
    <w:p>
      <w:pPr>
        <w:pStyle w:val="TextBody"/>
        <w:bidi w:val="0"/>
        <w:spacing w:lineRule="atLeast" w:line="360" w:before="0" w:after="0"/>
        <w:ind w:left="0" w:right="0" w:hanging="0"/>
        <w:jc w:val="center"/>
        <w:rPr>
          <w:rFonts w:ascii="Times New Roman" w:hAnsi="Times New Roman"/>
          <w:b/>
          <w:sz w:val="36"/>
        </w:rPr>
      </w:pPr>
      <w:r>
        <w:rPr>
          <w:rFonts w:ascii="Times New Roman" w:hAnsi="Times New Roman"/>
          <w:b/>
          <w:sz w:val="36"/>
        </w:rPr>
        <w:t>CLEARONE, INC.</w:t>
      </w:r>
    </w:p>
    <w:p>
      <w:pPr>
        <w:pStyle w:val="TextBody"/>
        <w:bidi w:val="0"/>
        <w:spacing w:lineRule="atLeast" w:line="200"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bl>
      <w:tblPr>
        <w:tblW w:w="5000" w:type="pct"/>
        <w:jc w:val="left"/>
        <w:tblInd w:w="0" w:type="dxa"/>
        <w:tblLayout w:type="fixed"/>
        <w:tblCellMar>
          <w:top w:w="0" w:type="dxa"/>
          <w:left w:w="0" w:type="dxa"/>
          <w:bottom w:w="0" w:type="dxa"/>
          <w:right w:w="0" w:type="dxa"/>
        </w:tblCellMar>
      </w:tblPr>
      <w:tblGrid>
        <w:gridCol w:w="6010"/>
        <w:gridCol w:w="167"/>
        <w:gridCol w:w="4028"/>
      </w:tblGrid>
      <w:tr>
        <w:trPr/>
        <w:tc>
          <w:tcPr>
            <w:tcW w:w="6010" w:type="dxa"/>
            <w:tcBorders/>
            <w:vAlign w:val="center"/>
          </w:tcPr>
          <w:p>
            <w:pPr>
              <w:pStyle w:val="TableContents"/>
              <w:bidi w:val="0"/>
              <w:spacing w:before="0" w:after="0"/>
              <w:ind w:left="0" w:right="0" w:hanging="0"/>
              <w:jc w:val="center"/>
              <w:rPr/>
            </w:pPr>
            <w:r>
              <w:rPr>
                <w:rFonts w:ascii="Times New Roman" w:hAnsi="Times New Roman"/>
                <w:b/>
                <w:sz w:val="20"/>
              </w:rPr>
              <w:t>Delaware</w:t>
            </w:r>
            <w:r>
              <w:rPr/>
              <w:t xml:space="preserve"> </w:t>
            </w:r>
          </w:p>
        </w:tc>
        <w:tc>
          <w:tcPr>
            <w:tcW w:w="167" w:type="dxa"/>
            <w:tcBorders/>
            <w:vAlign w:val="center"/>
          </w:tcPr>
          <w:p>
            <w:pPr>
              <w:pStyle w:val="TableContents"/>
              <w:bidi w:val="0"/>
              <w:spacing w:before="0" w:after="0"/>
              <w:ind w:left="0" w:right="16" w:hanging="0"/>
              <w:jc w:val="left"/>
              <w:rPr/>
            </w:pPr>
            <w:r>
              <w:rPr/>
              <w:t xml:space="preserve">  </w:t>
            </w:r>
          </w:p>
        </w:tc>
        <w:tc>
          <w:tcPr>
            <w:tcW w:w="4028" w:type="dxa"/>
            <w:tcBorders/>
            <w:vAlign w:val="center"/>
          </w:tcPr>
          <w:p>
            <w:pPr>
              <w:pStyle w:val="TableContents"/>
              <w:bidi w:val="0"/>
              <w:spacing w:before="0" w:after="0"/>
              <w:ind w:left="0" w:right="16" w:hanging="0"/>
              <w:jc w:val="center"/>
              <w:rPr/>
            </w:pPr>
            <w:r>
              <w:rPr>
                <w:rFonts w:ascii="Times New Roman" w:hAnsi="Times New Roman"/>
                <w:b/>
                <w:sz w:val="20"/>
              </w:rPr>
              <w:t>87-0398877</w:t>
            </w:r>
            <w:r>
              <w:rPr/>
              <w:t xml:space="preserve"> </w:t>
            </w:r>
          </w:p>
        </w:tc>
      </w:tr>
      <w:tr>
        <w:trPr/>
        <w:tc>
          <w:tcPr>
            <w:tcW w:w="6010" w:type="dxa"/>
            <w:tcBorders/>
            <w:vAlign w:val="center"/>
          </w:tcPr>
          <w:p>
            <w:pPr>
              <w:pStyle w:val="TableContents"/>
              <w:bidi w:val="0"/>
              <w:spacing w:before="0" w:after="0"/>
              <w:ind w:left="0" w:right="16" w:hanging="0"/>
              <w:jc w:val="center"/>
              <w:rPr/>
            </w:pPr>
            <w:r>
              <w:rPr>
                <w:rFonts w:ascii="Times New Roman" w:hAnsi="Times New Roman"/>
                <w:sz w:val="20"/>
              </w:rPr>
              <w:t>(State or other jurisdiction of</w:t>
            </w:r>
            <w:r>
              <w:rPr/>
              <w:t> </w:t>
            </w:r>
            <w:r>
              <w:rPr>
                <w:rFonts w:ascii="Times New Roman" w:hAnsi="Times New Roman"/>
                <w:sz w:val="20"/>
              </w:rPr>
              <w:t>incorporation or organization)</w:t>
            </w:r>
          </w:p>
        </w:tc>
        <w:tc>
          <w:tcPr>
            <w:tcW w:w="167" w:type="dxa"/>
            <w:tcBorders/>
            <w:vAlign w:val="center"/>
          </w:tcPr>
          <w:p>
            <w:pPr>
              <w:pStyle w:val="TableContents"/>
              <w:bidi w:val="0"/>
              <w:spacing w:before="0" w:after="0"/>
              <w:ind w:left="0" w:right="16" w:hanging="0"/>
              <w:jc w:val="left"/>
              <w:rPr/>
            </w:pPr>
            <w:r>
              <w:rPr/>
              <w:t xml:space="preserve">  </w:t>
            </w:r>
          </w:p>
        </w:tc>
        <w:tc>
          <w:tcPr>
            <w:tcW w:w="4028" w:type="dxa"/>
            <w:tcBorders/>
            <w:vAlign w:val="center"/>
          </w:tcPr>
          <w:p>
            <w:pPr>
              <w:pStyle w:val="TableContents"/>
              <w:bidi w:val="0"/>
              <w:spacing w:before="0" w:after="0"/>
              <w:ind w:left="0" w:right="16" w:hanging="0"/>
              <w:jc w:val="center"/>
              <w:rPr/>
            </w:pPr>
            <w:r>
              <w:rPr>
                <w:rFonts w:ascii="Times New Roman" w:hAnsi="Times New Roman"/>
                <w:sz w:val="20"/>
              </w:rPr>
              <w:t>(I.R.S. employer</w:t>
            </w:r>
            <w:r>
              <w:rPr/>
              <w:t> </w:t>
            </w:r>
            <w:r>
              <w:rPr>
                <w:rFonts w:ascii="Times New Roman" w:hAnsi="Times New Roman"/>
                <w:sz w:val="20"/>
              </w:rPr>
              <w:t xml:space="preserve">identification number) </w:t>
            </w:r>
          </w:p>
        </w:tc>
      </w:tr>
    </w:tbl>
    <w:p>
      <w:pPr>
        <w:pStyle w:val="TextBody"/>
        <w:bidi w:val="0"/>
        <w:spacing w:lineRule="atLeast" w:line="200" w:before="0" w:after="0"/>
        <w:ind w:left="294" w:right="294" w:hanging="0"/>
        <w:jc w:val="left"/>
        <w:rPr/>
      </w:pPr>
      <w:r>
        <w:rPr/>
        <w:t> </w:t>
      </w:r>
    </w:p>
    <w:tbl>
      <w:tblPr>
        <w:tblW w:w="5000" w:type="pct"/>
        <w:jc w:val="left"/>
        <w:tblInd w:w="0" w:type="dxa"/>
        <w:tblLayout w:type="fixed"/>
        <w:tblCellMar>
          <w:top w:w="0" w:type="dxa"/>
          <w:left w:w="0" w:type="dxa"/>
          <w:bottom w:w="0" w:type="dxa"/>
          <w:right w:w="0" w:type="dxa"/>
        </w:tblCellMar>
      </w:tblPr>
      <w:tblGrid>
        <w:gridCol w:w="8209"/>
        <w:gridCol w:w="243"/>
        <w:gridCol w:w="1753"/>
      </w:tblGrid>
      <w:tr>
        <w:trPr/>
        <w:tc>
          <w:tcPr>
            <w:tcW w:w="8209" w:type="dxa"/>
            <w:tcBorders/>
            <w:vAlign w:val="center"/>
          </w:tcPr>
          <w:p>
            <w:pPr>
              <w:pStyle w:val="TableContents"/>
              <w:bidi w:val="0"/>
              <w:spacing w:before="0" w:after="0"/>
              <w:ind w:left="0" w:right="0" w:hanging="0"/>
              <w:jc w:val="center"/>
              <w:rPr/>
            </w:pPr>
            <w:r>
              <w:rPr>
                <w:rFonts w:ascii="Times New Roman" w:hAnsi="Times New Roman"/>
                <w:b/>
                <w:sz w:val="20"/>
              </w:rPr>
              <w:t>5225 Wiley Post Way, Suite 500, Salt Lake City, Utah</w:t>
            </w:r>
            <w:r>
              <w:rPr/>
              <w:t xml:space="preserve"> </w:t>
            </w:r>
          </w:p>
        </w:tc>
        <w:tc>
          <w:tcPr>
            <w:tcW w:w="243" w:type="dxa"/>
            <w:tcBorders/>
            <w:vAlign w:val="center"/>
          </w:tcPr>
          <w:p>
            <w:pPr>
              <w:pStyle w:val="TableContents"/>
              <w:bidi w:val="0"/>
              <w:spacing w:before="0" w:after="0"/>
              <w:ind w:left="0" w:right="16" w:hanging="0"/>
              <w:jc w:val="left"/>
              <w:rPr/>
            </w:pPr>
            <w:r>
              <w:rPr/>
              <w:t xml:space="preserve">  </w:t>
            </w:r>
          </w:p>
        </w:tc>
        <w:tc>
          <w:tcPr>
            <w:tcW w:w="1753" w:type="dxa"/>
            <w:tcBorders/>
            <w:vAlign w:val="center"/>
          </w:tcPr>
          <w:p>
            <w:pPr>
              <w:pStyle w:val="TableContents"/>
              <w:bidi w:val="0"/>
              <w:spacing w:before="0" w:after="0"/>
              <w:ind w:left="0" w:right="16" w:hanging="0"/>
              <w:jc w:val="center"/>
              <w:rPr/>
            </w:pPr>
            <w:r>
              <w:rPr>
                <w:rFonts w:ascii="Times New Roman" w:hAnsi="Times New Roman"/>
                <w:b/>
                <w:sz w:val="20"/>
              </w:rPr>
              <w:t>84116</w:t>
            </w:r>
            <w:r>
              <w:rPr/>
              <w:t xml:space="preserve"> </w:t>
            </w:r>
          </w:p>
        </w:tc>
      </w:tr>
      <w:tr>
        <w:trPr/>
        <w:tc>
          <w:tcPr>
            <w:tcW w:w="8209" w:type="dxa"/>
            <w:tcBorders/>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 xml:space="preserve">(Address of principal executive offices) </w:t>
            </w:r>
          </w:p>
        </w:tc>
        <w:tc>
          <w:tcPr>
            <w:tcW w:w="243" w:type="dxa"/>
            <w:tcBorders/>
            <w:vAlign w:val="center"/>
          </w:tcPr>
          <w:p>
            <w:pPr>
              <w:pStyle w:val="TableContents"/>
              <w:bidi w:val="0"/>
              <w:spacing w:before="0" w:after="0"/>
              <w:ind w:left="0" w:right="16" w:hanging="0"/>
              <w:jc w:val="left"/>
              <w:rPr/>
            </w:pPr>
            <w:r>
              <w:rPr/>
              <w:t xml:space="preserve">  </w:t>
            </w:r>
          </w:p>
        </w:tc>
        <w:tc>
          <w:tcPr>
            <w:tcW w:w="1753" w:type="dxa"/>
            <w:tcBorders/>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lineRule="atLeast" w:line="200" w:before="0" w:after="0"/>
        <w:ind w:left="0" w:right="0" w:hanging="0"/>
        <w:jc w:val="left"/>
        <w:rPr/>
      </w:pPr>
      <w:r>
        <w:rPr/>
        <w:t> </w:t>
      </w:r>
    </w:p>
    <w:p>
      <w:pPr>
        <w:pStyle w:val="TextBody"/>
        <w:bidi w:val="0"/>
        <w:spacing w:lineRule="atLeast" w:line="200" w:before="0" w:after="0"/>
        <w:ind w:left="0" w:right="0" w:hanging="0"/>
        <w:jc w:val="both"/>
        <w:rPr>
          <w:rFonts w:ascii="times new roman;times" w:hAnsi="times new roman;times"/>
          <w:sz w:val="20"/>
        </w:rPr>
      </w:pPr>
      <w:r>
        <w:rPr>
          <w:rFonts w:ascii="Times New Roman" w:hAnsi="Times New Roman"/>
          <w:sz w:val="20"/>
        </w:rPr>
        <w:t xml:space="preserve">Registrant’s telephone number, including area code: </w:t>
      </w:r>
      <w:r>
        <w:rPr>
          <w:rFonts w:ascii="Times New Roman" w:hAnsi="Times New Roman"/>
          <w:sz w:val="20"/>
          <w:u w:val="single"/>
        </w:rPr>
        <w:t>(801)</w:t>
      </w:r>
      <w:r>
        <w:rPr>
          <w:rFonts w:ascii="times new roman;times" w:hAnsi="times new roman;times"/>
          <w:sz w:val="20"/>
        </w:rPr>
        <w:t xml:space="preserve"> </w:t>
      </w:r>
      <w:r>
        <w:rPr>
          <w:rFonts w:ascii="Times New Roman" w:hAnsi="Times New Roman"/>
          <w:sz w:val="20"/>
          <w:u w:val="single"/>
        </w:rPr>
        <w:t>975-7200</w:t>
      </w:r>
    </w:p>
    <w:p>
      <w:pPr>
        <w:pStyle w:val="TextBody"/>
        <w:bidi w:val="0"/>
        <w:spacing w:lineRule="atLeast" w:line="200" w:before="0" w:after="0"/>
        <w:ind w:left="0" w:right="0" w:hanging="0"/>
        <w:jc w:val="left"/>
        <w:rPr/>
      </w:pPr>
      <w:r>
        <w:rPr/>
        <w:t> </w:t>
      </w:r>
    </w:p>
    <w:p>
      <w:pPr>
        <w:pStyle w:val="TextBody"/>
        <w:bidi w:val="0"/>
        <w:spacing w:lineRule="atLeast" w:line="200" w:before="0" w:after="0"/>
        <w:ind w:left="0" w:right="0" w:hanging="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lineRule="atLeast" w:line="200"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389"/>
        <w:gridCol w:w="72"/>
        <w:gridCol w:w="2094"/>
        <w:gridCol w:w="72"/>
        <w:gridCol w:w="4578"/>
      </w:tblGrid>
      <w:tr>
        <w:trPr/>
        <w:tc>
          <w:tcPr>
            <w:tcW w:w="3389"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Title of each class </w:t>
            </w:r>
          </w:p>
        </w:tc>
        <w:tc>
          <w:tcPr>
            <w:tcW w:w="72" w:type="dxa"/>
            <w:tcBorders/>
            <w:vAlign w:val="center"/>
          </w:tcPr>
          <w:p>
            <w:pPr>
              <w:pStyle w:val="TableContents"/>
              <w:bidi w:val="0"/>
              <w:spacing w:before="0" w:after="0"/>
              <w:ind w:left="0" w:right="0" w:hanging="0"/>
              <w:jc w:val="left"/>
              <w:rPr/>
            </w:pPr>
            <w:r>
              <w:rPr/>
              <w:t> </w:t>
            </w:r>
          </w:p>
        </w:tc>
        <w:tc>
          <w:tcPr>
            <w:tcW w:w="2094" w:type="dxa"/>
            <w:tcBorders/>
            <w:vAlign w:val="center"/>
          </w:tcPr>
          <w:p>
            <w:pPr>
              <w:pStyle w:val="TableContents"/>
              <w:bidi w:val="0"/>
              <w:spacing w:before="0" w:after="0"/>
              <w:ind w:left="0" w:right="16" w:hanging="0"/>
              <w:jc w:val="center"/>
              <w:rPr/>
            </w:pPr>
            <w:r>
              <w:rPr/>
              <w:t xml:space="preserve">  </w:t>
            </w:r>
            <w:r>
              <w:rPr>
                <w:rFonts w:ascii="Times New Roman" w:hAnsi="Times New Roman"/>
                <w:b/>
                <w:sz w:val="20"/>
              </w:rPr>
              <w:t>Trading Symbol(s)</w:t>
            </w:r>
          </w:p>
        </w:tc>
        <w:tc>
          <w:tcPr>
            <w:tcW w:w="72" w:type="dxa"/>
            <w:tcBorders/>
            <w:vAlign w:val="center"/>
          </w:tcPr>
          <w:p>
            <w:pPr>
              <w:pStyle w:val="TableContents"/>
              <w:bidi w:val="0"/>
              <w:spacing w:before="0" w:after="0"/>
              <w:ind w:left="0" w:right="0" w:hanging="0"/>
              <w:jc w:val="left"/>
              <w:rPr/>
            </w:pPr>
            <w:r>
              <w:rPr/>
              <w:t> </w:t>
            </w:r>
          </w:p>
        </w:tc>
        <w:tc>
          <w:tcPr>
            <w:tcW w:w="4578" w:type="dxa"/>
            <w:tcBorders/>
            <w:vAlign w:val="center"/>
          </w:tcPr>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 xml:space="preserve">Name on each exchange on which registered </w:t>
            </w:r>
          </w:p>
        </w:tc>
      </w:tr>
      <w:tr>
        <w:trPr/>
        <w:tc>
          <w:tcPr>
            <w:tcW w:w="3389" w:type="dxa"/>
            <w:tcBorders/>
            <w:vAlign w:val="center"/>
          </w:tcPr>
          <w:p>
            <w:pPr>
              <w:pStyle w:val="TableContents"/>
              <w:bidi w:val="0"/>
              <w:spacing w:before="0" w:after="0"/>
              <w:ind w:left="0" w:right="16" w:hanging="0"/>
              <w:jc w:val="center"/>
              <w:rPr/>
            </w:pPr>
            <w:r>
              <w:rPr>
                <w:rFonts w:ascii="Times New Roman" w:hAnsi="Times New Roman"/>
                <w:sz w:val="20"/>
              </w:rPr>
              <w:t>Common Stock, $0.001 par value</w:t>
            </w:r>
            <w:r>
              <w:rPr/>
              <w:t xml:space="preserve"> </w:t>
            </w:r>
          </w:p>
        </w:tc>
        <w:tc>
          <w:tcPr>
            <w:tcW w:w="72" w:type="dxa"/>
            <w:tcBorders/>
            <w:vAlign w:val="center"/>
          </w:tcPr>
          <w:p>
            <w:pPr>
              <w:pStyle w:val="TableContents"/>
              <w:bidi w:val="0"/>
              <w:spacing w:before="0" w:after="0"/>
              <w:ind w:left="0" w:right="0" w:hanging="0"/>
              <w:jc w:val="left"/>
              <w:rPr/>
            </w:pPr>
            <w:r>
              <w:rPr/>
              <w:t> </w:t>
            </w:r>
          </w:p>
        </w:tc>
        <w:tc>
          <w:tcPr>
            <w:tcW w:w="2094" w:type="dxa"/>
            <w:tcBorders/>
            <w:vAlign w:val="center"/>
          </w:tcPr>
          <w:p>
            <w:pPr>
              <w:pStyle w:val="TableContents"/>
              <w:bidi w:val="0"/>
              <w:spacing w:before="0" w:after="0"/>
              <w:ind w:left="0" w:right="16" w:hanging="0"/>
              <w:jc w:val="center"/>
              <w:rPr/>
            </w:pPr>
            <w:r>
              <w:rPr/>
              <w:t xml:space="preserve">  </w:t>
            </w:r>
            <w:r>
              <w:rPr>
                <w:rFonts w:ascii="Times New Roman" w:hAnsi="Times New Roman"/>
                <w:sz w:val="20"/>
              </w:rPr>
              <w:t>CLRO</w:t>
            </w:r>
          </w:p>
        </w:tc>
        <w:tc>
          <w:tcPr>
            <w:tcW w:w="72" w:type="dxa"/>
            <w:tcBorders/>
            <w:vAlign w:val="center"/>
          </w:tcPr>
          <w:p>
            <w:pPr>
              <w:pStyle w:val="TableContents"/>
              <w:bidi w:val="0"/>
              <w:spacing w:before="0" w:after="0"/>
              <w:ind w:left="0" w:right="0" w:hanging="0"/>
              <w:jc w:val="left"/>
              <w:rPr/>
            </w:pPr>
            <w:r>
              <w:rPr/>
              <w:t> </w:t>
            </w:r>
          </w:p>
        </w:tc>
        <w:tc>
          <w:tcPr>
            <w:tcW w:w="4578" w:type="dxa"/>
            <w:tcBorders/>
            <w:vAlign w:val="center"/>
          </w:tcPr>
          <w:p>
            <w:pPr>
              <w:pStyle w:val="TableContents"/>
              <w:bidi w:val="0"/>
              <w:spacing w:before="0" w:after="0"/>
              <w:ind w:left="0" w:right="16" w:hanging="0"/>
              <w:jc w:val="center"/>
              <w:rPr/>
            </w:pPr>
            <w:r>
              <w:rPr>
                <w:rFonts w:ascii="Times New Roman" w:hAnsi="Times New Roman"/>
                <w:sz w:val="20"/>
              </w:rPr>
              <w:t>The Nasdaq</w:t>
            </w:r>
            <w:r>
              <w:rPr/>
              <w:t> </w:t>
            </w:r>
            <w:r>
              <w:rPr>
                <w:rFonts w:ascii="Times New Roman" w:hAnsi="Times New Roman"/>
                <w:sz w:val="20"/>
              </w:rPr>
              <w:t>Capital Market</w:t>
            </w:r>
            <w:r>
              <w:rPr/>
              <w:t xml:space="preserve"> </w:t>
            </w:r>
          </w:p>
        </w:tc>
      </w:tr>
    </w:tbl>
    <w:p>
      <w:pPr>
        <w:pStyle w:val="TextBody"/>
        <w:bidi w:val="0"/>
        <w:spacing w:lineRule="atLeast" w:line="200" w:before="0" w:after="0"/>
        <w:ind w:left="294" w:right="294" w:hanging="0"/>
        <w:jc w:val="left"/>
        <w:rPr/>
      </w:pPr>
      <w:r>
        <w:rPr/>
        <w:t> </w:t>
      </w:r>
    </w:p>
    <w:p>
      <w:pPr>
        <w:pStyle w:val="TextBody"/>
        <w:bidi w:val="0"/>
        <w:spacing w:lineRule="atLeast" w:line="200" w:before="0" w:after="0"/>
        <w:ind w:left="0" w:right="0" w:hanging="0"/>
        <w:jc w:val="center"/>
        <w:rPr>
          <w:rFonts w:ascii="Times New Roman" w:hAnsi="Times New Roman"/>
          <w:sz w:val="20"/>
        </w:rPr>
      </w:pPr>
      <w:r>
        <w:rPr>
          <w:rFonts w:ascii="Times New Roman" w:hAnsi="Times New Roman"/>
          <w:sz w:val="20"/>
        </w:rPr>
        <w:t>Securities registered pursuant to Section 12(g) of the Act: None</w:t>
      </w:r>
    </w:p>
    <w:p>
      <w:pPr>
        <w:pStyle w:val="TextBody"/>
        <w:bidi w:val="0"/>
        <w:spacing w:lineRule="atLeast" w:line="200" w:before="0" w:after="0"/>
        <w:ind w:left="0" w:right="0" w:hanging="0"/>
        <w:jc w:val="center"/>
        <w:rPr>
          <w:rFonts w:ascii="Times New Roman" w:hAnsi="Times New Roman"/>
          <w:sz w:val="20"/>
        </w:rPr>
      </w:pPr>
      <w:r>
        <w:rPr>
          <w:rFonts w:ascii="Times New Roman" w:hAnsi="Times New Roman"/>
          <w:sz w:val="20"/>
        </w:rPr>
        <w:t>________________</w:t>
      </w:r>
    </w:p>
    <w:p>
      <w:pPr>
        <w:pStyle w:val="TextBody"/>
        <w:bidi w:val="0"/>
        <w:spacing w:lineRule="atLeast" w:line="240" w:before="0" w:after="0"/>
        <w:ind w:left="0" w:right="0" w:hanging="0"/>
        <w:jc w:val="center"/>
        <w:rPr/>
      </w:pPr>
      <w:r>
        <w:rPr/>
        <w:t> </w:t>
      </w:r>
    </w:p>
    <w:p>
      <w:pPr>
        <w:pStyle w:val="TextBody"/>
        <w:bidi w:val="0"/>
        <w:spacing w:lineRule="atLeast" w:line="240" w:before="0" w:after="0"/>
        <w:ind w:left="0" w:right="0" w:hanging="0"/>
        <w:jc w:val="both"/>
        <w:rPr>
          <w:rFonts w:ascii="times new roman;times" w:hAnsi="times new roman;times"/>
          <w:sz w:val="20"/>
        </w:rPr>
      </w:pPr>
      <w:r>
        <w:rPr>
          <w:rFonts w:ascii="Times New Roman" w:hAnsi="Times New Roman"/>
          <w:sz w:val="20"/>
        </w:rPr>
        <w:t>Indicate by check mark if the registrant is a well-known seasoned issuer, as defined in Rule 405</w:t>
      </w:r>
      <w:r>
        <w:rPr>
          <w:rFonts w:ascii="times new roman;times" w:hAnsi="times new roman;times"/>
          <w:sz w:val="20"/>
        </w:rPr>
        <w:t xml:space="preserve"> </w:t>
      </w:r>
      <w:r>
        <w:rPr>
          <w:rFonts w:ascii="Times New Roman" w:hAnsi="Times New Roman"/>
          <w:sz w:val="20"/>
        </w:rPr>
        <w:t xml:space="preserve">of the Securities Act.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bidi w:val="0"/>
        <w:spacing w:lineRule="atLeast" w:line="240" w:before="0" w:after="0"/>
        <w:ind w:left="0" w:right="0" w:hanging="0"/>
        <w:jc w:val="left"/>
        <w:rPr/>
      </w:pPr>
      <w:r>
        <w:rPr/>
        <w:t> </w:t>
      </w:r>
    </w:p>
    <w:p>
      <w:pPr>
        <w:pStyle w:val="TextBody"/>
        <w:bidi w:val="0"/>
        <w:spacing w:lineRule="atLeast" w:line="240" w:before="0" w:after="0"/>
        <w:ind w:left="0" w:right="0" w:hanging="0"/>
        <w:jc w:val="both"/>
        <w:rPr>
          <w:rFonts w:ascii="times new roman;times" w:hAnsi="times new roman;times"/>
          <w:sz w:val="20"/>
        </w:rPr>
      </w:pPr>
      <w:r>
        <w:rPr>
          <w:rFonts w:ascii="Times New Roman" w:hAnsi="Times New Roman"/>
          <w:sz w:val="20"/>
        </w:rPr>
        <w:t>Indicate by check mark if the registrant is not required to file reports pursuant to Section 13</w:t>
      </w:r>
      <w:r>
        <w:rPr>
          <w:rFonts w:ascii="times new roman;times" w:hAnsi="times new roman;times"/>
          <w:sz w:val="20"/>
        </w:rPr>
        <w:t xml:space="preserve"> </w:t>
      </w:r>
      <w:r>
        <w:rPr>
          <w:rFonts w:ascii="Times New Roman" w:hAnsi="Times New Roman"/>
          <w:sz w:val="20"/>
        </w:rPr>
        <w:t xml:space="preserve">or Section 15(d) of the Act.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bidi w:val="0"/>
        <w:spacing w:lineRule="atLeast" w:line="240" w:before="0" w:after="0"/>
        <w:ind w:left="0" w:right="0" w:hanging="0"/>
        <w:jc w:val="left"/>
        <w:rPr/>
      </w:pPr>
      <w:r>
        <w:rPr/>
        <w:t> </w:t>
      </w:r>
    </w:p>
    <w:p>
      <w:pPr>
        <w:pStyle w:val="TextBody"/>
        <w:bidi w:val="0"/>
        <w:spacing w:lineRule="atLeast" w:line="240" w:before="0" w:after="0"/>
        <w:ind w:left="0" w:right="0" w:hanging="0"/>
        <w:jc w:val="both"/>
        <w:rPr>
          <w:rFonts w:ascii="times new roman;times" w:hAnsi="times new roman;times"/>
          <w:sz w:val="20"/>
        </w:rPr>
      </w:pPr>
      <w:r>
        <w:rPr>
          <w:rFonts w:ascii="Times New Roman" w:hAnsi="Times New Roman"/>
          <w:sz w:val="20"/>
        </w:rPr>
        <w:t>Indicate by check mark whether the registrant (1) has filed all reports required to be filed by Section 13</w:t>
      </w:r>
      <w:r>
        <w:rPr>
          <w:rFonts w:ascii="times new roman;times" w:hAnsi="times new roman;times"/>
          <w:sz w:val="20"/>
        </w:rPr>
        <w:t xml:space="preserve"> </w:t>
      </w:r>
      <w:r>
        <w:rPr>
          <w:rFonts w:ascii="Times New Roman" w:hAnsi="Times New Roman"/>
          <w:sz w:val="20"/>
        </w:rPr>
        <w:t>or 15(d) of the Securities Exchange Act of 1934</w:t>
      </w:r>
      <w:r>
        <w:rPr>
          <w:rFonts w:ascii="times new roman;times" w:hAnsi="times new roman;times"/>
          <w:sz w:val="20"/>
        </w:rPr>
        <w:t xml:space="preserve"> </w:t>
      </w:r>
      <w:r>
        <w:rPr>
          <w:rFonts w:ascii="Times New Roman" w:hAnsi="Times New Roman"/>
          <w:sz w:val="20"/>
        </w:rPr>
        <w:t>during the preceding 12</w:t>
      </w:r>
      <w:r>
        <w:rPr>
          <w:rFonts w:ascii="times new roman;times" w:hAnsi="times new roman;times"/>
          <w:sz w:val="20"/>
        </w:rPr>
        <w:t xml:space="preserve"> </w:t>
      </w:r>
      <w:r>
        <w:rPr>
          <w:rFonts w:ascii="Times New Roman" w:hAnsi="Times New Roman"/>
          <w:sz w:val="20"/>
        </w:rPr>
        <w:t>months (or for such shorter period that the registrant was required to file such reports), and (2) has been subject to such filing requirements for the past 90</w:t>
      </w:r>
      <w:r>
        <w:rPr>
          <w:rFonts w:ascii="times new roman;times" w:hAnsi="times new roman;times"/>
          <w:sz w:val="20"/>
        </w:rPr>
        <w:t xml:space="preserve"> </w:t>
      </w:r>
      <w:r>
        <w:rPr>
          <w:rFonts w:ascii="Times New Roman" w:hAnsi="Times New Roman"/>
          <w:sz w:val="20"/>
        </w:rPr>
        <w:t xml:space="preserve">days.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bidi w:val="0"/>
        <w:spacing w:lineRule="atLeast" w:line="240" w:before="0" w:after="0"/>
        <w:ind w:left="0" w:right="0" w:hanging="0"/>
        <w:jc w:val="left"/>
        <w:rPr/>
      </w:pPr>
      <w:r>
        <w:rPr/>
        <w:t> </w:t>
      </w:r>
    </w:p>
    <w:p>
      <w:pPr>
        <w:pStyle w:val="TextBody"/>
        <w:shd w:fill="FFFFFF" w:val="clear"/>
        <w:bidi w:val="0"/>
        <w:spacing w:lineRule="atLeast" w:line="240" w:before="0" w:after="0"/>
        <w:ind w:left="0" w:right="0" w:hanging="0"/>
        <w:jc w:val="both"/>
        <w:rPr>
          <w:rFonts w:ascii="times new roman;times" w:hAnsi="times new roman;times"/>
          <w:sz w:val="20"/>
        </w:rPr>
      </w:pPr>
      <w:r>
        <w:rPr>
          <w:rFonts w:ascii="Times New Roman" w:hAnsi="Times New Roman"/>
          <w:sz w:val="20"/>
        </w:rPr>
        <w:t>Indicate by check mark whether the registrant has submitted electronically every Interactive Data File required to be submitted pursuant to Rule</w:t>
      </w:r>
      <w:r>
        <w:rPr>
          <w:rFonts w:ascii="times new roman;times" w:hAnsi="times new roman;times"/>
          <w:sz w:val="20"/>
        </w:rPr>
        <w:t> </w:t>
      </w:r>
      <w:r>
        <w:rPr>
          <w:rFonts w:ascii="Times New Roman" w:hAnsi="Times New Roman"/>
          <w:sz w:val="20"/>
        </w:rPr>
        <w:t>405</w:t>
      </w:r>
      <w:r>
        <w:rPr>
          <w:rFonts w:ascii="times new roman;times" w:hAnsi="times new roman;times"/>
          <w:sz w:val="20"/>
        </w:rPr>
        <w:t> </w:t>
      </w:r>
      <w:r>
        <w:rPr>
          <w:rFonts w:ascii="Times New Roman" w:hAnsi="Times New Roman"/>
          <w:sz w:val="20"/>
        </w:rPr>
        <w:t>of Regulation S-T (§</w:t>
      </w:r>
      <w:r>
        <w:rPr>
          <w:rFonts w:ascii="times new roman;times" w:hAnsi="times new roman;times"/>
          <w:sz w:val="20"/>
        </w:rPr>
        <w:t> </w:t>
      </w:r>
      <w:r>
        <w:rPr>
          <w:rFonts w:ascii="Times New Roman" w:hAnsi="Times New Roman"/>
          <w:sz w:val="20"/>
        </w:rPr>
        <w:t>232.405</w:t>
      </w:r>
      <w:r>
        <w:rPr>
          <w:rFonts w:ascii="times new roman;times" w:hAnsi="times new roman;times"/>
          <w:sz w:val="20"/>
        </w:rPr>
        <w:t> </w:t>
      </w:r>
      <w:r>
        <w:rPr>
          <w:rFonts w:ascii="Times New Roman" w:hAnsi="Times New Roman"/>
          <w:sz w:val="20"/>
        </w:rPr>
        <w:t>of this chapter) during the preceding</w:t>
      </w:r>
      <w:r>
        <w:rPr>
          <w:rFonts w:ascii="times new roman;times" w:hAnsi="times new roman;times"/>
          <w:sz w:val="20"/>
        </w:rPr>
        <w:t> </w:t>
      </w:r>
      <w:r>
        <w:rPr>
          <w:rFonts w:ascii="Times New Roman" w:hAnsi="Times New Roman"/>
          <w:sz w:val="20"/>
        </w:rPr>
        <w:t>12</w:t>
      </w:r>
      <w:r>
        <w:rPr>
          <w:rFonts w:ascii="times new roman;times" w:hAnsi="times new roman;times"/>
          <w:sz w:val="20"/>
        </w:rPr>
        <w:t> </w:t>
      </w:r>
      <w:r>
        <w:rPr>
          <w:rFonts w:ascii="Times New Roman" w:hAnsi="Times New Roman"/>
          <w:sz w:val="20"/>
        </w:rPr>
        <w:t>months (or for such shorter period that the registrant was required to submit such files).</w:t>
      </w:r>
      <w:r>
        <w:rPr>
          <w:rFonts w:ascii="times new roman;times" w:hAnsi="times new roman;times"/>
          <w:sz w:val="20"/>
        </w:rPr>
        <w:t> ☒</w:t>
      </w:r>
      <w:r>
        <w:rPr>
          <w:rFonts w:ascii="Times New Roman" w:hAnsi="Times New Roman"/>
          <w:sz w:val="20"/>
        </w:rPr>
        <w:t>Yes</w:t>
      </w:r>
      <w:r>
        <w:rPr>
          <w:rFonts w:ascii="times new roman;times" w:hAnsi="times new roman;times"/>
          <w:sz w:val="20"/>
        </w:rPr>
        <w:t> ☐</w:t>
      </w:r>
      <w:r>
        <w:rPr>
          <w:rFonts w:ascii="Times New Roman" w:hAnsi="Times New Roman"/>
          <w:sz w:val="20"/>
        </w:rPr>
        <w:t>No</w:t>
      </w:r>
    </w:p>
    <w:p>
      <w:pPr>
        <w:pStyle w:val="TextBody"/>
        <w:shd w:fill="FFFFFF" w:val="clear"/>
        <w:bidi w:val="0"/>
        <w:spacing w:lineRule="atLeast" w:line="240" w:before="0" w:after="0"/>
        <w:ind w:left="0" w:right="0" w:hanging="0"/>
        <w:jc w:val="left"/>
        <w:rPr/>
      </w:pPr>
      <w:r>
        <w:rPr/>
        <w:t> </w:t>
      </w:r>
    </w:p>
    <w:p>
      <w:pPr>
        <w:pStyle w:val="TextBody"/>
        <w:shd w:fill="FFFFFF" w:val="clear"/>
        <w:bidi w:val="0"/>
        <w:spacing w:lineRule="atLeast" w:line="240" w:before="0" w:after="0"/>
        <w:ind w:left="0" w:right="0" w:hanging="0"/>
        <w:jc w:val="both"/>
        <w:rPr>
          <w:rFonts w:ascii="times new roman;times" w:hAnsi="times new roman;times"/>
          <w:sz w:val="20"/>
        </w:rPr>
      </w:pPr>
      <w:r>
        <w:rPr>
          <w:rFonts w:ascii="Times New Roman" w:hAnsi="Times New Roman"/>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w:t>
      </w:r>
      <w:r>
        <w:rPr>
          <w:rFonts w:ascii="times new roman;times" w:hAnsi="times new roman;times"/>
          <w:sz w:val="20"/>
        </w:rPr>
        <w:t> </w:t>
      </w:r>
      <w:r>
        <w:rPr>
          <w:rFonts w:ascii="Times New Roman" w:hAnsi="Times New Roman"/>
          <w:sz w:val="20"/>
        </w:rPr>
        <w:t>12b-2</w:t>
      </w:r>
      <w:r>
        <w:rPr>
          <w:rFonts w:ascii="times new roman;times" w:hAnsi="times new roman;times"/>
          <w:sz w:val="20"/>
        </w:rPr>
        <w:t> </w:t>
      </w:r>
      <w:r>
        <w:rPr>
          <w:rFonts w:ascii="Times New Roman" w:hAnsi="Times New Roman"/>
          <w:sz w:val="20"/>
        </w:rPr>
        <w:t>of the Exchange Act. (Check</w:t>
      </w:r>
      <w:r>
        <w:rPr>
          <w:rFonts w:ascii="times new roman;times" w:hAnsi="times new roman;times"/>
          <w:sz w:val="20"/>
        </w:rPr>
        <w:t> </w:t>
      </w:r>
      <w:r>
        <w:rPr>
          <w:rFonts w:ascii="Times New Roman" w:hAnsi="Times New Roman"/>
          <w:sz w:val="20"/>
        </w:rPr>
        <w:t>one):</w:t>
      </w:r>
    </w:p>
    <w:p>
      <w:pPr>
        <w:pStyle w:val="TextBody"/>
        <w:shd w:fill="FFFFFF" w:val="clear"/>
        <w:bidi w:val="0"/>
        <w:spacing w:lineRule="atLeast" w:line="200" w:before="0" w:after="0"/>
        <w:ind w:left="144" w:right="144" w:hanging="0"/>
        <w:jc w:val="left"/>
        <w:rPr/>
      </w:pPr>
      <w:r>
        <w:rPr/>
        <w:t> </w:t>
      </w:r>
    </w:p>
    <w:tbl>
      <w:tblPr>
        <w:tblW w:w="5000" w:type="pct"/>
        <w:jc w:val="left"/>
        <w:tblInd w:w="0" w:type="dxa"/>
        <w:tblLayout w:type="fixed"/>
        <w:tblCellMar>
          <w:top w:w="0" w:type="dxa"/>
          <w:left w:w="0" w:type="dxa"/>
          <w:bottom w:w="0" w:type="dxa"/>
          <w:right w:w="0" w:type="dxa"/>
        </w:tblCellMar>
      </w:tblPr>
      <w:tblGrid>
        <w:gridCol w:w="4630"/>
        <w:gridCol w:w="5575"/>
      </w:tblGrid>
      <w:tr>
        <w:trPr/>
        <w:tc>
          <w:tcPr>
            <w:tcW w:w="4630" w:type="dxa"/>
            <w:tcBorders/>
            <w:shd w:fill="FFFFFF" w:val="clear"/>
            <w:vAlign w:val="center"/>
          </w:tcPr>
          <w:p>
            <w:pPr>
              <w:pStyle w:val="TableContents"/>
              <w:bidi w:val="0"/>
              <w:spacing w:before="0" w:after="0"/>
              <w:ind w:left="0" w:right="0" w:hanging="0"/>
              <w:jc w:val="both"/>
              <w:rPr/>
            </w:pPr>
            <w:r>
              <w:rPr>
                <w:rFonts w:ascii="Times New Roman" w:hAnsi="Times New Roman"/>
                <w:sz w:val="20"/>
              </w:rPr>
              <w:t xml:space="preserve">Larger Accelerated Filer </w:t>
            </w:r>
            <w:r>
              <w:rPr/>
              <w:t>☐</w:t>
            </w:r>
          </w:p>
        </w:tc>
        <w:tc>
          <w:tcPr>
            <w:tcW w:w="5575" w:type="dxa"/>
            <w:tcBorders/>
            <w:shd w:fill="FFFFFF" w:val="clear"/>
            <w:vAlign w:val="center"/>
          </w:tcPr>
          <w:p>
            <w:pPr>
              <w:pStyle w:val="TableContents"/>
              <w:bidi w:val="0"/>
              <w:spacing w:before="0" w:after="0"/>
              <w:ind w:left="0" w:right="144" w:hanging="0"/>
              <w:jc w:val="both"/>
              <w:rPr/>
            </w:pPr>
            <w:r>
              <w:rPr>
                <w:rFonts w:ascii="Times New Roman" w:hAnsi="Times New Roman"/>
                <w:sz w:val="20"/>
              </w:rPr>
              <w:t xml:space="preserve">Accelerated Filer </w:t>
            </w:r>
            <w:r>
              <w:rPr/>
              <w:t>☐ </w:t>
            </w:r>
          </w:p>
        </w:tc>
      </w:tr>
      <w:tr>
        <w:trPr/>
        <w:tc>
          <w:tcPr>
            <w:tcW w:w="4630" w:type="dxa"/>
            <w:tcBorders/>
            <w:shd w:fill="FFFFFF" w:val="clear"/>
            <w:vAlign w:val="center"/>
          </w:tcPr>
          <w:p>
            <w:pPr>
              <w:pStyle w:val="TableContents"/>
              <w:bidi w:val="0"/>
              <w:spacing w:before="0" w:after="0"/>
              <w:ind w:left="0" w:right="144" w:hanging="0"/>
              <w:jc w:val="both"/>
              <w:rPr/>
            </w:pPr>
            <w:r>
              <w:rPr>
                <w:rFonts w:ascii="Times New Roman" w:hAnsi="Times New Roman"/>
                <w:sz w:val="20"/>
              </w:rPr>
              <w:t>Non-Accelerated Filer</w:t>
            </w:r>
            <w:r>
              <w:rPr/>
              <w:t> ☒  </w:t>
            </w:r>
          </w:p>
        </w:tc>
        <w:tc>
          <w:tcPr>
            <w:tcW w:w="5575" w:type="dxa"/>
            <w:tcBorders/>
            <w:shd w:fill="FFFFFF" w:val="clear"/>
            <w:vAlign w:val="center"/>
          </w:tcPr>
          <w:p>
            <w:pPr>
              <w:pStyle w:val="TableContents"/>
              <w:bidi w:val="0"/>
              <w:spacing w:before="0" w:after="0"/>
              <w:ind w:left="0" w:right="144" w:hanging="0"/>
              <w:jc w:val="both"/>
              <w:rPr/>
            </w:pPr>
            <w:r>
              <w:rPr>
                <w:rFonts w:ascii="Times New Roman" w:hAnsi="Times New Roman"/>
                <w:sz w:val="20"/>
              </w:rPr>
              <w:t>Smaller Reporting Company</w:t>
            </w:r>
            <w:r>
              <w:rPr/>
              <w:t> ☒ </w:t>
            </w:r>
          </w:p>
        </w:tc>
      </w:tr>
      <w:tr>
        <w:trPr/>
        <w:tc>
          <w:tcPr>
            <w:tcW w:w="4630" w:type="dxa"/>
            <w:tcBorders/>
            <w:shd w:fill="FFFFFF" w:val="clear"/>
            <w:vAlign w:val="center"/>
          </w:tcPr>
          <w:p>
            <w:pPr>
              <w:pStyle w:val="TableContents"/>
              <w:bidi w:val="0"/>
              <w:spacing w:before="0" w:after="0"/>
              <w:ind w:left="0" w:right="0" w:hanging="0"/>
              <w:jc w:val="left"/>
              <w:rPr/>
            </w:pPr>
            <w:r>
              <w:rPr/>
              <w:t> </w:t>
            </w:r>
          </w:p>
        </w:tc>
        <w:tc>
          <w:tcPr>
            <w:tcW w:w="5575" w:type="dxa"/>
            <w:tcBorders/>
            <w:shd w:fill="FFFFFF" w:val="clear"/>
            <w:vAlign w:val="center"/>
          </w:tcPr>
          <w:p>
            <w:pPr>
              <w:pStyle w:val="TableContents"/>
              <w:bidi w:val="0"/>
              <w:spacing w:before="0" w:after="0"/>
              <w:ind w:left="0" w:right="144" w:hanging="0"/>
              <w:jc w:val="both"/>
              <w:rPr/>
            </w:pPr>
            <w:r>
              <w:rPr>
                <w:rFonts w:ascii="Times New Roman" w:hAnsi="Times New Roman"/>
                <w:sz w:val="20"/>
              </w:rPr>
              <w:t>Emerging Growth Company</w:t>
            </w:r>
            <w:r>
              <w:rPr/>
              <w:t> ☐ </w:t>
            </w:r>
          </w:p>
        </w:tc>
      </w:tr>
    </w:tbl>
    <w:p>
      <w:pPr>
        <w:pStyle w:val="TextBody"/>
        <w:shd w:fill="FFFFFF" w:val="clear"/>
        <w:bidi w:val="0"/>
        <w:spacing w:lineRule="atLeast" w:line="200" w:before="0" w:after="0"/>
        <w:ind w:left="144" w:right="144" w:hanging="0"/>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tLeast" w:line="200" w:before="0" w:after="0"/>
        <w:ind w:left="0" w:right="0" w:hanging="0"/>
        <w:jc w:val="left"/>
        <w:rPr/>
      </w:pPr>
      <w:r>
        <w:rPr/>
        <w:t> </w:t>
      </w:r>
    </w:p>
    <w:p>
      <w:pPr>
        <w:pStyle w:val="TextBody"/>
        <w:shd w:fill="FFFFFF" w:val="clear"/>
        <w:bidi w:val="0"/>
        <w:spacing w:lineRule="atLeast" w:line="240" w:before="0" w:after="0"/>
        <w:ind w:left="0" w:right="0" w:hanging="0"/>
        <w:jc w:val="both"/>
        <w:rPr>
          <w:rFonts w:ascii="times new roman;times" w:hAnsi="times new roman;times"/>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w:t>
      </w:r>
      <w:r>
        <w:rPr>
          <w:rFonts w:ascii="times new roman;times" w:hAnsi="times new roman;times"/>
          <w:sz w:val="20"/>
        </w:rPr>
        <w:t> </w:t>
      </w:r>
      <w:r>
        <w:rPr>
          <w:rFonts w:ascii="Times New Roman" w:hAnsi="Times New Roman"/>
          <w:sz w:val="20"/>
        </w:rPr>
        <w:t>13(a) of the Exchange Act.</w:t>
      </w:r>
      <w:r>
        <w:rPr>
          <w:rFonts w:ascii="times new roman;times" w:hAnsi="times new roman;times"/>
          <w:sz w:val="20"/>
        </w:rPr>
        <w:t> ☐</w:t>
      </w:r>
    </w:p>
    <w:p>
      <w:pPr>
        <w:pStyle w:val="TextBody"/>
        <w:shd w:fill="FFFFFF" w:val="clear"/>
        <w:bidi w:val="0"/>
        <w:spacing w:lineRule="atLeast" w:line="240" w:before="0" w:after="0"/>
        <w:ind w:left="0" w:right="0" w:hanging="0"/>
        <w:jc w:val="both"/>
        <w:rPr/>
      </w:pPr>
      <w:r>
        <w:rPr/>
        <w:t> </w:t>
      </w:r>
    </w:p>
    <w:p>
      <w:pPr>
        <w:pStyle w:val="TextBody"/>
        <w:bidi w:val="0"/>
        <w:spacing w:lineRule="atLeast" w:line="240" w:before="0" w:after="0"/>
        <w:ind w:left="0" w:right="0" w:hanging="0"/>
        <w:jc w:val="left"/>
        <w:rPr>
          <w:rFonts w:ascii="times new roman;times" w:hAnsi="times new roman;times"/>
          <w:sz w:val="20"/>
        </w:rPr>
      </w:pPr>
      <w:r>
        <w:rPr>
          <w:rFonts w:ascii="Times New Roman" w:hAnsi="Times New Roman"/>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 w:hAnsi="times new roman;times"/>
          <w:sz w:val="20"/>
        </w:rPr>
        <w:t>☐</w:t>
      </w:r>
    </w:p>
    <w:p>
      <w:pPr>
        <w:pStyle w:val="TextBody"/>
        <w:bidi w:val="0"/>
        <w:spacing w:lineRule="atLeast" w:line="240" w:before="0" w:after="0"/>
        <w:ind w:left="0" w:right="0" w:hanging="0"/>
        <w:jc w:val="left"/>
        <w:rPr/>
      </w:pPr>
      <w:r>
        <w:rPr/>
        <w:t> </w:t>
      </w:r>
    </w:p>
    <w:p>
      <w:pPr>
        <w:pStyle w:val="TextBody"/>
        <w:bidi w:val="0"/>
        <w:spacing w:lineRule="atLeast" w:line="240" w:before="0" w:after="0"/>
        <w:ind w:left="0" w:right="0" w:hanging="0"/>
        <w:jc w:val="left"/>
        <w:rPr>
          <w:rFonts w:ascii="times new roman;times" w:hAnsi="times new roman;times"/>
          <w:sz w:val="20"/>
        </w:rPr>
      </w:pPr>
      <w:r>
        <w:rPr>
          <w:rFonts w:ascii="Times New Roman" w:hAnsi="Times New Roman"/>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 w:hAnsi="times new roman;times"/>
          <w:sz w:val="20"/>
        </w:rPr>
        <w:t>☐</w:t>
      </w:r>
    </w:p>
    <w:p>
      <w:pPr>
        <w:pStyle w:val="TextBody"/>
        <w:bidi w:val="0"/>
        <w:spacing w:lineRule="atLeast" w:line="240" w:before="0" w:after="0"/>
        <w:ind w:left="0" w:right="0" w:hanging="0"/>
        <w:jc w:val="left"/>
        <w:rPr/>
      </w:pPr>
      <w:r>
        <w:rPr/>
        <w:t> </w:t>
      </w:r>
    </w:p>
    <w:p>
      <w:pPr>
        <w:pStyle w:val="TextBody"/>
        <w:bidi w:val="0"/>
        <w:spacing w:lineRule="atLeast" w:line="240" w:before="0" w:after="0"/>
        <w:ind w:left="0" w:right="0" w:hanging="0"/>
        <w:jc w:val="left"/>
        <w:rPr>
          <w:rFonts w:ascii="times new roman;times" w:hAnsi="times new roman;times"/>
          <w:sz w:val="20"/>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times" w:hAnsi="times new roman;times"/>
          <w:sz w:val="20"/>
        </w:rPr>
        <w:t>☐</w:t>
      </w:r>
    </w:p>
    <w:p>
      <w:pPr>
        <w:pStyle w:val="TextBody"/>
        <w:bidi w:val="0"/>
        <w:spacing w:lineRule="atLeast" w:line="240" w:before="0" w:after="0"/>
        <w:ind w:left="0" w:right="0" w:hanging="0"/>
        <w:jc w:val="left"/>
        <w:rPr/>
      </w:pPr>
      <w:r>
        <w:rPr/>
        <w:t> </w:t>
      </w:r>
    </w:p>
    <w:p>
      <w:pPr>
        <w:pStyle w:val="TextBody"/>
        <w:bidi w:val="0"/>
        <w:spacing w:lineRule="atLeast" w:line="240" w:before="0" w:after="0"/>
        <w:ind w:left="0" w:right="0" w:hanging="0"/>
        <w:jc w:val="left"/>
        <w:rPr>
          <w:rFonts w:ascii="times new roman;times" w:hAnsi="times new roman;times"/>
          <w:sz w:val="20"/>
        </w:rPr>
      </w:pPr>
      <w:r>
        <w:rPr>
          <w:rFonts w:ascii="Times New Roman" w:hAnsi="Times New Roman"/>
          <w:sz w:val="20"/>
        </w:rPr>
        <w:t>Indicate by check mark whether the registrant is a shell Company (as defined in Rule 12b-2</w:t>
      </w:r>
      <w:r>
        <w:rPr>
          <w:rFonts w:ascii="times new roman;times" w:hAnsi="times new roman;times"/>
          <w:sz w:val="20"/>
        </w:rPr>
        <w:t xml:space="preserve"> </w:t>
      </w:r>
      <w:r>
        <w:rPr>
          <w:rFonts w:ascii="Times New Roman" w:hAnsi="Times New Roman"/>
          <w:sz w:val="20"/>
        </w:rPr>
        <w:t xml:space="preserve">of the Act).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bidi w:val="0"/>
        <w:spacing w:lineRule="atLeast" w:line="200" w:before="0" w:after="0"/>
        <w:ind w:left="0" w:right="0" w:hanging="0"/>
        <w:jc w:val="left"/>
        <w:rPr/>
      </w:pPr>
      <w:r>
        <w:rPr/>
        <w:t> </w:t>
      </w:r>
    </w:p>
    <w:p>
      <w:pPr>
        <w:pStyle w:val="TextBody"/>
        <w:bidi w:val="0"/>
        <w:spacing w:lineRule="atLeast" w:line="240" w:before="0" w:after="0"/>
        <w:ind w:left="0" w:right="0" w:hanging="0"/>
        <w:jc w:val="both"/>
        <w:rPr>
          <w:rFonts w:ascii="times new roman;times" w:hAnsi="times new roman;times"/>
          <w:sz w:val="20"/>
        </w:rPr>
      </w:pPr>
      <w:r>
        <w:rPr>
          <w:rFonts w:ascii="Times New Roman" w:hAnsi="Times New Roman"/>
          <w:sz w:val="20"/>
        </w:rPr>
        <w:t>The aggregate market value of the shares of voting common stock held by non-affiliates was approximately</w:t>
      </w:r>
      <w:r>
        <w:rPr>
          <w:rFonts w:ascii="times new roman;times" w:hAnsi="times new roman;times"/>
          <w:sz w:val="20"/>
        </w:rPr>
        <w:t> </w:t>
      </w:r>
      <w:r>
        <w:rPr>
          <w:rFonts w:ascii="Times New Roman" w:hAnsi="Times New Roman"/>
          <w:sz w:val="20"/>
        </w:rPr>
        <w:t>$15.6</w:t>
      </w:r>
      <w:r>
        <w:rPr>
          <w:rFonts w:ascii="times new roman;times" w:hAnsi="times new roman;times"/>
          <w:sz w:val="20"/>
        </w:rPr>
        <w:t> </w:t>
      </w:r>
      <w:r>
        <w:rPr>
          <w:rFonts w:ascii="Times New Roman" w:hAnsi="Times New Roman"/>
          <w:sz w:val="20"/>
        </w:rPr>
        <w:t>million at June 28, 2024</w:t>
      </w:r>
      <w:r>
        <w:rPr>
          <w:rFonts w:ascii="Times New Roman" w:hAnsi="Times New Roman"/>
          <w:b/>
          <w:sz w:val="20"/>
        </w:rPr>
        <w:t>,</w:t>
      </w:r>
      <w:r>
        <w:rPr>
          <w:rFonts w:ascii="times new roman;times" w:hAnsi="times new roman;times"/>
          <w:sz w:val="20"/>
        </w:rPr>
        <w:t xml:space="preserve"> </w:t>
      </w:r>
      <w:r>
        <w:rPr>
          <w:rFonts w:ascii="Times New Roman" w:hAnsi="Times New Roman"/>
          <w:sz w:val="20"/>
        </w:rPr>
        <w:t>(the Company’s most recently completed second</w:t>
      </w:r>
      <w:r>
        <w:rPr>
          <w:rFonts w:ascii="times new roman;times" w:hAnsi="times new roman;times"/>
          <w:sz w:val="20"/>
        </w:rPr>
        <w:t> </w:t>
      </w:r>
      <w:r>
        <w:rPr>
          <w:rFonts w:ascii="Times New Roman" w:hAnsi="Times New Roman"/>
          <w:sz w:val="20"/>
        </w:rPr>
        <w:t>fiscal quarter), based on the $0.65</w:t>
      </w:r>
      <w:r>
        <w:rPr>
          <w:rFonts w:ascii="times new roman;times" w:hAnsi="times new roman;times"/>
          <w:sz w:val="20"/>
        </w:rPr>
        <w:t> </w:t>
      </w:r>
      <w:r>
        <w:rPr>
          <w:rFonts w:ascii="Times New Roman" w:hAnsi="Times New Roman"/>
          <w:sz w:val="20"/>
        </w:rPr>
        <w:t>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pStyle w:val="TextBody"/>
        <w:bidi w:val="0"/>
        <w:spacing w:lineRule="atLeast" w:line="200" w:before="0" w:after="0"/>
        <w:ind w:left="0" w:right="0" w:hanging="0"/>
        <w:jc w:val="both"/>
        <w:rPr/>
      </w:pPr>
      <w:r>
        <w:rPr/>
        <w:t> </w:t>
      </w:r>
    </w:p>
    <w:p>
      <w:pPr>
        <w:pStyle w:val="TextBody"/>
        <w:bidi w:val="0"/>
        <w:spacing w:lineRule="atLeast" w:line="200" w:before="0" w:after="0"/>
        <w:ind w:left="0" w:right="0" w:hanging="0"/>
        <w:jc w:val="left"/>
        <w:rPr>
          <w:rFonts w:ascii="times new roman;times" w:hAnsi="times new roman;times"/>
          <w:sz w:val="20"/>
        </w:rPr>
      </w:pPr>
      <w:r>
        <w:rPr>
          <w:rFonts w:ascii="Times New Roman" w:hAnsi="Times New Roman"/>
          <w:sz w:val="20"/>
        </w:rPr>
        <w:t>The number of shares of ClearOne common stock outstanding as of March 27, 2025</w:t>
      </w:r>
      <w:r>
        <w:rPr>
          <w:rFonts w:ascii="times new roman;times" w:hAnsi="times new roman;times"/>
          <w:sz w:val="20"/>
        </w:rPr>
        <w:t xml:space="preserve"> </w:t>
      </w:r>
      <w:r>
        <w:rPr>
          <w:rFonts w:ascii="Times New Roman" w:hAnsi="Times New Roman"/>
          <w:sz w:val="20"/>
        </w:rPr>
        <w:t>was 25,992,995.</w:t>
      </w:r>
      <w:r>
        <w:rPr>
          <w:rFonts w:ascii="times new roman;times" w:hAnsi="times new roman;times"/>
          <w:sz w:val="20"/>
        </w:rPr>
        <w:t> </w:t>
      </w:r>
    </w:p>
    <w:p>
      <w:pPr>
        <w:pStyle w:val="TextBody"/>
        <w:bidi w:val="0"/>
        <w:spacing w:lineRule="atLeast" w:line="200" w:before="0" w:after="0"/>
        <w:ind w:left="0" w:right="0" w:hanging="0"/>
        <w:jc w:val="left"/>
        <w:rPr/>
      </w:pPr>
      <w:r>
        <w:rPr/>
        <w:t> </w:t>
      </w:r>
    </w:p>
    <w:p>
      <w:pPr>
        <w:pStyle w:val="TextBody"/>
        <w:bidi w:val="0"/>
        <w:spacing w:lineRule="atLeast" w:line="200" w:before="0" w:after="0"/>
        <w:ind w:left="0" w:right="0" w:hanging="0"/>
        <w:jc w:val="left"/>
        <w:rPr>
          <w:rFonts w:ascii="times new roman;times" w:hAnsi="times new roman;times"/>
          <w:sz w:val="20"/>
        </w:rPr>
      </w:pPr>
      <w:r>
        <w:rPr>
          <w:rFonts w:ascii="Times New Roman" w:hAnsi="Times New Roman"/>
          <w:b/>
          <w:sz w:val="20"/>
        </w:rPr>
        <w:t>Documents Incorporated by Reference:</w:t>
      </w:r>
      <w:r>
        <w:rPr>
          <w:rFonts w:ascii="times new roman;times" w:hAnsi="times new roman;times"/>
          <w:sz w:val="20"/>
        </w:rPr>
        <w:t xml:space="preserve"> </w:t>
      </w:r>
      <w:r>
        <w:rPr>
          <w:rFonts w:ascii="Times New Roman" w:hAnsi="Times New Roman"/>
          <w:sz w:val="20"/>
        </w:rPr>
        <w:t>None</w:t>
      </w:r>
    </w:p>
    <w:p>
      <w:pPr>
        <w:pStyle w:val="TextBody"/>
        <w:bidi w:val="0"/>
        <w:spacing w:lineRule="atLeast" w:line="200" w:before="0" w:after="0"/>
        <w:ind w:left="0" w:right="0" w:hanging="0"/>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EXPLANATORY NOTE</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On March 28, 2025, ClearOne, Inc. (the “Company”) filed its Annual Report on Form 10-K for the fiscal year ended December 31, 2024</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(the “Original Form 10-K”). This Amendment No. 1 (the “Amendment”) amends the Original Form 10-K solely to</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file </w:t>
      </w:r>
      <w:r>
        <w:rPr>
          <w:rFonts w:ascii="Times New Roman" w:hAnsi="Times New Roman"/>
          <w:b w:val="false"/>
          <w:i w:val="false"/>
          <w:caps w:val="false"/>
          <w:smallCaps w:val="false"/>
          <w:color w:val="222222"/>
          <w:spacing w:val="0"/>
          <w:sz w:val="20"/>
        </w:rPr>
        <w:t>the Company’s Policy for Recovery of Erroneously Awarded Compensation, adopted December 29, 2023, as Exhibit 97.1 that was inadvertently omitted from the Original Form 10-K in compliance with Nasdaq Rule 5608 and Item 402(w) of Regulation S-K.</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This Amendment speaks as of the original filing date and does not reflect events occurring after the filing of the Original Form 10-K. No revisions are being made to the Company’s financial statements or any other disclosure contained in the Original Form 10-K. This Amendment is an exhibit-only filing. Except for Exhibit 97.1, this Amendment does not otherwise update any exhibits as originally filed or previously amended.</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addition, as required by Rule 12b-15 under the Securities Exchange Act of 1934, as amended (the “Exchange Act”), new certifications by the Company’s principal executive officer and principal financial officer are filed herewith as exhibits to this Amendment pursuant to Rule 13a-14(a) or 15d-14(a) of the Exchange Act. As no financial statements have been included in this Amendment and this Amendment does not contain or amend any disclosure with respect to Items 307 and 308 of Regulation S-K, paragraphs 3, 4, and 5 of the certifications have been omitted. The Company is not including certifications pursuant to Section 1350 of Chapter 63 of Title 18 of the United States Code (18 U.S.C. 1350) as no financial statements are being filed with this Amendment.</w:t>
      </w:r>
    </w:p>
    <w:p>
      <w:pPr>
        <w:pStyle w:val="TextBody"/>
        <w:widowControl/>
        <w:bidi w:val="0"/>
        <w:spacing w:before="0" w:after="0"/>
        <w:ind w:left="0" w:right="0" w:hanging="0"/>
        <w:jc w:val="left"/>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bidi w:val="0"/>
        <w:spacing w:before="0" w:after="0"/>
        <w:ind w:left="0" w:right="0" w:hanging="0"/>
        <w:jc w:val="left"/>
        <w:rPr>
          <w:rFonts w:ascii="Times New Roman" w:hAnsi="Times New Roman"/>
          <w:sz w:val="20"/>
        </w:rPr>
      </w:pPr>
      <w:r>
        <w:rPr>
          <w:rFonts w:ascii="Times New Roman" w:hAnsi="Times New Roman"/>
          <w:sz w:val="20"/>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r>
    </w:p>
    <w:p>
      <w:pPr>
        <w:pStyle w:val="TextBody"/>
        <w:bidi w:val="0"/>
        <w:spacing w:lineRule="atLeast" w:line="240" w:before="0" w:after="0"/>
        <w:ind w:left="0" w:right="0" w:hanging="0"/>
        <w:jc w:val="both"/>
        <w:rPr>
          <w:rFonts w:ascii="Times New Roman" w:hAnsi="Times New Roman"/>
          <w:b/>
          <w:sz w:val="20"/>
        </w:rPr>
      </w:pPr>
      <w:r>
        <w:rPr>
          <w:rFonts w:ascii="Times New Roman" w:hAnsi="Times New Roman"/>
          <w:b/>
          <w:sz w:val="20"/>
        </w:rPr>
        <w:t>ITEM 15. EXHIBITS, FINANCIAL STATEMENT SCHEDULES</w:t>
      </w:r>
    </w:p>
    <w:p>
      <w:pPr>
        <w:pStyle w:val="TextBody"/>
        <w:bidi w:val="0"/>
        <w:spacing w:lineRule="atLeast" w:line="200" w:before="0" w:after="0"/>
        <w:ind w:left="0" w:right="0" w:hanging="0"/>
        <w:jc w:val="both"/>
        <w:rPr/>
      </w:pPr>
      <w:r>
        <w:rPr/>
        <w:t> </w:t>
      </w:r>
    </w:p>
    <w:p>
      <w:pPr>
        <w:pStyle w:val="TextBody"/>
        <w:bidi w:val="0"/>
        <w:spacing w:lineRule="atLeast" w:line="200" w:before="0" w:after="0"/>
        <w:ind w:left="144" w:right="144" w:hanging="0"/>
        <w:jc w:val="left"/>
        <w:rPr/>
      </w:pPr>
      <w:r>
        <w:rPr/>
        <w:t> </w:t>
      </w:r>
    </w:p>
    <w:p>
      <w:pPr>
        <w:pStyle w:val="TextBody"/>
        <w:bidi w:val="0"/>
        <w:spacing w:lineRule="atLeast" w:line="200" w:before="0" w:after="0"/>
        <w:ind w:left="144" w:right="144" w:hanging="0"/>
        <w:jc w:val="center"/>
        <w:rPr>
          <w:rFonts w:ascii="Times New Roman" w:hAnsi="Times New Roman"/>
          <w:b/>
          <w:sz w:val="20"/>
          <w:u w:val="single"/>
        </w:rPr>
      </w:pPr>
      <w:r>
        <w:rPr>
          <w:rFonts w:ascii="Times New Roman" w:hAnsi="Times New Roman"/>
          <w:b/>
          <w:sz w:val="20"/>
          <w:u w:val="single"/>
        </w:rPr>
        <w:t>INDEX TO EXHIBITS</w:t>
      </w:r>
    </w:p>
    <w:p>
      <w:pPr>
        <w:pStyle w:val="TextBody"/>
        <w:bidi w:val="0"/>
        <w:spacing w:lineRule="atLeast" w:line="200"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679"/>
        <w:gridCol w:w="60"/>
        <w:gridCol w:w="6857"/>
        <w:gridCol w:w="60"/>
        <w:gridCol w:w="440"/>
        <w:gridCol w:w="60"/>
        <w:gridCol w:w="1327"/>
        <w:gridCol w:w="60"/>
        <w:gridCol w:w="662"/>
      </w:tblGrid>
      <w:tr>
        <w:trPr/>
        <w:tc>
          <w:tcPr>
            <w:tcW w:w="679" w:type="dxa"/>
            <w:tcBorders/>
            <w:vAlign w:val="center"/>
          </w:tcPr>
          <w:p>
            <w:pPr>
              <w:pStyle w:val="TableContents"/>
              <w:bidi w:val="0"/>
              <w:spacing w:before="0" w:after="0"/>
              <w:ind w:left="0" w:right="0" w:hanging="0"/>
              <w:jc w:val="both"/>
              <w:rPr>
                <w:rFonts w:ascii="Times New Roman" w:hAnsi="Times New Roman"/>
                <w:b/>
                <w:sz w:val="18"/>
              </w:rPr>
            </w:pPr>
            <w:r>
              <w:rPr>
                <w:rFonts w:ascii="Times New Roman" w:hAnsi="Times New Roman"/>
                <w:b/>
                <w:sz w:val="18"/>
              </w:rPr>
              <w:t>Exhibit</w:t>
            </w:r>
          </w:p>
          <w:p>
            <w:pPr>
              <w:pStyle w:val="TableContents"/>
              <w:bidi w:val="0"/>
              <w:spacing w:before="0" w:after="0"/>
              <w:ind w:left="0" w:right="0" w:hanging="0"/>
              <w:jc w:val="both"/>
              <w:rPr>
                <w:rFonts w:ascii="Times New Roman" w:hAnsi="Times New Roman"/>
                <w:b/>
                <w:sz w:val="18"/>
              </w:rPr>
            </w:pPr>
            <w:r>
              <w:rPr>
                <w:rFonts w:ascii="Times New Roman" w:hAnsi="Times New Roman"/>
                <w:b/>
                <w:sz w:val="18"/>
              </w:rPr>
              <w:t>Number</w:t>
            </w:r>
          </w:p>
        </w:tc>
        <w:tc>
          <w:tcPr>
            <w:tcW w:w="60" w:type="dxa"/>
            <w:tcBorders/>
            <w:vAlign w:val="center"/>
          </w:tcPr>
          <w:p>
            <w:pPr>
              <w:pStyle w:val="TableContents"/>
              <w:bidi w:val="0"/>
              <w:spacing w:before="0" w:after="0"/>
              <w:ind w:left="0" w:right="0" w:hanging="0"/>
              <w:jc w:val="both"/>
              <w:rPr/>
            </w:pPr>
            <w:r>
              <w:rPr/>
              <w:t> </w:t>
            </w:r>
          </w:p>
        </w:tc>
        <w:tc>
          <w:tcPr>
            <w:tcW w:w="6857" w:type="dxa"/>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Exhibit Description</w:t>
            </w:r>
          </w:p>
        </w:tc>
        <w:tc>
          <w:tcPr>
            <w:tcW w:w="60" w:type="dxa"/>
            <w:tcBorders/>
            <w:vAlign w:val="center"/>
          </w:tcPr>
          <w:p>
            <w:pPr>
              <w:pStyle w:val="TableContents"/>
              <w:bidi w:val="0"/>
              <w:spacing w:before="0" w:after="0"/>
              <w:ind w:left="0" w:right="0" w:hanging="0"/>
              <w:jc w:val="both"/>
              <w:rPr/>
            </w:pPr>
            <w:r>
              <w:rPr/>
              <w:t> </w:t>
            </w:r>
          </w:p>
        </w:tc>
        <w:tc>
          <w:tcPr>
            <w:tcW w:w="440" w:type="dxa"/>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Form</w:t>
            </w:r>
          </w:p>
        </w:tc>
        <w:tc>
          <w:tcPr>
            <w:tcW w:w="60" w:type="dxa"/>
            <w:tcBorders/>
            <w:vAlign w:val="center"/>
          </w:tcPr>
          <w:p>
            <w:pPr>
              <w:pStyle w:val="TableContents"/>
              <w:bidi w:val="0"/>
              <w:spacing w:before="0" w:after="0"/>
              <w:ind w:left="0" w:right="0" w:hanging="0"/>
              <w:jc w:val="both"/>
              <w:rPr/>
            </w:pPr>
            <w:r>
              <w:rPr/>
              <w:t> </w:t>
            </w:r>
          </w:p>
        </w:tc>
        <w:tc>
          <w:tcPr>
            <w:tcW w:w="1327" w:type="dxa"/>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Exhibit Incorporated</w:t>
            </w:r>
          </w:p>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Herein by Reference</w:t>
            </w:r>
          </w:p>
        </w:tc>
        <w:tc>
          <w:tcPr>
            <w:tcW w:w="60" w:type="dxa"/>
            <w:tcBorders/>
            <w:vAlign w:val="center"/>
          </w:tcPr>
          <w:p>
            <w:pPr>
              <w:pStyle w:val="TableContents"/>
              <w:bidi w:val="0"/>
              <w:spacing w:before="0" w:after="0"/>
              <w:ind w:left="0" w:right="0" w:hanging="0"/>
              <w:jc w:val="both"/>
              <w:rPr/>
            </w:pPr>
            <w:r>
              <w:rPr/>
              <w:t> </w:t>
            </w:r>
          </w:p>
        </w:tc>
        <w:tc>
          <w:tcPr>
            <w:tcW w:w="662" w:type="dxa"/>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Filing Date</w:t>
            </w:r>
          </w:p>
        </w:tc>
      </w:tr>
      <w:tr>
        <w:trPr/>
        <w:tc>
          <w:tcPr>
            <w:tcW w:w="67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97.1†</w:t>
            </w:r>
          </w:p>
        </w:tc>
        <w:tc>
          <w:tcPr>
            <w:tcW w:w="60" w:type="dxa"/>
            <w:tcBorders/>
            <w:vAlign w:val="center"/>
          </w:tcPr>
          <w:p>
            <w:pPr>
              <w:pStyle w:val="TableContents"/>
              <w:bidi w:val="0"/>
              <w:spacing w:before="0" w:after="0"/>
              <w:ind w:left="0" w:right="0" w:hanging="0"/>
              <w:jc w:val="left"/>
              <w:rPr/>
            </w:pPr>
            <w:r>
              <w:rPr/>
              <w:t> </w:t>
            </w:r>
          </w:p>
        </w:tc>
        <w:tc>
          <w:tcPr>
            <w:tcW w:w="6857" w:type="dxa"/>
            <w:tcBorders/>
            <w:vAlign w:val="center"/>
          </w:tcPr>
          <w:p>
            <w:pPr>
              <w:pStyle w:val="TableContents"/>
              <w:bidi w:val="0"/>
              <w:spacing w:before="0" w:after="0"/>
              <w:ind w:left="0" w:right="0" w:hanging="0"/>
              <w:jc w:val="both"/>
              <w:rPr/>
            </w:pPr>
            <w:hyperlink w:anchor="ex971_1.htm">
              <w:r>
                <w:rPr>
                  <w:rStyle w:val="InternetLink"/>
                  <w:rFonts w:ascii="Times New Roman" w:hAnsi="Times New Roman"/>
                  <w:sz w:val="20"/>
                </w:rPr>
                <w:t>Policy for Recovery of Erroneously Awarded Compensation, adopted December 29, 2023.Consent of Tanner LLC, Independent Registered Public Accounting Firm</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left"/>
              <w:rPr/>
            </w:pPr>
            <w:r>
              <w:rPr/>
              <w:t> </w:t>
            </w:r>
          </w:p>
        </w:tc>
      </w:tr>
      <w:tr>
        <w:trPr/>
        <w:tc>
          <w:tcPr>
            <w:tcW w:w="67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31.1†</w:t>
            </w:r>
          </w:p>
        </w:tc>
        <w:tc>
          <w:tcPr>
            <w:tcW w:w="60" w:type="dxa"/>
            <w:tcBorders/>
            <w:vAlign w:val="center"/>
          </w:tcPr>
          <w:p>
            <w:pPr>
              <w:pStyle w:val="TableContents"/>
              <w:bidi w:val="0"/>
              <w:spacing w:before="0" w:after="0"/>
              <w:ind w:left="0" w:right="0" w:hanging="0"/>
              <w:jc w:val="left"/>
              <w:rPr/>
            </w:pPr>
            <w:r>
              <w:rPr/>
              <w:t> </w:t>
            </w:r>
          </w:p>
        </w:tc>
        <w:tc>
          <w:tcPr>
            <w:tcW w:w="6857" w:type="dxa"/>
            <w:tcBorders/>
            <w:vAlign w:val="center"/>
          </w:tcPr>
          <w:p>
            <w:pPr>
              <w:pStyle w:val="TableContents"/>
              <w:bidi w:val="0"/>
              <w:spacing w:before="0" w:after="0"/>
              <w:ind w:left="0" w:right="0" w:hanging="0"/>
              <w:jc w:val="both"/>
              <w:rPr/>
            </w:pPr>
            <w:hyperlink w:anchor="ex311_2.htm">
              <w:r>
                <w:rPr>
                  <w:rStyle w:val="InternetLink"/>
                  <w:rFonts w:ascii="Times New Roman" w:hAnsi="Times New Roman"/>
                  <w:sz w:val="20"/>
                </w:rPr>
                <w:t>Section 302 Certification of Chief Executive Officer</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left"/>
              <w:rPr/>
            </w:pPr>
            <w:r>
              <w:rPr/>
              <w:t> </w:t>
            </w:r>
          </w:p>
        </w:tc>
      </w:tr>
      <w:tr>
        <w:trPr/>
        <w:tc>
          <w:tcPr>
            <w:tcW w:w="67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31.2†</w:t>
            </w:r>
          </w:p>
        </w:tc>
        <w:tc>
          <w:tcPr>
            <w:tcW w:w="60" w:type="dxa"/>
            <w:tcBorders/>
            <w:vAlign w:val="center"/>
          </w:tcPr>
          <w:p>
            <w:pPr>
              <w:pStyle w:val="TableContents"/>
              <w:bidi w:val="0"/>
              <w:spacing w:before="0" w:after="0"/>
              <w:ind w:left="0" w:right="0" w:hanging="0"/>
              <w:jc w:val="left"/>
              <w:rPr/>
            </w:pPr>
            <w:r>
              <w:rPr/>
              <w:t> </w:t>
            </w:r>
          </w:p>
        </w:tc>
        <w:tc>
          <w:tcPr>
            <w:tcW w:w="6857" w:type="dxa"/>
            <w:tcBorders/>
            <w:vAlign w:val="center"/>
          </w:tcPr>
          <w:p>
            <w:pPr>
              <w:pStyle w:val="TableContents"/>
              <w:bidi w:val="0"/>
              <w:spacing w:before="0" w:after="0"/>
              <w:ind w:left="0" w:right="0" w:hanging="0"/>
              <w:jc w:val="both"/>
              <w:rPr/>
            </w:pPr>
            <w:hyperlink w:anchor="ex312_3.htm">
              <w:r>
                <w:rPr>
                  <w:rStyle w:val="InternetLink"/>
                  <w:rFonts w:ascii="Times New Roman" w:hAnsi="Times New Roman"/>
                  <w:sz w:val="20"/>
                </w:rPr>
                <w:t>Section 302 Certification of Chief Financial Officer</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left"/>
              <w:rPr/>
            </w:pPr>
            <w:r>
              <w:rPr/>
              <w:t> </w:t>
            </w:r>
          </w:p>
        </w:tc>
      </w:tr>
      <w:tr>
        <w:trPr/>
        <w:tc>
          <w:tcPr>
            <w:tcW w:w="67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0" w:type="dxa"/>
            <w:tcBorders/>
            <w:vAlign w:val="center"/>
          </w:tcPr>
          <w:p>
            <w:pPr>
              <w:pStyle w:val="TableContents"/>
              <w:bidi w:val="0"/>
              <w:spacing w:before="0" w:after="0"/>
              <w:ind w:left="0" w:right="0" w:hanging="0"/>
              <w:jc w:val="left"/>
              <w:rPr/>
            </w:pPr>
            <w:r>
              <w:rPr/>
              <w:t> </w:t>
            </w:r>
          </w:p>
        </w:tc>
        <w:tc>
          <w:tcPr>
            <w:tcW w:w="6857" w:type="dxa"/>
            <w:tcBorders/>
            <w:vAlign w:val="center"/>
          </w:tcPr>
          <w:p>
            <w:pPr>
              <w:pStyle w:val="TableContents"/>
              <w:bidi w:val="0"/>
              <w:spacing w:before="0" w:after="0"/>
              <w:ind w:left="0" w:right="0" w:hanging="0"/>
              <w:jc w:val="left"/>
              <w:rPr/>
            </w:pPr>
            <w:r>
              <w:rPr>
                <w:rFonts w:ascii="Times New Roman" w:hAnsi="Times New Roman"/>
                <w:sz w:val="20"/>
              </w:rPr>
              <w:t>The cover page from this</w:t>
            </w:r>
            <w:r>
              <w:rPr/>
              <w:t xml:space="preserve"> </w:t>
            </w:r>
            <w:r>
              <w:rPr>
                <w:rFonts w:ascii="Times New Roman" w:hAnsi="Times New Roman"/>
                <w:sz w:val="20"/>
              </w:rPr>
              <w:t>Amendment No. 1 to</w:t>
            </w:r>
            <w:r>
              <w:rPr/>
              <w:t xml:space="preserve"> </w:t>
            </w:r>
            <w:r>
              <w:rPr>
                <w:rFonts w:ascii="Times New Roman" w:hAnsi="Times New Roman"/>
                <w:sz w:val="20"/>
              </w:rPr>
              <w:t>Annual Report on Form 10-K/A</w:t>
            </w:r>
            <w:r>
              <w:rPr/>
              <w:t xml:space="preserve"> </w:t>
            </w:r>
            <w:r>
              <w:rPr>
                <w:rFonts w:ascii="Times New Roman" w:hAnsi="Times New Roman"/>
                <w:sz w:val="20"/>
              </w:rPr>
              <w:t>formatted in Inline XBRL</w:t>
            </w:r>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left"/>
              <w:rPr/>
            </w:pPr>
            <w:r>
              <w:rPr/>
              <w:t> </w:t>
            </w:r>
          </w:p>
        </w:tc>
      </w:tr>
    </w:tbl>
    <w:p>
      <w:pPr>
        <w:pStyle w:val="TextBody"/>
        <w:bidi w:val="0"/>
        <w:spacing w:lineRule="atLeast" w:line="200" w:before="0" w:after="0"/>
        <w:ind w:left="0" w:right="0" w:hanging="0"/>
        <w:jc w:val="both"/>
        <w:rPr/>
      </w:pPr>
      <w:r>
        <w:rPr/>
        <w:t> </w:t>
      </w:r>
    </w:p>
    <w:p>
      <w:pPr>
        <w:pStyle w:val="TextBody"/>
        <w:bidi w:val="0"/>
        <w:spacing w:lineRule="atLeast" w:line="240" w:before="0" w:after="0"/>
        <w:ind w:left="0" w:right="0" w:hanging="0"/>
        <w:jc w:val="both"/>
        <w:rPr/>
      </w:pPr>
      <w:r>
        <w:rPr/>
        <w:t xml:space="preserve">† </w:t>
      </w:r>
      <w:r>
        <w:rPr>
          <w:rFonts w:ascii="Times New Roman" w:hAnsi="Times New Roman"/>
          <w:sz w:val="20"/>
        </w:rPr>
        <w:t>Filed herewith</w:t>
      </w:r>
    </w:p>
    <w:p>
      <w:pPr>
        <w:pStyle w:val="TextBody"/>
        <w:bidi w:val="0"/>
        <w:spacing w:lineRule="atLeast" w:line="240" w:before="0" w:after="0"/>
        <w:ind w:left="0" w:right="0" w:hanging="0"/>
        <w:jc w:val="both"/>
        <w:rPr/>
      </w:pPr>
      <w:r>
        <w:rPr/>
      </w:r>
    </w:p>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lineRule="atLeast" w:line="200" w:before="0" w:after="0"/>
        <w:ind w:left="0" w:right="0" w:hanging="0"/>
        <w:jc w:val="both"/>
        <w:rPr/>
      </w:pPr>
      <w:r>
        <w:rPr/>
        <w:t> </w:t>
      </w:r>
    </w:p>
    <w:p>
      <w:pPr>
        <w:pStyle w:val="TextBody"/>
        <w:bidi w:val="0"/>
        <w:spacing w:lineRule="atLeast" w:line="240" w:before="0" w:after="0"/>
        <w:ind w:left="0" w:right="0" w:hanging="0"/>
        <w:jc w:val="both"/>
        <w:rPr>
          <w:rFonts w:ascii="Times New Roman" w:hAnsi="Times New Roman"/>
          <w:sz w:val="20"/>
        </w:rPr>
      </w:pPr>
      <w:r>
        <w:rPr>
          <w:rFonts w:ascii="Times New Roman" w:hAnsi="Times New Roman"/>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tLeast" w:line="200" w:before="0" w:after="0"/>
        <w:ind w:left="0" w:right="0" w:hanging="0"/>
        <w:jc w:val="both"/>
        <w:rPr/>
      </w:pPr>
      <w:r>
        <w:rPr/>
        <w:t> </w:t>
      </w:r>
    </w:p>
    <w:p>
      <w:pPr>
        <w:pStyle w:val="TextBody"/>
        <w:bidi w:val="0"/>
        <w:spacing w:lineRule="atLeast" w:line="240" w:before="0" w:after="0"/>
        <w:ind w:left="0" w:right="0" w:hanging="0"/>
        <w:jc w:val="both"/>
        <w:rPr>
          <w:rFonts w:ascii="Times New Roman" w:hAnsi="Times New Roman"/>
          <w:sz w:val="20"/>
        </w:rPr>
      </w:pPr>
      <w:r>
        <w:rPr>
          <w:rFonts w:ascii="Times New Roman" w:hAnsi="Times New Roman"/>
          <w:sz w:val="20"/>
        </w:rPr>
        <w:t>CLEARONE, INC.</w:t>
      </w:r>
    </w:p>
    <w:p>
      <w:pPr>
        <w:pStyle w:val="TextBody"/>
        <w:bidi w:val="0"/>
        <w:spacing w:lineRule="atLeast" w:line="240" w:before="0" w:after="0"/>
        <w:ind w:left="0" w:right="0" w:hanging="0"/>
        <w:jc w:val="both"/>
        <w:rPr>
          <w:rFonts w:ascii="Times New Roman" w:hAnsi="Times New Roman"/>
          <w:sz w:val="20"/>
        </w:rPr>
      </w:pPr>
      <w:r>
        <w:rPr>
          <w:rFonts w:ascii="Times New Roman" w:hAnsi="Times New Roman"/>
          <w:sz w:val="20"/>
        </w:rPr>
        <w:t>Registrant</w:t>
      </w:r>
    </w:p>
    <w:p>
      <w:pPr>
        <w:pStyle w:val="TextBody"/>
        <w:bidi w:val="0"/>
        <w:spacing w:lineRule="atLeast" w:line="200"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828"/>
        <w:gridCol w:w="377"/>
      </w:tblGrid>
      <w:tr>
        <w:trPr/>
        <w:tc>
          <w:tcPr>
            <w:tcW w:w="9828" w:type="dxa"/>
            <w:tcBorders/>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Derek L. Graham</w:t>
            </w:r>
          </w:p>
        </w:tc>
        <w:tc>
          <w:tcPr>
            <w:tcW w:w="377" w:type="dxa"/>
            <w:tcBorders/>
            <w:vAlign w:val="center"/>
          </w:tcPr>
          <w:p>
            <w:pPr>
              <w:pStyle w:val="TableContents"/>
              <w:bidi w:val="0"/>
              <w:spacing w:before="0" w:after="0"/>
              <w:ind w:left="0" w:right="0" w:hanging="0"/>
              <w:jc w:val="both"/>
              <w:rPr/>
            </w:pPr>
            <w:r>
              <w:rPr/>
              <w:t> </w:t>
            </w:r>
          </w:p>
        </w:tc>
      </w:tr>
      <w:tr>
        <w:trPr/>
        <w:tc>
          <w:tcPr>
            <w:tcW w:w="98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Derek L. Graham</w:t>
            </w:r>
          </w:p>
        </w:tc>
        <w:tc>
          <w:tcPr>
            <w:tcW w:w="377" w:type="dxa"/>
            <w:tcBorders/>
            <w:vAlign w:val="center"/>
          </w:tcPr>
          <w:p>
            <w:pPr>
              <w:pStyle w:val="TableContents"/>
              <w:bidi w:val="0"/>
              <w:spacing w:before="0" w:after="0"/>
              <w:ind w:left="0" w:right="0" w:hanging="0"/>
              <w:jc w:val="both"/>
              <w:rPr/>
            </w:pPr>
            <w:r>
              <w:rPr/>
              <w:t> </w:t>
            </w:r>
          </w:p>
        </w:tc>
      </w:tr>
      <w:tr>
        <w:trPr/>
        <w:tc>
          <w:tcPr>
            <w:tcW w:w="98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Chief Executive Officer</w:t>
            </w:r>
          </w:p>
        </w:tc>
        <w:tc>
          <w:tcPr>
            <w:tcW w:w="377" w:type="dxa"/>
            <w:tcBorders/>
            <w:vAlign w:val="center"/>
          </w:tcPr>
          <w:p>
            <w:pPr>
              <w:pStyle w:val="TableContents"/>
              <w:bidi w:val="0"/>
              <w:spacing w:before="0" w:after="0"/>
              <w:ind w:left="0" w:right="0" w:hanging="0"/>
              <w:jc w:val="both"/>
              <w:rPr/>
            </w:pPr>
            <w:r>
              <w:rPr/>
              <w:t> </w:t>
            </w:r>
          </w:p>
        </w:tc>
      </w:tr>
      <w:tr>
        <w:trPr/>
        <w:tc>
          <w:tcPr>
            <w:tcW w:w="98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April 25, 2025</w:t>
            </w:r>
          </w:p>
        </w:tc>
        <w:tc>
          <w:tcPr>
            <w:tcW w:w="377" w:type="dxa"/>
            <w:tcBorders/>
            <w:vAlign w:val="center"/>
          </w:tcPr>
          <w:p>
            <w:pPr>
              <w:pStyle w:val="TableContents"/>
              <w:bidi w:val="0"/>
              <w:spacing w:before="0" w:after="0"/>
              <w:ind w:left="0" w:right="0" w:hanging="0"/>
              <w:jc w:val="both"/>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ind w:left="0" w:right="0" w:hanging="0"/>
        <w:jc w:val="right"/>
        <w:rPr>
          <w:rFonts w:ascii="Times New Roman" w:hAnsi="Times New Roman"/>
          <w:b/>
          <w:sz w:val="20"/>
        </w:rPr>
      </w:pPr>
      <w:bookmarkStart w:id="0" w:name="ex312_3.htm"/>
      <w:bookmarkStart w:id="1" w:name="ksex312_3"/>
      <w:bookmarkEnd w:id="0"/>
      <w:bookmarkEnd w:id="1"/>
      <w:r>
        <w:rPr>
          <w:rFonts w:ascii="Times New Roman" w:hAnsi="Times New Roman"/>
          <w:b/>
          <w:sz w:val="20"/>
        </w:rPr>
        <w:t xml:space="preserve">EXHIBIT 31.2 </w:t>
      </w:r>
      <w:r>
        <w:br w:type="page"/>
      </w:r>
    </w:p>
    <w:p>
      <w:pPr>
        <w:pStyle w:val="TextBody"/>
        <w:bidi w:val="0"/>
        <w:spacing w:lineRule="atLeast" w:line="240" w:before="0" w:after="0"/>
        <w:ind w:left="0" w:right="0" w:hanging="0"/>
        <w:jc w:val="right"/>
        <w:rPr/>
      </w:pPr>
      <w:r>
        <w:rPr/>
        <w:t> </w:t>
      </w:r>
    </w:p>
    <w:p>
      <w:pPr>
        <w:pStyle w:val="TextBody"/>
        <w:bidi w:val="0"/>
        <w:spacing w:lineRule="atLeast" w:line="200" w:before="0" w:after="0"/>
        <w:ind w:left="0" w:right="0" w:hanging="0"/>
        <w:jc w:val="center"/>
        <w:rPr>
          <w:rFonts w:ascii="Times New Roman" w:hAnsi="Times New Roman"/>
          <w:b/>
          <w:sz w:val="20"/>
        </w:rPr>
      </w:pPr>
      <w:r>
        <w:rPr>
          <w:rFonts w:ascii="Times New Roman" w:hAnsi="Times New Roman"/>
          <w:b/>
          <w:sz w:val="20"/>
        </w:rPr>
        <w:t>CERTIFICATION</w:t>
      </w:r>
    </w:p>
    <w:p>
      <w:pPr>
        <w:pStyle w:val="TextBody"/>
        <w:bidi w:val="0"/>
        <w:spacing w:lineRule="atLeast" w:line="200" w:before="0" w:after="0"/>
        <w:ind w:left="0" w:right="0" w:hanging="0"/>
        <w:jc w:val="center"/>
        <w:rPr/>
      </w:pPr>
      <w:r>
        <w:rPr/>
        <w:t> </w:t>
      </w:r>
    </w:p>
    <w:p>
      <w:pPr>
        <w:pStyle w:val="TextBody"/>
        <w:bidi w:val="0"/>
        <w:spacing w:lineRule="atLeast" w:line="200" w:before="0" w:after="0"/>
        <w:ind w:left="0" w:right="0" w:hanging="0"/>
        <w:jc w:val="left"/>
        <w:rPr>
          <w:rFonts w:ascii="Times New Roman" w:hAnsi="Times New Roman"/>
          <w:sz w:val="20"/>
        </w:rPr>
      </w:pPr>
      <w:r>
        <w:rPr>
          <w:rFonts w:ascii="Times New Roman" w:hAnsi="Times New Roman"/>
          <w:sz w:val="20"/>
        </w:rPr>
        <w:t>I, Simon Brewer, certify that:</w:t>
      </w:r>
    </w:p>
    <w:p>
      <w:pPr>
        <w:pStyle w:val="TextBody"/>
        <w:bidi w:val="0"/>
        <w:spacing w:lineRule="atLeast" w:line="20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60" w:type="dxa"/>
            <w:tcBorders/>
            <w:vAlign w:val="center"/>
          </w:tcPr>
          <w:p>
            <w:pPr>
              <w:pStyle w:val="TableContents"/>
              <w:bidi w:val="0"/>
              <w:spacing w:before="0" w:after="0"/>
              <w:ind w:left="0" w:right="0" w:hanging="0"/>
              <w:jc w:val="left"/>
              <w:rPr/>
            </w:pPr>
            <w:r>
              <w:rPr>
                <w:rFonts w:ascii="Times New Roman" w:hAnsi="Times New Roman"/>
                <w:sz w:val="20"/>
              </w:rPr>
              <w:t>I have reviewed this Amendment No. 1 to Annual Report</w:t>
            </w:r>
            <w:r>
              <w:rPr/>
              <w:t xml:space="preserve"> </w:t>
            </w:r>
            <w:r>
              <w:rPr>
                <w:rFonts w:ascii="Times New Roman" w:hAnsi="Times New Roman"/>
                <w:sz w:val="20"/>
              </w:rPr>
              <w:t>on Form 10-K/A</w:t>
            </w:r>
            <w:r>
              <w:rPr/>
              <w:t xml:space="preserve"> </w:t>
            </w:r>
            <w:r>
              <w:rPr>
                <w:rFonts w:ascii="Times New Roman" w:hAnsi="Times New Roman"/>
                <w:sz w:val="20"/>
              </w:rPr>
              <w:t>of ClearOne, Inc.;</w:t>
            </w:r>
          </w:p>
        </w:tc>
      </w:tr>
    </w:tbl>
    <w:p>
      <w:pPr>
        <w:pStyle w:val="TextBody"/>
        <w:bidi w:val="0"/>
        <w:spacing w:lineRule="atLeast" w:line="20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lineRule="atLeast" w:line="240" w:before="0" w:after="0"/>
              <w:ind w:left="0" w:right="0" w:hanging="0"/>
              <w:jc w:val="left"/>
              <w:rPr>
                <w:rFonts w:ascii="Times New Roman" w:hAnsi="Times New Roman"/>
                <w:sz w:val="20"/>
              </w:rPr>
            </w:pPr>
            <w:r>
              <w:rPr>
                <w:rFonts w:ascii="Times New Roman" w:hAnsi="Times New Roman"/>
                <w:sz w:val="20"/>
              </w:rPr>
              <w:t>2.</w:t>
            </w:r>
          </w:p>
        </w:tc>
        <w:tc>
          <w:tcPr>
            <w:tcW w:w="10049" w:type="dxa"/>
            <w:tcBorders/>
            <w:vAlign w:val="center"/>
          </w:tcPr>
          <w:p>
            <w:pPr>
              <w:pStyle w:val="TableContents"/>
              <w:bidi w:val="0"/>
              <w:spacing w:lineRule="atLeast" w:line="240"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tLeast"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150"/>
        <w:gridCol w:w="613"/>
        <w:gridCol w:w="7442"/>
      </w:tblGrid>
      <w:tr>
        <w:trPr/>
        <w:tc>
          <w:tcPr>
            <w:tcW w:w="2150" w:type="dxa"/>
            <w:tcBorders/>
            <w:vAlign w:val="center"/>
          </w:tcPr>
          <w:p>
            <w:pPr>
              <w:pStyle w:val="TableContents"/>
              <w:bidi w:val="0"/>
              <w:spacing w:before="0" w:after="0"/>
              <w:ind w:left="0" w:right="0" w:hanging="0"/>
              <w:jc w:val="left"/>
              <w:rPr/>
            </w:pPr>
            <w:r>
              <w:rPr>
                <w:rFonts w:ascii="Times New Roman" w:hAnsi="Times New Roman"/>
                <w:sz w:val="20"/>
              </w:rPr>
              <w:t>April 25, 2025</w:t>
            </w:r>
            <w:r>
              <w:rPr/>
              <w:t> </w:t>
            </w:r>
          </w:p>
        </w:tc>
        <w:tc>
          <w:tcPr>
            <w:tcW w:w="61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By: </w:t>
            </w:r>
          </w:p>
        </w:tc>
        <w:tc>
          <w:tcPr>
            <w:tcW w:w="7442" w:type="dxa"/>
            <w:tcBorders/>
            <w:vAlign w:val="center"/>
          </w:tcPr>
          <w:p>
            <w:pPr>
              <w:pStyle w:val="TableContents"/>
              <w:bidi w:val="0"/>
              <w:spacing w:before="0" w:after="0"/>
              <w:ind w:left="0" w:right="0" w:hanging="0"/>
              <w:jc w:val="left"/>
              <w:rPr/>
            </w:pPr>
            <w:r>
              <w:rPr/>
              <w:t> </w:t>
            </w:r>
            <w:r>
              <w:rPr>
                <w:rFonts w:ascii="Times New Roman" w:hAnsi="Times New Roman"/>
                <w:i/>
                <w:sz w:val="20"/>
              </w:rPr>
              <w:t xml:space="preserve">/s/ </w:t>
            </w:r>
            <w:r>
              <w:rPr/>
              <w:t> </w:t>
            </w:r>
            <w:r>
              <w:rPr>
                <w:rFonts w:ascii="Times New Roman" w:hAnsi="Times New Roman"/>
                <w:i/>
                <w:sz w:val="20"/>
              </w:rPr>
              <w:t>Simon Brewer</w:t>
            </w:r>
          </w:p>
        </w:tc>
      </w:tr>
      <w:tr>
        <w:trPr/>
        <w:tc>
          <w:tcPr>
            <w:tcW w:w="2150"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left"/>
              <w:rPr/>
            </w:pPr>
            <w:r>
              <w:rPr/>
              <w:t> </w:t>
            </w:r>
          </w:p>
        </w:tc>
        <w:tc>
          <w:tcPr>
            <w:tcW w:w="7442"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Simon Brewer</w:t>
            </w:r>
          </w:p>
        </w:tc>
      </w:tr>
      <w:tr>
        <w:trPr/>
        <w:tc>
          <w:tcPr>
            <w:tcW w:w="2150"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left"/>
              <w:rPr/>
            </w:pPr>
            <w:r>
              <w:rPr/>
              <w:t> </w:t>
            </w:r>
          </w:p>
        </w:tc>
        <w:tc>
          <w:tcPr>
            <w:tcW w:w="7442" w:type="dxa"/>
            <w:tcBorders/>
            <w:vAlign w:val="center"/>
          </w:tcPr>
          <w:p>
            <w:pPr>
              <w:pStyle w:val="TableContents"/>
              <w:bidi w:val="0"/>
              <w:spacing w:before="0" w:after="0"/>
              <w:ind w:left="0" w:right="0" w:hanging="0"/>
              <w:jc w:val="left"/>
              <w:rPr/>
            </w:pPr>
            <w:r>
              <w:rPr>
                <w:rFonts w:ascii="Times New Roman" w:hAnsi="Times New Roman"/>
                <w:sz w:val="20"/>
              </w:rPr>
              <w:t>Chief Financial Officer</w:t>
            </w:r>
            <w:r>
              <w:rPr/>
              <w:t> </w:t>
            </w:r>
          </w:p>
        </w:tc>
      </w:tr>
      <w:tr>
        <w:trPr/>
        <w:tc>
          <w:tcPr>
            <w:tcW w:w="2150"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left"/>
              <w:rPr/>
            </w:pPr>
            <w:r>
              <w:rPr/>
              <w:t> </w:t>
            </w:r>
          </w:p>
        </w:tc>
        <w:tc>
          <w:tcPr>
            <w:tcW w:w="74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Accounting and Principal Financial Officer)</w:t>
            </w:r>
          </w:p>
        </w:tc>
      </w:tr>
    </w:tbl>
    <w:p>
      <w:pPr>
        <w:pStyle w:val="TextBody"/>
        <w:bidi w:val="0"/>
        <w:spacing w:lineRule="atLeast" w:line="240" w:before="0" w:after="0"/>
        <w:ind w:left="0" w:right="0" w:hanging="0"/>
        <w:jc w:val="left"/>
        <w:rPr/>
      </w:pPr>
      <w:r>
        <w:rPr/>
        <w:t> </w:t>
      </w:r>
    </w:p>
    <w:p>
      <w:pPr>
        <w:pStyle w:val="TextBody"/>
        <w:bidi w:val="0"/>
        <w:spacing w:before="0" w:after="0"/>
        <w:ind w:left="0" w:right="0" w:hanging="0"/>
        <w:jc w:val="left"/>
        <w:rPr/>
      </w:pPr>
      <w:r>
        <w:rPr/>
        <w:t> </w:t>
      </w:r>
      <w:r>
        <w:br w:type="page"/>
      </w:r>
    </w:p>
    <w:p>
      <w:pPr>
        <w:pStyle w:val="TextBody"/>
        <w:bidi w:val="0"/>
        <w:spacing w:before="0" w:after="0"/>
        <w:ind w:left="0" w:right="0" w:hanging="0"/>
        <w:jc w:val="left"/>
        <w:rPr/>
      </w:pPr>
      <w:r>
        <w:rPr/>
      </w:r>
      <w:bookmarkStart w:id="2" w:name="ex311_2.htm"/>
      <w:bookmarkStart w:id="3" w:name="ksex311_2"/>
      <w:bookmarkStart w:id="4" w:name="ex311_2.htm"/>
      <w:bookmarkStart w:id="5" w:name="ksex311_2"/>
      <w:bookmarkEnd w:id="4"/>
      <w:bookmarkEnd w:id="5"/>
    </w:p>
    <w:p>
      <w:pPr>
        <w:pStyle w:val="TextBody"/>
        <w:bidi w:val="0"/>
        <w:spacing w:lineRule="atLeast" w:line="200" w:before="0" w:after="0"/>
        <w:ind w:left="144" w:right="144" w:hanging="0"/>
        <w:jc w:val="right"/>
        <w:rPr>
          <w:rFonts w:ascii="Times New Roman" w:hAnsi="Times New Roman"/>
          <w:b/>
          <w:sz w:val="20"/>
        </w:rPr>
      </w:pPr>
      <w:r>
        <w:rPr>
          <w:rFonts w:ascii="Times New Roman" w:hAnsi="Times New Roman"/>
          <w:b/>
          <w:sz w:val="20"/>
        </w:rPr>
        <w:t>EXHIBIT 31.1</w:t>
      </w:r>
    </w:p>
    <w:p>
      <w:pPr>
        <w:pStyle w:val="TextBody"/>
        <w:bidi w:val="0"/>
        <w:spacing w:lineRule="atLeast" w:line="200" w:before="0" w:after="0"/>
        <w:ind w:left="144" w:right="144" w:hanging="0"/>
        <w:jc w:val="center"/>
        <w:rPr/>
      </w:pPr>
      <w:r>
        <w:rPr/>
        <w:t> </w:t>
      </w:r>
    </w:p>
    <w:p>
      <w:pPr>
        <w:pStyle w:val="TextBody"/>
        <w:bidi w:val="0"/>
        <w:spacing w:lineRule="atLeast" w:line="200" w:before="0" w:after="0"/>
        <w:ind w:left="144" w:right="144" w:hanging="0"/>
        <w:jc w:val="center"/>
        <w:rPr>
          <w:rFonts w:ascii="Times New Roman" w:hAnsi="Times New Roman"/>
          <w:b/>
          <w:sz w:val="20"/>
        </w:rPr>
      </w:pPr>
      <w:r>
        <w:rPr>
          <w:rFonts w:ascii="Times New Roman" w:hAnsi="Times New Roman"/>
          <w:b/>
          <w:sz w:val="20"/>
        </w:rPr>
        <w:t>CERTIFICATION</w:t>
      </w:r>
    </w:p>
    <w:p>
      <w:pPr>
        <w:pStyle w:val="TextBody"/>
        <w:bidi w:val="0"/>
        <w:spacing w:lineRule="atLeast" w:line="200" w:before="0" w:after="0"/>
        <w:ind w:left="0" w:right="0" w:hanging="0"/>
        <w:jc w:val="left"/>
        <w:rPr/>
      </w:pPr>
      <w:r>
        <w:rPr/>
        <w:t> </w:t>
      </w:r>
    </w:p>
    <w:p>
      <w:pPr>
        <w:pStyle w:val="TextBody"/>
        <w:bidi w:val="0"/>
        <w:spacing w:lineRule="atLeast" w:line="200" w:before="0" w:after="0"/>
        <w:ind w:left="0" w:right="0" w:hanging="0"/>
        <w:jc w:val="left"/>
        <w:rPr>
          <w:rFonts w:ascii="Times New Roman" w:hAnsi="Times New Roman"/>
          <w:sz w:val="20"/>
        </w:rPr>
      </w:pPr>
      <w:r>
        <w:rPr>
          <w:rFonts w:ascii="Times New Roman" w:hAnsi="Times New Roman"/>
          <w:sz w:val="20"/>
        </w:rPr>
        <w:t>I, Derek L. Graham, certify that:</w:t>
      </w:r>
    </w:p>
    <w:p>
      <w:pPr>
        <w:pStyle w:val="TextBody"/>
        <w:bidi w:val="0"/>
        <w:spacing w:lineRule="atLeast" w:line="20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5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 have reviewed this Amendment No. 1 to Annual Report on Form 10-K/A of ClearOne, Inc.;</w:t>
            </w:r>
          </w:p>
        </w:tc>
      </w:tr>
    </w:tbl>
    <w:p>
      <w:pPr>
        <w:pStyle w:val="TextBody"/>
        <w:bidi w:val="0"/>
        <w:spacing w:lineRule="atLeast" w:line="20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10049" w:type="dxa"/>
            <w:tcBorders/>
            <w:vAlign w:val="center"/>
          </w:tcPr>
          <w:p>
            <w:pPr>
              <w:pStyle w:val="TableContents"/>
              <w:bidi w:val="0"/>
              <w:spacing w:lineRule="atLeast" w:line="240"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tLeast"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45"/>
        <w:gridCol w:w="865"/>
        <w:gridCol w:w="5595"/>
      </w:tblGrid>
      <w:tr>
        <w:trPr/>
        <w:tc>
          <w:tcPr>
            <w:tcW w:w="3745" w:type="dxa"/>
            <w:tcBorders/>
            <w:vAlign w:val="center"/>
          </w:tcPr>
          <w:p>
            <w:pPr>
              <w:pStyle w:val="TableContents"/>
              <w:bidi w:val="0"/>
              <w:spacing w:before="0" w:after="0"/>
              <w:ind w:left="0" w:right="0" w:hanging="0"/>
              <w:jc w:val="left"/>
              <w:rPr/>
            </w:pPr>
            <w:r>
              <w:rPr>
                <w:rFonts w:ascii="Times New Roman" w:hAnsi="Times New Roman"/>
                <w:sz w:val="20"/>
              </w:rPr>
              <w:t>April 25, 2025</w:t>
            </w:r>
            <w:r>
              <w:rPr/>
              <w:t>      </w:t>
            </w:r>
          </w:p>
        </w:tc>
        <w:tc>
          <w:tcPr>
            <w:tcW w:w="8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By: </w:t>
            </w:r>
          </w:p>
        </w:tc>
        <w:tc>
          <w:tcPr>
            <w:tcW w:w="5595"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Derek L. Graham</w:t>
            </w:r>
          </w:p>
        </w:tc>
      </w:tr>
      <w:tr>
        <w:trPr/>
        <w:tc>
          <w:tcPr>
            <w:tcW w:w="3745"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left"/>
              <w:rPr/>
            </w:pPr>
            <w:r>
              <w:rPr/>
              <w:t> </w:t>
            </w:r>
          </w:p>
        </w:tc>
        <w:tc>
          <w:tcPr>
            <w:tcW w:w="55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tc>
      </w:tr>
      <w:tr>
        <w:trPr/>
        <w:tc>
          <w:tcPr>
            <w:tcW w:w="3745"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left"/>
              <w:rPr/>
            </w:pPr>
            <w:r>
              <w:rPr/>
              <w:t> </w:t>
            </w:r>
          </w:p>
        </w:tc>
        <w:tc>
          <w:tcPr>
            <w:tcW w:w="55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tc>
      </w:tr>
      <w:tr>
        <w:trPr/>
        <w:tc>
          <w:tcPr>
            <w:tcW w:w="3745"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left"/>
              <w:rPr/>
            </w:pPr>
            <w:r>
              <w:rPr/>
              <w:t> </w:t>
            </w:r>
          </w:p>
        </w:tc>
        <w:tc>
          <w:tcPr>
            <w:tcW w:w="55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Executive Officer)</w:t>
            </w:r>
          </w:p>
        </w:tc>
      </w:tr>
    </w:tbl>
    <w:p>
      <w:pPr>
        <w:pStyle w:val="TextBody"/>
        <w:bidi w:val="0"/>
        <w:spacing w:lineRule="atLeast" w:line="200" w:before="0" w:after="0"/>
        <w:ind w:left="0" w:right="0" w:hanging="0"/>
        <w:jc w:val="left"/>
        <w:rPr/>
      </w:pPr>
      <w:r>
        <w:rPr/>
        <w:t> </w:t>
      </w:r>
    </w:p>
    <w:p>
      <w:pPr>
        <w:pStyle w:val="TextBody"/>
        <w:bidi w:val="0"/>
        <w:spacing w:lineRule="auto" w:line="288" w:before="120" w:after="0"/>
        <w:ind w:left="0" w:right="0" w:hanging="0"/>
        <w:jc w:val="right"/>
        <w:rPr>
          <w:rFonts w:ascii="Times New Roman" w:hAnsi="Times New Roman"/>
          <w:b/>
          <w:color w:val="222222"/>
          <w:sz w:val="20"/>
        </w:rPr>
      </w:pPr>
      <w:bookmarkStart w:id="6" w:name="ex971_1.htm"/>
      <w:bookmarkStart w:id="7" w:name="ksex971_1"/>
      <w:bookmarkEnd w:id="6"/>
      <w:bookmarkEnd w:id="7"/>
      <w:r>
        <w:rPr>
          <w:rFonts w:ascii="Times New Roman" w:hAnsi="Times New Roman"/>
          <w:b/>
          <w:color w:val="222222"/>
          <w:sz w:val="20"/>
        </w:rPr>
        <w:t>Exhibit 97.1</w:t>
      </w:r>
      <w:r>
        <w:br w:type="page"/>
      </w:r>
    </w:p>
    <w:p>
      <w:pPr>
        <w:pStyle w:val="TextBody"/>
        <w:bidi w:val="0"/>
        <w:spacing w:lineRule="auto" w:line="288" w:before="120" w:after="0"/>
        <w:ind w:left="0" w:right="0" w:hanging="0"/>
        <w:jc w:val="center"/>
        <w:rPr>
          <w:rFonts w:ascii="times new roman;times" w:hAnsi="times new roman;times"/>
          <w:sz w:val="20"/>
        </w:rPr>
      </w:pPr>
      <w:r>
        <w:rPr>
          <w:rFonts w:ascii="Times New Roman" w:hAnsi="Times New Roman"/>
          <w:b/>
          <w:sz w:val="20"/>
        </w:rPr>
        <w:t>CLEARONE, INC.</w:t>
      </w:r>
      <w:r>
        <w:rPr>
          <w:rFonts w:ascii="times new roman;times" w:hAnsi="times new roman;times"/>
          <w:sz w:val="20"/>
        </w:rPr>
        <w:t xml:space="preserve"> </w:t>
      </w:r>
      <w:r>
        <w:rPr>
          <w:rFonts w:ascii="Times New Roman" w:hAnsi="Times New Roman"/>
          <w:b/>
          <w:sz w:val="20"/>
        </w:rPr>
        <w:t>("the Company")</w:t>
      </w:r>
    </w:p>
    <w:p>
      <w:pPr>
        <w:pStyle w:val="TextBody"/>
        <w:bidi w:val="0"/>
        <w:spacing w:lineRule="auto" w:line="288" w:before="120" w:after="0"/>
        <w:ind w:left="0" w:right="0" w:hanging="0"/>
        <w:jc w:val="center"/>
        <w:rPr>
          <w:rFonts w:ascii="Times New Roman" w:hAnsi="Times New Roman"/>
          <w:b/>
          <w:sz w:val="20"/>
        </w:rPr>
      </w:pPr>
      <w:r>
        <w:rPr>
          <w:rFonts w:ascii="Times New Roman" w:hAnsi="Times New Roman"/>
          <w:b/>
          <w:sz w:val="20"/>
        </w:rPr>
        <w:t xml:space="preserve">CLAWBACK POLICY </w:t>
      </w:r>
    </w:p>
    <w:p>
      <w:pPr>
        <w:pStyle w:val="TextBody"/>
        <w:bidi w:val="0"/>
        <w:spacing w:lineRule="auto" w:line="288" w:before="120" w:after="0"/>
        <w:ind w:left="0" w:right="0" w:hanging="0"/>
        <w:jc w:val="left"/>
        <w:rPr>
          <w:rFonts w:ascii="Times New Roman" w:hAnsi="Times New Roman"/>
          <w:b/>
          <w:sz w:val="20"/>
          <w:u w:val="single"/>
        </w:rPr>
      </w:pPr>
      <w:r>
        <w:rPr>
          <w:rFonts w:ascii="Times New Roman" w:hAnsi="Times New Roman"/>
          <w:b/>
          <w:sz w:val="20"/>
          <w:u w:val="single"/>
        </w:rPr>
        <w:t>Introduction</w:t>
      </w:r>
    </w:p>
    <w:p>
      <w:pPr>
        <w:pStyle w:val="TextBody"/>
        <w:bidi w:val="0"/>
        <w:spacing w:lineRule="auto" w:line="288" w:before="120" w:after="0"/>
        <w:ind w:left="0" w:right="0" w:hanging="0"/>
        <w:jc w:val="left"/>
        <w:rPr>
          <w:rFonts w:ascii="times new roman;times" w:hAnsi="times new roman;times"/>
          <w:sz w:val="20"/>
        </w:rPr>
      </w:pPr>
      <w:r>
        <w:rPr>
          <w:rFonts w:ascii="Times New Roman" w:hAnsi="Times New Roman"/>
          <w:sz w:val="20"/>
        </w:rPr>
        <w:t>The Board of Directors of the Company (the "</w:t>
      </w:r>
      <w:r>
        <w:rPr>
          <w:rFonts w:ascii="Times New Roman" w:hAnsi="Times New Roman"/>
          <w:b/>
          <w:sz w:val="20"/>
        </w:rPr>
        <w:t>Board</w:t>
      </w:r>
      <w:r>
        <w:rPr>
          <w:rFonts w:ascii="Times New Roman" w:hAnsi="Times New Roman"/>
          <w:sz w:val="20"/>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hAnsi="Times New Roman"/>
          <w:b/>
          <w:sz w:val="20"/>
        </w:rPr>
        <w:t>Policy</w:t>
      </w:r>
      <w:r>
        <w:rPr>
          <w:rFonts w:ascii="Times New Roman" w:hAnsi="Times New Roman"/>
          <w:sz w:val="20"/>
        </w:rPr>
        <w:t>"). This Policy is designed to comply with Section 10D of the Securities Exchange Act of 1934 (the "</w:t>
      </w:r>
      <w:r>
        <w:rPr>
          <w:rFonts w:ascii="Times New Roman" w:hAnsi="Times New Roman"/>
          <w:b/>
          <w:sz w:val="20"/>
        </w:rPr>
        <w:t>Exchange Act</w:t>
      </w:r>
      <w:r>
        <w:rPr>
          <w:rFonts w:ascii="Times New Roman" w:hAnsi="Times New Roman"/>
          <w:sz w:val="20"/>
        </w:rPr>
        <w:t>"), Rule 10D-1 promulgated thereunder, and Section 5608 of the Nasdaq Stock Market Rules.</w:t>
      </w:r>
    </w:p>
    <w:p>
      <w:pPr>
        <w:pStyle w:val="TextBody"/>
        <w:bidi w:val="0"/>
        <w:spacing w:lineRule="auto" w:line="288" w:before="120" w:after="0"/>
        <w:ind w:left="0" w:right="0" w:hanging="0"/>
        <w:jc w:val="left"/>
        <w:rPr>
          <w:rFonts w:ascii="Times New Roman" w:hAnsi="Times New Roman"/>
          <w:b/>
          <w:sz w:val="20"/>
          <w:u w:val="single"/>
        </w:rPr>
      </w:pPr>
      <w:r>
        <w:rPr>
          <w:rFonts w:ascii="Times New Roman" w:hAnsi="Times New Roman"/>
          <w:b/>
          <w:sz w:val="20"/>
          <w:u w:val="single"/>
        </w:rPr>
        <w:t>Administration</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pStyle w:val="TextBody"/>
        <w:bidi w:val="0"/>
        <w:spacing w:lineRule="auto" w:line="288" w:before="120" w:after="0"/>
        <w:ind w:left="0" w:right="0" w:hanging="0"/>
        <w:jc w:val="left"/>
        <w:rPr>
          <w:rFonts w:ascii="Times New Roman" w:hAnsi="Times New Roman"/>
          <w:b/>
          <w:sz w:val="20"/>
          <w:u w:val="single"/>
        </w:rPr>
      </w:pPr>
      <w:r>
        <w:rPr>
          <w:rFonts w:ascii="Times New Roman" w:hAnsi="Times New Roman"/>
          <w:b/>
          <w:sz w:val="20"/>
          <w:u w:val="single"/>
        </w:rPr>
        <w:t>Covered Executives</w:t>
      </w:r>
    </w:p>
    <w:p>
      <w:pPr>
        <w:pStyle w:val="TextBody"/>
        <w:bidi w:val="0"/>
        <w:spacing w:lineRule="auto" w:line="288" w:before="120" w:after="0"/>
        <w:ind w:left="0" w:right="0" w:hanging="0"/>
        <w:jc w:val="left"/>
        <w:rPr>
          <w:rFonts w:ascii="times new roman;times" w:hAnsi="times new roman;times"/>
          <w:sz w:val="20"/>
        </w:rPr>
      </w:pPr>
      <w:r>
        <w:rPr>
          <w:rFonts w:ascii="Times New Roman" w:hAnsi="Times New Roman"/>
          <w:sz w:val="20"/>
        </w:rPr>
        <w:t>This Policy applies to the Company's current and former executive officers, as determined by the Board in accordance with Section 10D of the Exchange Act, Rule 10D-1 promulgated thereunder, and the listing standards of the national securities exchange on which the Company's securities are listed, and such other senior executives/employees who may from time to time be deemed subject to the Policy by the Board ("</w:t>
      </w:r>
      <w:r>
        <w:rPr>
          <w:rFonts w:ascii="Times New Roman" w:hAnsi="Times New Roman"/>
          <w:b/>
          <w:sz w:val="20"/>
        </w:rPr>
        <w:t>Covered Executives</w:t>
      </w:r>
      <w:r>
        <w:rPr>
          <w:rFonts w:ascii="Times New Roman" w:hAnsi="Times New Roman"/>
          <w:sz w:val="20"/>
        </w:rPr>
        <w:t xml:space="preserve">"). </w:t>
      </w:r>
    </w:p>
    <w:p>
      <w:pPr>
        <w:pStyle w:val="TextBody"/>
        <w:bidi w:val="0"/>
        <w:spacing w:lineRule="auto" w:line="288" w:before="120" w:after="0"/>
        <w:ind w:left="0" w:right="0" w:hanging="0"/>
        <w:jc w:val="left"/>
        <w:rPr>
          <w:rFonts w:ascii="Times New Roman" w:hAnsi="Times New Roman"/>
          <w:b/>
          <w:sz w:val="20"/>
          <w:u w:val="single"/>
        </w:rPr>
      </w:pPr>
      <w:r>
        <w:rPr>
          <w:rFonts w:ascii="Times New Roman" w:hAnsi="Times New Roman"/>
          <w:b/>
          <w:sz w:val="20"/>
          <w:u w:val="single"/>
        </w:rPr>
        <w:t>Recoupment; Accounting Restatement</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 xml:space="preserve">In the event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received by any Covered Executive during the three completed fiscal years immediately preceding the date on which the Company is required to prepare an accounting restatement. </w:t>
      </w:r>
    </w:p>
    <w:p>
      <w:pPr>
        <w:pStyle w:val="TextBody"/>
        <w:bidi w:val="0"/>
        <w:spacing w:lineRule="auto" w:line="288" w:before="120" w:after="0"/>
        <w:ind w:left="0" w:right="0" w:hanging="0"/>
        <w:jc w:val="left"/>
        <w:rPr>
          <w:rFonts w:ascii="Times New Roman" w:hAnsi="Times New Roman"/>
          <w:b/>
          <w:sz w:val="20"/>
          <w:u w:val="single"/>
        </w:rPr>
      </w:pPr>
      <w:r>
        <w:rPr>
          <w:rFonts w:ascii="Times New Roman" w:hAnsi="Times New Roman"/>
          <w:b/>
          <w:sz w:val="20"/>
          <w:u w:val="single"/>
        </w:rPr>
        <w:t>Incentive Compensation</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For purposes of this Policy, Incentive Compensation means any of the following; provided that, such compensation is granted, earned, or vested based wholly or in part on the attainment of a financial reporting measure:</w:t>
      </w:r>
    </w:p>
    <w:p>
      <w:pPr>
        <w:pStyle w:val="TextBody"/>
        <w:numPr>
          <w:ilvl w:val="0"/>
          <w:numId w:val="2"/>
        </w:numPr>
        <w:pBdr/>
        <w:tabs>
          <w:tab w:val="clear" w:pos="1134"/>
          <w:tab w:val="left" w:pos="919" w:leader="none"/>
        </w:tabs>
        <w:bidi w:val="0"/>
        <w:spacing w:before="0" w:after="240"/>
        <w:ind w:left="919" w:right="0" w:hanging="283"/>
        <w:jc w:val="left"/>
        <w:rPr>
          <w:rFonts w:ascii="times new roman;times" w:hAnsi="times new roman;times"/>
          <w:sz w:val="20"/>
        </w:rPr>
      </w:pPr>
      <w:r>
        <w:rPr>
          <w:rFonts w:ascii="Times New Roman" w:hAnsi="Times New Roman"/>
          <w:sz w:val="20"/>
        </w:rPr>
        <w:t>Annual bonuses and other short- and long-term cash incentives.</w:t>
      </w:r>
      <w:r>
        <w:rPr>
          <w:rFonts w:ascii="times new roman;times" w:hAnsi="times new roman;times"/>
          <w:sz w:val="20"/>
        </w:rPr>
        <w:t xml:space="preserve"> </w:t>
      </w:r>
    </w:p>
    <w:p>
      <w:pPr>
        <w:pStyle w:val="TextBody"/>
        <w:numPr>
          <w:ilvl w:val="0"/>
          <w:numId w:val="2"/>
        </w:numPr>
        <w:pBdr/>
        <w:tabs>
          <w:tab w:val="clear" w:pos="1134"/>
          <w:tab w:val="left" w:pos="919" w:leader="none"/>
        </w:tabs>
        <w:bidi w:val="0"/>
        <w:spacing w:before="0" w:after="240"/>
        <w:ind w:left="919" w:right="0" w:hanging="283"/>
        <w:jc w:val="left"/>
        <w:rPr>
          <w:rFonts w:ascii="times new roman;times" w:hAnsi="times new roman;times"/>
          <w:sz w:val="20"/>
        </w:rPr>
      </w:pPr>
      <w:r>
        <w:rPr>
          <w:rFonts w:ascii="Times New Roman" w:hAnsi="Times New Roman"/>
          <w:sz w:val="20"/>
        </w:rPr>
        <w:t>Stock options.</w:t>
      </w:r>
      <w:r>
        <w:rPr>
          <w:rFonts w:ascii="times new roman;times" w:hAnsi="times new roman;times"/>
          <w:sz w:val="20"/>
        </w:rPr>
        <w:t xml:space="preserve"> </w:t>
      </w:r>
    </w:p>
    <w:p>
      <w:pPr>
        <w:pStyle w:val="TextBody"/>
        <w:numPr>
          <w:ilvl w:val="0"/>
          <w:numId w:val="2"/>
        </w:numPr>
        <w:pBdr/>
        <w:tabs>
          <w:tab w:val="clear" w:pos="1134"/>
          <w:tab w:val="left" w:pos="919" w:leader="none"/>
        </w:tabs>
        <w:bidi w:val="0"/>
        <w:spacing w:before="0" w:after="240"/>
        <w:ind w:left="919" w:right="0" w:hanging="283"/>
        <w:jc w:val="left"/>
        <w:rPr>
          <w:rFonts w:ascii="times new roman;times" w:hAnsi="times new roman;times"/>
          <w:sz w:val="20"/>
        </w:rPr>
      </w:pPr>
      <w:r>
        <w:rPr>
          <w:rFonts w:ascii="Times New Roman" w:hAnsi="Times New Roman"/>
          <w:sz w:val="20"/>
        </w:rPr>
        <w:t>Stock appreciation rights.</w:t>
      </w:r>
      <w:r>
        <w:rPr>
          <w:rFonts w:ascii="times new roman;times" w:hAnsi="times new roman;times"/>
          <w:sz w:val="20"/>
        </w:rPr>
        <w:t xml:space="preserve"> </w:t>
      </w:r>
    </w:p>
    <w:p>
      <w:pPr>
        <w:pStyle w:val="TextBody"/>
        <w:numPr>
          <w:ilvl w:val="0"/>
          <w:numId w:val="2"/>
        </w:numPr>
        <w:pBdr/>
        <w:tabs>
          <w:tab w:val="clear" w:pos="1134"/>
          <w:tab w:val="left" w:pos="919" w:leader="none"/>
        </w:tabs>
        <w:bidi w:val="0"/>
        <w:spacing w:before="0" w:after="240"/>
        <w:ind w:left="919" w:right="0" w:hanging="283"/>
        <w:jc w:val="left"/>
        <w:rPr>
          <w:rFonts w:ascii="times new roman;times" w:hAnsi="times new roman;times"/>
          <w:sz w:val="20"/>
        </w:rPr>
      </w:pPr>
      <w:r>
        <w:rPr>
          <w:rFonts w:ascii="Times New Roman" w:hAnsi="Times New Roman"/>
          <w:sz w:val="20"/>
        </w:rPr>
        <w:t>Restricted stock.</w:t>
      </w:r>
      <w:r>
        <w:rPr>
          <w:rFonts w:ascii="times new roman;times" w:hAnsi="times new roman;times"/>
          <w:sz w:val="20"/>
        </w:rPr>
        <w:t xml:space="preserve"> </w:t>
      </w:r>
    </w:p>
    <w:p>
      <w:pPr>
        <w:pStyle w:val="TextBody"/>
        <w:bidi w:val="0"/>
        <w:spacing w:lineRule="auto" w:line="288"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numPr>
          <w:ilvl w:val="0"/>
          <w:numId w:val="3"/>
        </w:numPr>
        <w:pBdr/>
        <w:tabs>
          <w:tab w:val="clear" w:pos="1134"/>
          <w:tab w:val="left" w:pos="919" w:leader="none"/>
        </w:tabs>
        <w:bidi w:val="0"/>
        <w:spacing w:before="0" w:after="240"/>
        <w:ind w:left="919" w:right="0" w:hanging="283"/>
        <w:jc w:val="left"/>
        <w:rPr>
          <w:rFonts w:ascii="times new roman;times" w:hAnsi="times new roman;times"/>
          <w:sz w:val="20"/>
        </w:rPr>
      </w:pPr>
      <w:r>
        <w:rPr>
          <w:rFonts w:ascii="Times New Roman" w:hAnsi="Times New Roman"/>
          <w:sz w:val="20"/>
        </w:rPr>
        <w:t>Restricted stock units.</w:t>
      </w:r>
      <w:r>
        <w:rPr>
          <w:rFonts w:ascii="times new roman;times" w:hAnsi="times new roman;times"/>
          <w:sz w:val="20"/>
        </w:rPr>
        <w:t xml:space="preserve"> </w:t>
      </w:r>
    </w:p>
    <w:p>
      <w:pPr>
        <w:pStyle w:val="TextBody"/>
        <w:numPr>
          <w:ilvl w:val="0"/>
          <w:numId w:val="3"/>
        </w:numPr>
        <w:pBdr/>
        <w:tabs>
          <w:tab w:val="clear" w:pos="1134"/>
          <w:tab w:val="left" w:pos="919" w:leader="none"/>
        </w:tabs>
        <w:bidi w:val="0"/>
        <w:spacing w:before="0" w:after="240"/>
        <w:ind w:left="919" w:right="0" w:hanging="283"/>
        <w:jc w:val="left"/>
        <w:rPr>
          <w:rFonts w:ascii="times new roman;times" w:hAnsi="times new roman;times"/>
          <w:sz w:val="20"/>
        </w:rPr>
      </w:pPr>
      <w:r>
        <w:rPr>
          <w:rFonts w:ascii="Times New Roman" w:hAnsi="Times New Roman"/>
          <w:sz w:val="20"/>
        </w:rPr>
        <w:t>Performance shares.</w:t>
      </w:r>
      <w:r>
        <w:rPr>
          <w:rFonts w:ascii="times new roman;times" w:hAnsi="times new roman;times"/>
          <w:sz w:val="20"/>
        </w:rPr>
        <w:t xml:space="preserve"> </w:t>
      </w:r>
    </w:p>
    <w:p>
      <w:pPr>
        <w:pStyle w:val="TextBody"/>
        <w:numPr>
          <w:ilvl w:val="0"/>
          <w:numId w:val="3"/>
        </w:numPr>
        <w:pBdr/>
        <w:tabs>
          <w:tab w:val="clear" w:pos="1134"/>
          <w:tab w:val="left" w:pos="919" w:leader="none"/>
        </w:tabs>
        <w:bidi w:val="0"/>
        <w:spacing w:before="0" w:after="240"/>
        <w:ind w:left="919" w:right="0" w:hanging="283"/>
        <w:jc w:val="left"/>
        <w:rPr>
          <w:rFonts w:ascii="times new roman;times" w:hAnsi="times new roman;times"/>
          <w:sz w:val="20"/>
        </w:rPr>
      </w:pPr>
      <w:r>
        <w:rPr>
          <w:rFonts w:ascii="Times New Roman" w:hAnsi="Times New Roman"/>
          <w:sz w:val="20"/>
        </w:rPr>
        <w:t>Performance units.</w:t>
      </w:r>
      <w:r>
        <w:rPr>
          <w:rFonts w:ascii="times new roman;times" w:hAnsi="times new roman;times"/>
          <w:sz w:val="20"/>
        </w:rPr>
        <w:t xml:space="preserve"> </w:t>
      </w:r>
    </w:p>
    <w:p>
      <w:pPr>
        <w:pStyle w:val="TextBody"/>
        <w:numPr>
          <w:ilvl w:val="0"/>
          <w:numId w:val="3"/>
        </w:numPr>
        <w:pBdr/>
        <w:tabs>
          <w:tab w:val="clear" w:pos="1134"/>
          <w:tab w:val="left" w:pos="919" w:leader="none"/>
        </w:tabs>
        <w:bidi w:val="0"/>
        <w:spacing w:before="0" w:after="240"/>
        <w:ind w:left="919" w:right="0" w:hanging="283"/>
        <w:jc w:val="left"/>
        <w:rPr>
          <w:rFonts w:ascii="times new roman;times" w:hAnsi="times new roman;times"/>
          <w:sz w:val="20"/>
        </w:rPr>
      </w:pPr>
      <w:r>
        <w:rPr>
          <w:rFonts w:ascii="Times New Roman" w:hAnsi="Times New Roman"/>
          <w:sz w:val="20"/>
        </w:rPr>
        <w:t>Deferred compensation plan units.</w:t>
      </w:r>
      <w:r>
        <w:rPr>
          <w:rFonts w:ascii="times new roman;times" w:hAnsi="times new roman;times"/>
          <w:sz w:val="20"/>
        </w:rPr>
        <w:t xml:space="preserve"> </w:t>
      </w:r>
    </w:p>
    <w:p>
      <w:pPr>
        <w:pStyle w:val="TextBody"/>
        <w:numPr>
          <w:ilvl w:val="0"/>
          <w:numId w:val="3"/>
        </w:numPr>
        <w:pBdr/>
        <w:tabs>
          <w:tab w:val="clear" w:pos="1134"/>
          <w:tab w:val="left" w:pos="919" w:leader="none"/>
        </w:tabs>
        <w:bidi w:val="0"/>
        <w:spacing w:before="0" w:after="240"/>
        <w:ind w:left="919" w:right="0" w:hanging="283"/>
        <w:jc w:val="left"/>
        <w:rPr>
          <w:rFonts w:ascii="times new roman;times" w:hAnsi="times new roman;times"/>
          <w:sz w:val="20"/>
        </w:rPr>
      </w:pPr>
      <w:r>
        <w:rPr>
          <w:rFonts w:ascii="Times New Roman" w:hAnsi="Times New Roman"/>
          <w:sz w:val="20"/>
        </w:rPr>
        <w:t>Supplemental Executive Retirement Plan (“SERP”) benefits.</w:t>
      </w:r>
      <w:r>
        <w:rPr>
          <w:rFonts w:ascii="times new roman;times" w:hAnsi="times new roman;times"/>
          <w:sz w:val="20"/>
        </w:rPr>
        <w:t xml:space="preserve"> </w:t>
      </w:r>
    </w:p>
    <w:p>
      <w:pPr>
        <w:pStyle w:val="TextBody"/>
        <w:numPr>
          <w:ilvl w:val="0"/>
          <w:numId w:val="3"/>
        </w:numPr>
        <w:pBdr/>
        <w:tabs>
          <w:tab w:val="clear" w:pos="1134"/>
          <w:tab w:val="left" w:pos="919" w:leader="none"/>
        </w:tabs>
        <w:bidi w:val="0"/>
        <w:spacing w:before="0" w:after="240"/>
        <w:ind w:left="919" w:right="0" w:hanging="283"/>
        <w:jc w:val="left"/>
        <w:rPr>
          <w:rFonts w:ascii="times new roman;times" w:hAnsi="times new roman;times"/>
          <w:sz w:val="20"/>
        </w:rPr>
      </w:pPr>
      <w:r>
        <w:rPr>
          <w:rFonts w:ascii="Times New Roman" w:hAnsi="Times New Roman"/>
          <w:sz w:val="20"/>
        </w:rPr>
        <w:t>Long-term disability or life insurance benefits.</w:t>
      </w:r>
      <w:r>
        <w:rPr>
          <w:rFonts w:ascii="times new roman;times" w:hAnsi="times new roman;times"/>
          <w:sz w:val="20"/>
        </w:rPr>
        <w:t xml:space="preserve"> </w:t>
      </w:r>
    </w:p>
    <w:p>
      <w:pPr>
        <w:pStyle w:val="TextBody"/>
        <w:numPr>
          <w:ilvl w:val="0"/>
          <w:numId w:val="3"/>
        </w:numPr>
        <w:pBdr/>
        <w:tabs>
          <w:tab w:val="clear" w:pos="1134"/>
          <w:tab w:val="left" w:pos="919" w:leader="none"/>
        </w:tabs>
        <w:bidi w:val="0"/>
        <w:spacing w:before="0" w:after="240"/>
        <w:ind w:left="919" w:right="0" w:hanging="283"/>
        <w:jc w:val="left"/>
        <w:rPr>
          <w:rFonts w:ascii="times new roman;times" w:hAnsi="times new roman;times"/>
          <w:sz w:val="20"/>
        </w:rPr>
      </w:pPr>
      <w:r>
        <w:rPr>
          <w:rFonts w:ascii="Times New Roman" w:hAnsi="Times New Roman"/>
          <w:sz w:val="20"/>
        </w:rPr>
        <w:t>Financial reporting measures include:</w:t>
      </w:r>
      <w:r>
        <w:rPr>
          <w:rFonts w:ascii="times new roman;times" w:hAnsi="times new roman;times"/>
          <w:sz w:val="20"/>
        </w:rPr>
        <w:t xml:space="preserve"> </w:t>
      </w:r>
    </w:p>
    <w:p>
      <w:pPr>
        <w:pStyle w:val="TextBody"/>
        <w:numPr>
          <w:ilvl w:val="0"/>
          <w:numId w:val="4"/>
        </w:numPr>
        <w:pBdr/>
        <w:tabs>
          <w:tab w:val="clear" w:pos="1134"/>
          <w:tab w:val="left" w:pos="2359" w:leader="none"/>
        </w:tabs>
        <w:bidi w:val="0"/>
        <w:spacing w:before="200" w:after="240"/>
        <w:ind w:left="2359" w:right="0" w:hanging="283"/>
        <w:jc w:val="left"/>
        <w:rPr>
          <w:rFonts w:ascii="times new roman;times" w:hAnsi="times new roman;times"/>
          <w:sz w:val="20"/>
        </w:rPr>
      </w:pPr>
      <w:r>
        <w:rPr>
          <w:rFonts w:ascii="Times New Roman" w:hAnsi="Times New Roman"/>
          <w:sz w:val="20"/>
        </w:rPr>
        <w:t>Company stock price.</w:t>
      </w:r>
      <w:r>
        <w:rPr>
          <w:rFonts w:ascii="times new roman;times" w:hAnsi="times new roman;times"/>
          <w:sz w:val="20"/>
        </w:rPr>
        <w:t xml:space="preserve"> </w:t>
      </w:r>
    </w:p>
    <w:p>
      <w:pPr>
        <w:pStyle w:val="TextBody"/>
        <w:numPr>
          <w:ilvl w:val="0"/>
          <w:numId w:val="4"/>
        </w:numPr>
        <w:pBdr/>
        <w:tabs>
          <w:tab w:val="clear" w:pos="1134"/>
          <w:tab w:val="left" w:pos="2359" w:leader="none"/>
        </w:tabs>
        <w:bidi w:val="0"/>
        <w:spacing w:before="0" w:after="240"/>
        <w:ind w:left="2359" w:right="0" w:hanging="283"/>
        <w:jc w:val="left"/>
        <w:rPr>
          <w:rFonts w:ascii="times new roman;times" w:hAnsi="times new roman;times"/>
          <w:sz w:val="20"/>
        </w:rPr>
      </w:pPr>
      <w:r>
        <w:rPr>
          <w:rFonts w:ascii="Times New Roman" w:hAnsi="Times New Roman"/>
          <w:sz w:val="20"/>
        </w:rPr>
        <w:t>Total shareholder return.</w:t>
      </w:r>
      <w:r>
        <w:rPr>
          <w:rFonts w:ascii="times new roman;times" w:hAnsi="times new roman;times"/>
          <w:sz w:val="20"/>
        </w:rPr>
        <w:t xml:space="preserve"> </w:t>
      </w:r>
    </w:p>
    <w:p>
      <w:pPr>
        <w:pStyle w:val="TextBody"/>
        <w:numPr>
          <w:ilvl w:val="0"/>
          <w:numId w:val="4"/>
        </w:numPr>
        <w:pBdr/>
        <w:tabs>
          <w:tab w:val="clear" w:pos="1134"/>
          <w:tab w:val="left" w:pos="2359" w:leader="none"/>
        </w:tabs>
        <w:bidi w:val="0"/>
        <w:spacing w:before="0" w:after="240"/>
        <w:ind w:left="2359" w:right="0" w:hanging="283"/>
        <w:jc w:val="left"/>
        <w:rPr>
          <w:rFonts w:ascii="times new roman;times" w:hAnsi="times new roman;times"/>
          <w:sz w:val="20"/>
        </w:rPr>
      </w:pPr>
      <w:r>
        <w:rPr>
          <w:rFonts w:ascii="Times New Roman" w:hAnsi="Times New Roman"/>
          <w:sz w:val="20"/>
        </w:rPr>
        <w:t>Revenues.</w:t>
      </w:r>
      <w:r>
        <w:rPr>
          <w:rFonts w:ascii="times new roman;times" w:hAnsi="times new roman;times"/>
          <w:sz w:val="20"/>
        </w:rPr>
        <w:t xml:space="preserve"> </w:t>
      </w:r>
    </w:p>
    <w:p>
      <w:pPr>
        <w:pStyle w:val="TextBody"/>
        <w:numPr>
          <w:ilvl w:val="0"/>
          <w:numId w:val="4"/>
        </w:numPr>
        <w:pBdr/>
        <w:tabs>
          <w:tab w:val="clear" w:pos="1134"/>
          <w:tab w:val="left" w:pos="2359" w:leader="none"/>
        </w:tabs>
        <w:bidi w:val="0"/>
        <w:spacing w:before="0" w:after="240"/>
        <w:ind w:left="2359" w:right="0" w:hanging="283"/>
        <w:jc w:val="left"/>
        <w:rPr>
          <w:rFonts w:ascii="times new roman;times" w:hAnsi="times new roman;times"/>
          <w:sz w:val="20"/>
        </w:rPr>
      </w:pPr>
      <w:r>
        <w:rPr>
          <w:rFonts w:ascii="Times New Roman" w:hAnsi="Times New Roman"/>
          <w:sz w:val="20"/>
        </w:rPr>
        <w:t>Net income.</w:t>
      </w:r>
      <w:r>
        <w:rPr>
          <w:rFonts w:ascii="times new roman;times" w:hAnsi="times new roman;times"/>
          <w:sz w:val="20"/>
        </w:rPr>
        <w:t xml:space="preserve"> </w:t>
      </w:r>
    </w:p>
    <w:p>
      <w:pPr>
        <w:pStyle w:val="TextBody"/>
        <w:numPr>
          <w:ilvl w:val="0"/>
          <w:numId w:val="4"/>
        </w:numPr>
        <w:pBdr/>
        <w:tabs>
          <w:tab w:val="clear" w:pos="1134"/>
          <w:tab w:val="left" w:pos="2359" w:leader="none"/>
        </w:tabs>
        <w:bidi w:val="0"/>
        <w:spacing w:before="0" w:after="240"/>
        <w:ind w:left="2359" w:right="0" w:hanging="283"/>
        <w:jc w:val="left"/>
        <w:rPr>
          <w:rFonts w:ascii="times new roman;times" w:hAnsi="times new roman;times"/>
          <w:sz w:val="20"/>
        </w:rPr>
      </w:pPr>
      <w:r>
        <w:rPr>
          <w:rFonts w:ascii="Times New Roman" w:hAnsi="Times New Roman"/>
          <w:sz w:val="20"/>
        </w:rPr>
        <w:t>Earnings before interest, taxes, depreciation, and amortization (EBITDA).</w:t>
      </w:r>
      <w:r>
        <w:rPr>
          <w:rFonts w:ascii="times new roman;times" w:hAnsi="times new roman;times"/>
          <w:sz w:val="20"/>
        </w:rPr>
        <w:t xml:space="preserve"> </w:t>
      </w:r>
    </w:p>
    <w:p>
      <w:pPr>
        <w:pStyle w:val="TextBody"/>
        <w:numPr>
          <w:ilvl w:val="0"/>
          <w:numId w:val="4"/>
        </w:numPr>
        <w:pBdr/>
        <w:tabs>
          <w:tab w:val="clear" w:pos="1134"/>
          <w:tab w:val="left" w:pos="2359" w:leader="none"/>
        </w:tabs>
        <w:bidi w:val="0"/>
        <w:spacing w:before="0" w:after="240"/>
        <w:ind w:left="2359" w:right="0" w:hanging="283"/>
        <w:jc w:val="left"/>
        <w:rPr>
          <w:rFonts w:ascii="times new roman;times" w:hAnsi="times new roman;times"/>
          <w:sz w:val="20"/>
        </w:rPr>
      </w:pPr>
      <w:r>
        <w:rPr>
          <w:rFonts w:ascii="Times New Roman" w:hAnsi="Times New Roman"/>
          <w:sz w:val="20"/>
        </w:rPr>
        <w:t>Liquidity measures such as working capital or operating cash flow.</w:t>
      </w:r>
      <w:r>
        <w:rPr>
          <w:rFonts w:ascii="times new roman;times" w:hAnsi="times new roman;times"/>
          <w:sz w:val="20"/>
        </w:rPr>
        <w:t xml:space="preserve"> </w:t>
      </w:r>
    </w:p>
    <w:p>
      <w:pPr>
        <w:pStyle w:val="TextBody"/>
        <w:numPr>
          <w:ilvl w:val="0"/>
          <w:numId w:val="4"/>
        </w:numPr>
        <w:pBdr/>
        <w:tabs>
          <w:tab w:val="clear" w:pos="1134"/>
          <w:tab w:val="left" w:pos="2359" w:leader="none"/>
        </w:tabs>
        <w:bidi w:val="0"/>
        <w:spacing w:before="0" w:after="240"/>
        <w:ind w:left="2359" w:right="0" w:hanging="283"/>
        <w:jc w:val="left"/>
        <w:rPr>
          <w:rFonts w:ascii="times new roman;times" w:hAnsi="times new roman;times"/>
          <w:sz w:val="20"/>
        </w:rPr>
      </w:pPr>
      <w:r>
        <w:rPr>
          <w:rFonts w:ascii="Times New Roman" w:hAnsi="Times New Roman"/>
          <w:sz w:val="20"/>
        </w:rPr>
        <w:t>Return measures such as return on invested capital or return on assets.</w:t>
      </w:r>
      <w:r>
        <w:rPr>
          <w:rFonts w:ascii="times new roman;times" w:hAnsi="times new roman;times"/>
          <w:sz w:val="20"/>
        </w:rPr>
        <w:t xml:space="preserve"> </w:t>
      </w:r>
    </w:p>
    <w:p>
      <w:pPr>
        <w:pStyle w:val="TextBody"/>
        <w:numPr>
          <w:ilvl w:val="0"/>
          <w:numId w:val="4"/>
        </w:numPr>
        <w:pBdr/>
        <w:tabs>
          <w:tab w:val="clear" w:pos="1134"/>
          <w:tab w:val="left" w:pos="2359" w:leader="none"/>
        </w:tabs>
        <w:bidi w:val="0"/>
        <w:spacing w:before="0" w:after="240"/>
        <w:ind w:left="2359" w:right="0" w:hanging="283"/>
        <w:jc w:val="left"/>
        <w:rPr>
          <w:rFonts w:ascii="times new roman;times" w:hAnsi="times new roman;times"/>
          <w:sz w:val="20"/>
        </w:rPr>
      </w:pPr>
      <w:r>
        <w:rPr>
          <w:rFonts w:ascii="Times New Roman" w:hAnsi="Times New Roman"/>
          <w:sz w:val="20"/>
        </w:rPr>
        <w:t>Earnings measures such as earnings per share.</w:t>
      </w:r>
      <w:r>
        <w:rPr>
          <w:rFonts w:ascii="times new roman;times" w:hAnsi="times new roman;times"/>
          <w:sz w:val="20"/>
        </w:rPr>
        <w:t xml:space="preserve"> </w:t>
      </w:r>
    </w:p>
    <w:p>
      <w:pPr>
        <w:pStyle w:val="TextBody"/>
        <w:bidi w:val="0"/>
        <w:spacing w:lineRule="auto" w:line="288" w:before="120" w:after="0"/>
        <w:ind w:left="0" w:right="0" w:hanging="0"/>
        <w:jc w:val="left"/>
        <w:rPr>
          <w:rFonts w:ascii="Times New Roman" w:hAnsi="Times New Roman"/>
          <w:b/>
          <w:sz w:val="20"/>
          <w:u w:val="single"/>
        </w:rPr>
      </w:pPr>
      <w:r>
        <w:rPr>
          <w:rFonts w:ascii="Times New Roman" w:hAnsi="Times New Roman"/>
          <w:b/>
          <w:sz w:val="20"/>
          <w:u w:val="single"/>
        </w:rPr>
        <w:t>Excess Incentive Compensation: Amount Subject to Recovery</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pStyle w:val="TextBody"/>
        <w:bidi w:val="0"/>
        <w:spacing w:lineRule="auto" w:line="288" w:before="12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120" w:after="0"/>
        <w:ind w:left="0" w:right="0" w:hanging="0"/>
        <w:jc w:val="left"/>
        <w:rPr>
          <w:rFonts w:ascii="Times New Roman" w:hAnsi="Times New Roman"/>
          <w:b/>
          <w:sz w:val="20"/>
          <w:u w:val="single"/>
        </w:rPr>
      </w:pPr>
      <w:r>
        <w:rPr>
          <w:rFonts w:ascii="Times New Roman" w:hAnsi="Times New Roman"/>
          <w:b/>
          <w:sz w:val="20"/>
          <w:u w:val="single"/>
        </w:rPr>
        <w:t>Method of Recoupment</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The Board will determine, in its sole discretion, the method for recouping Incentive Compensation hereunder which may include, without limitation:</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(a) requiring reimbursement of cash Incentive Compensation previously paid;</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(b) seeking recovery of any gain realized on the vesting, exercise, settlement, sale, transfer, or other disposition of any equity-based awards;</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(c) offsetting the recouped amount from any compensation otherwise owed by the Company to the Covered Executive;</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(d)) cancelling outstanding vested or unvested equity awards; and/or</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(e) taking any other remedial and recovery action permitted by law, as determined by the Board.</w:t>
      </w:r>
    </w:p>
    <w:p>
      <w:pPr>
        <w:pStyle w:val="TextBody"/>
        <w:bidi w:val="0"/>
        <w:spacing w:lineRule="auto" w:line="288" w:before="120" w:after="0"/>
        <w:ind w:left="0" w:right="0" w:hanging="0"/>
        <w:jc w:val="left"/>
        <w:rPr>
          <w:rFonts w:ascii="Times New Roman" w:hAnsi="Times New Roman"/>
          <w:b/>
          <w:sz w:val="20"/>
          <w:u w:val="single"/>
        </w:rPr>
      </w:pPr>
      <w:r>
        <w:rPr>
          <w:rFonts w:ascii="Times New Roman" w:hAnsi="Times New Roman"/>
          <w:b/>
          <w:sz w:val="20"/>
          <w:u w:val="single"/>
        </w:rPr>
        <w:t>No Indemnification</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The Company shall not indemnify any Covered Executives against the loss of any incorrectly awarded Incentive Compensation.</w:t>
      </w:r>
    </w:p>
    <w:p>
      <w:pPr>
        <w:pStyle w:val="TextBody"/>
        <w:bidi w:val="0"/>
        <w:spacing w:lineRule="auto" w:line="288" w:before="120" w:after="0"/>
        <w:ind w:left="0" w:right="0" w:hanging="0"/>
        <w:jc w:val="left"/>
        <w:rPr>
          <w:rFonts w:ascii="Times New Roman" w:hAnsi="Times New Roman"/>
          <w:b/>
          <w:sz w:val="20"/>
          <w:u w:val="single"/>
        </w:rPr>
      </w:pPr>
      <w:r>
        <w:rPr>
          <w:rFonts w:ascii="Times New Roman" w:hAnsi="Times New Roman"/>
          <w:b/>
          <w:sz w:val="20"/>
          <w:u w:val="single"/>
        </w:rPr>
        <w:t>Interpretation</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 xml:space="preserve">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Rule 10D-1 promulgated thereunder and any applicable rules or standards adopted by the Securities and Exchange Commission or any national securities exchange on which the Company's securities are listed. </w:t>
      </w:r>
    </w:p>
    <w:p>
      <w:pPr>
        <w:pStyle w:val="TextBody"/>
        <w:bidi w:val="0"/>
        <w:spacing w:lineRule="auto" w:line="288" w:before="120" w:after="0"/>
        <w:ind w:left="0" w:right="0" w:hanging="0"/>
        <w:jc w:val="left"/>
        <w:rPr>
          <w:rFonts w:ascii="Times New Roman" w:hAnsi="Times New Roman"/>
          <w:b/>
          <w:sz w:val="20"/>
          <w:u w:val="single"/>
        </w:rPr>
      </w:pPr>
      <w:r>
        <w:rPr>
          <w:rFonts w:ascii="Times New Roman" w:hAnsi="Times New Roman"/>
          <w:b/>
          <w:sz w:val="20"/>
          <w:u w:val="single"/>
        </w:rPr>
        <w:t>Effective Date</w:t>
      </w:r>
    </w:p>
    <w:p>
      <w:pPr>
        <w:pStyle w:val="TextBody"/>
        <w:bidi w:val="0"/>
        <w:spacing w:lineRule="auto" w:line="288" w:before="120" w:after="0"/>
        <w:ind w:left="0" w:right="0" w:hanging="0"/>
        <w:jc w:val="left"/>
        <w:rPr>
          <w:rFonts w:ascii="times new roman;times" w:hAnsi="times new roman;times"/>
          <w:sz w:val="20"/>
        </w:rPr>
      </w:pPr>
      <w:r>
        <w:rPr>
          <w:rFonts w:ascii="Times New Roman" w:hAnsi="Times New Roman"/>
          <w:sz w:val="20"/>
        </w:rPr>
        <w:t>This Policy shall be effective as of the date it is adopted by the Board (the "</w:t>
      </w:r>
      <w:r>
        <w:rPr>
          <w:rFonts w:ascii="Times New Roman" w:hAnsi="Times New Roman"/>
          <w:b/>
          <w:sz w:val="20"/>
        </w:rPr>
        <w:t>Effective Date</w:t>
      </w:r>
      <w:r>
        <w:rPr>
          <w:rFonts w:ascii="Times New Roman" w:hAnsi="Times New Roman"/>
          <w:sz w:val="20"/>
        </w:rPr>
        <w:t>") and shall apply to Incentive Compensation that is approved, awarded or granted to Covered Executives on or after that date.</w:t>
      </w:r>
    </w:p>
    <w:p>
      <w:pPr>
        <w:pStyle w:val="TextBody"/>
        <w:bidi w:val="0"/>
        <w:spacing w:lineRule="auto" w:line="288" w:before="120" w:after="0"/>
        <w:ind w:left="0" w:right="0" w:hanging="0"/>
        <w:jc w:val="left"/>
        <w:rPr>
          <w:rFonts w:ascii="Times New Roman" w:hAnsi="Times New Roman"/>
          <w:b/>
          <w:sz w:val="20"/>
          <w:u w:val="single"/>
        </w:rPr>
      </w:pPr>
      <w:r>
        <w:rPr>
          <w:rFonts w:ascii="Times New Roman" w:hAnsi="Times New Roman"/>
          <w:b/>
          <w:sz w:val="20"/>
          <w:u w:val="single"/>
        </w:rPr>
        <w:t>Amendment; Termination</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The Board may amend this Policy from time to time in its discretion and shall amend this Policy as it deems necessary to reflect future amendments to Rule 10D-1 and to comply with any new or amended rules or standards adopted by a national securities exchange on which the Company's securities are listed. The Board may terminate this Policy at any time.</w:t>
      </w:r>
    </w:p>
    <w:p>
      <w:pPr>
        <w:pStyle w:val="TextBody"/>
        <w:bidi w:val="0"/>
        <w:spacing w:lineRule="auto" w:line="288" w:before="120" w:after="0"/>
        <w:ind w:left="0" w:right="0" w:hanging="0"/>
        <w:jc w:val="left"/>
        <w:rPr>
          <w:rFonts w:ascii="Times New Roman" w:hAnsi="Times New Roman"/>
          <w:b/>
          <w:sz w:val="20"/>
          <w:u w:val="single"/>
        </w:rPr>
      </w:pPr>
      <w:r>
        <w:rPr>
          <w:rFonts w:ascii="Times New Roman" w:hAnsi="Times New Roman"/>
          <w:b/>
          <w:sz w:val="20"/>
          <w:u w:val="single"/>
        </w:rPr>
        <w:t>Other Recoupment Rights</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lineRule="auto" w:line="288" w:before="120" w:after="0"/>
        <w:ind w:left="0" w:right="0" w:hanging="0"/>
        <w:jc w:val="left"/>
        <w:rPr>
          <w:rFonts w:ascii="Times New Roman" w:hAnsi="Times New Roman"/>
          <w:b/>
          <w:sz w:val="20"/>
          <w:u w:val="single"/>
        </w:rPr>
      </w:pPr>
      <w:r>
        <w:rPr>
          <w:rFonts w:ascii="Times New Roman" w:hAnsi="Times New Roman"/>
          <w:b/>
          <w:sz w:val="20"/>
          <w:u w:val="single"/>
        </w:rPr>
        <w:t>Impracticability</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pStyle w:val="TextBody"/>
        <w:bidi w:val="0"/>
        <w:spacing w:lineRule="auto" w:line="288" w:before="120" w:after="0"/>
        <w:ind w:left="0" w:right="0" w:hanging="0"/>
        <w:jc w:val="left"/>
        <w:rPr>
          <w:rFonts w:ascii="Times New Roman" w:hAnsi="Times New Roman"/>
          <w:b/>
          <w:sz w:val="20"/>
          <w:u w:val="single"/>
        </w:rPr>
      </w:pPr>
      <w:r>
        <w:rPr>
          <w:rFonts w:ascii="Times New Roman" w:hAnsi="Times New Roman"/>
          <w:b/>
          <w:sz w:val="20"/>
          <w:u w:val="single"/>
        </w:rPr>
        <w:t>Successors</w:t>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This Policy shall be binding and enforceable against all Covered Executives and their beneficiaries, heirs, executors, administrators or other legal representatives.</w:t>
      </w:r>
    </w:p>
    <w:p>
      <w:pPr>
        <w:pStyle w:val="TextBody"/>
        <w:bidi w:val="0"/>
        <w:spacing w:lineRule="auto" w:line="288" w:before="120" w:after="0"/>
        <w:ind w:left="0" w:right="0" w:hanging="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2335</Words>
  <Characters>12730</Characters>
  <CharactersWithSpaces>15063</CharactersWithSpaces>
  <Paragraphs>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