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pPr>
      <w:r>
        <w:rPr/>
        <w:t> </w:t>
      </w:r>
    </w:p>
    <w:p>
      <w:pPr>
        <w:pStyle w:val="TextBody"/>
        <w:bidi w:val="0"/>
        <w:spacing w:lineRule="atLeast" w:line="142"/>
        <w:jc w:val="left"/>
        <w:rPr>
          <w:bdr w:val="single" w:sz="24" w:space="1" w:color="000000"/>
        </w:rPr>
      </w:pPr>
      <w:r>
        <w:rPr>
          <w:bdr w:val="single" w:sz="24" w:space="1" w:color="000000"/>
        </w:rPr>
        <w:t> </w:t>
      </w:r>
    </w:p>
    <w:p>
      <w:pPr>
        <w:pStyle w:val="TextBody"/>
        <w:bidi w:val="0"/>
        <w:spacing w:before="20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u w:val="single"/>
        </w:rPr>
        <w:t>December 29, 2023</w:t>
      </w:r>
      <w:r>
        <w:rPr>
          <w:rFonts w:ascii="times new roman;times" w:hAnsi="times new roman;times"/>
          <w:sz w:val="20"/>
        </w:rPr>
        <w:t> </w:t>
      </w:r>
      <w:r>
        <w:rPr>
          <w:rFonts w:ascii="Times New Roman" w:hAnsi="Times New Roman"/>
          <w:b/>
          <w:sz w:val="20"/>
          <w:u w:val="single"/>
        </w:rPr>
        <w:t>(December 28, 2023)</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28" w:type="dxa"/>
          <w:right w:w="0" w:type="dxa"/>
        </w:tblCellMar>
      </w:tblPr>
      <w:tblGrid>
        <w:gridCol w:w="4162"/>
        <w:gridCol w:w="67"/>
        <w:gridCol w:w="2557"/>
        <w:gridCol w:w="67"/>
        <w:gridCol w:w="3352"/>
      </w:tblGrid>
      <w:tr>
        <w:trPr/>
        <w:tc>
          <w:tcPr>
            <w:tcW w:w="4162"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67" w:type="dxa"/>
            <w:tcBorders/>
            <w:tcMar>
              <w:bottom w:w="0" w:type="dxa"/>
            </w:tcMar>
            <w:vAlign w:val="center"/>
          </w:tcPr>
          <w:p>
            <w:pPr>
              <w:pStyle w:val="TableContents"/>
              <w:bidi w:val="0"/>
              <w:spacing w:before="0" w:after="0"/>
              <w:ind w:left="0" w:right="0" w:hanging="0"/>
              <w:jc w:val="left"/>
              <w:rPr/>
            </w:pPr>
            <w:r>
              <w:rPr/>
              <w:t> </w:t>
            </w:r>
          </w:p>
        </w:tc>
        <w:tc>
          <w:tcPr>
            <w:tcW w:w="255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tcMar>
              <w:bottom w:w="0" w:type="dxa"/>
            </w:tcMar>
            <w:vAlign w:val="center"/>
          </w:tcPr>
          <w:p>
            <w:pPr>
              <w:pStyle w:val="TableContents"/>
              <w:bidi w:val="0"/>
              <w:spacing w:before="0" w:after="0"/>
              <w:ind w:left="0" w:right="0" w:hanging="0"/>
              <w:jc w:val="left"/>
              <w:rPr/>
            </w:pPr>
            <w:r>
              <w:rPr/>
              <w:t> </w:t>
            </w:r>
          </w:p>
        </w:tc>
        <w:tc>
          <w:tcPr>
            <w:tcW w:w="3352"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tcMar>
              <w:bottom w:w="0" w:type="dxa"/>
            </w:tcMar>
            <w:vAlign w:val="center"/>
          </w:tcPr>
          <w:p>
            <w:pPr>
              <w:pStyle w:val="TableContents"/>
              <w:bidi w:val="0"/>
              <w:spacing w:before="0" w:after="0"/>
              <w:ind w:left="0" w:right="0" w:hanging="0"/>
              <w:jc w:val="left"/>
              <w:rPr/>
            </w:pPr>
            <w:r>
              <w:rPr/>
              <w:t> </w:t>
            </w:r>
          </w:p>
        </w:tc>
        <w:tc>
          <w:tcPr>
            <w:tcW w:w="2557" w:type="dxa"/>
            <w:tcBorders/>
            <w:tcMar>
              <w:bottom w:w="0" w:type="dxa"/>
            </w:tcMar>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tcMar>
              <w:bottom w:w="0" w:type="dxa"/>
            </w:tcMar>
            <w:vAlign w:val="center"/>
          </w:tcPr>
          <w:p>
            <w:pPr>
              <w:pStyle w:val="TableContents"/>
              <w:bidi w:val="0"/>
              <w:spacing w:before="0" w:after="0"/>
              <w:ind w:left="0" w:right="0" w:hanging="0"/>
              <w:jc w:val="left"/>
              <w:rPr/>
            </w:pPr>
            <w:r>
              <w:rPr/>
              <w:t> </w:t>
            </w:r>
          </w:p>
        </w:tc>
        <w:tc>
          <w:tcPr>
            <w:tcW w:w="3352" w:type="dxa"/>
            <w:tcBorders/>
            <w:tcMar>
              <w:bottom w:w="0" w:type="dxa"/>
            </w:tcMar>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338"/>
        <w:gridCol w:w="110"/>
        <w:gridCol w:w="1757"/>
      </w:tblGrid>
      <w:tr>
        <w:trPr/>
        <w:tc>
          <w:tcPr>
            <w:tcW w:w="8338"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Utah </w:t>
            </w:r>
          </w:p>
        </w:tc>
        <w:tc>
          <w:tcPr>
            <w:tcW w:w="110" w:type="dxa"/>
            <w:tcBorders/>
            <w:vAlign w:val="center"/>
          </w:tcPr>
          <w:p>
            <w:pPr>
              <w:pStyle w:val="TableContents"/>
              <w:bidi w:val="0"/>
              <w:spacing w:before="0" w:after="0"/>
              <w:ind w:left="0" w:right="0" w:hanging="0"/>
              <w:jc w:val="left"/>
              <w:rPr/>
            </w:pPr>
            <w:r>
              <w:rPr/>
              <w:t> </w:t>
            </w:r>
          </w:p>
        </w:tc>
        <w:tc>
          <w:tcPr>
            <w:tcW w:w="17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84116 </w:t>
            </w:r>
          </w:p>
        </w:tc>
      </w:tr>
      <w:tr>
        <w:trPr/>
        <w:tc>
          <w:tcPr>
            <w:tcW w:w="8338"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0" w:type="dxa"/>
            <w:tcBorders/>
            <w:vAlign w:val="center"/>
          </w:tcPr>
          <w:p>
            <w:pPr>
              <w:pStyle w:val="TableContents"/>
              <w:bidi w:val="0"/>
              <w:spacing w:before="0" w:after="0"/>
              <w:ind w:left="0" w:right="0" w:hanging="0"/>
              <w:jc w:val="left"/>
              <w:rPr/>
            </w:pPr>
            <w:r>
              <w:rPr/>
              <w:t> </w:t>
            </w:r>
          </w:p>
        </w:tc>
        <w:tc>
          <w:tcPr>
            <w:tcW w:w="175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Pre-commencement communication pursuant to Rule 13e-4© under the Exchange Act (17 CFR 240.13e-4©)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times" w:hAnsi="times new roman;times"/>
          <w:sz w:val="20"/>
        </w:rPr>
        <w:t>   </w:t>
      </w:r>
      <w:r>
        <w:rPr>
          <w:rFonts w:ascii="Times New Roman" w:hAnsi="Times New Roman"/>
          <w:sz w:val="20"/>
        </w:rPr>
        <w:t xml:space="preserve">Emerging growth company </w:t>
      </w:r>
      <w:r>
        <w:rPr>
          <w:rFonts w:ascii="times new roman;times" w:hAnsi="times new roman;times"/>
          <w:sz w:val="20"/>
        </w:rPr>
        <w:t>☐</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pPr>
      <w:r>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5.07. Submission of Matters to a Vote of Security Holders.</w:t>
      </w:r>
    </w:p>
    <w:p>
      <w:pPr>
        <w:pStyle w:val="TextBody"/>
        <w:bidi w:val="0"/>
        <w:spacing w:lineRule="atLeast" w:line="200"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On December 28, 2023</w:t>
      </w:r>
      <w:r>
        <w:rPr>
          <w:rFonts w:ascii="times new roman;times" w:hAnsi="times new roman;times"/>
          <w:sz w:val="20"/>
        </w:rPr>
        <w:t xml:space="preserve"> </w:t>
      </w:r>
      <w:r>
        <w:rPr>
          <w:rFonts w:ascii="Times New Roman" w:hAnsi="Times New Roman"/>
          <w:sz w:val="20"/>
        </w:rPr>
        <w:t>ClearOne, Inc. (the “Company”) held its 2023</w:t>
      </w:r>
      <w:r>
        <w:rPr>
          <w:rFonts w:ascii="times new roman;times" w:hAnsi="times new roman;times"/>
          <w:sz w:val="20"/>
        </w:rPr>
        <w:t xml:space="preserve"> </w:t>
      </w:r>
      <w:r>
        <w:rPr>
          <w:rFonts w:ascii="Times New Roman" w:hAnsi="Times New Roman"/>
          <w:sz w:val="20"/>
        </w:rPr>
        <w:t>annual meeting of shareholders (the “Annual Meeting”) at which shareholders voted on the only proposal listed below. The final voting result with respect to the proposal is also set forth below. As of November 10, 2023, the record date for the Annual Meeting, there were 23,960,684</w:t>
      </w:r>
      <w:r>
        <w:rPr>
          <w:rFonts w:ascii="times new roman;times" w:hAnsi="times new roman;times"/>
          <w:sz w:val="20"/>
        </w:rPr>
        <w:t xml:space="preserve"> </w:t>
      </w:r>
      <w:r>
        <w:rPr>
          <w:rFonts w:ascii="Times New Roman" w:hAnsi="Times New Roman"/>
          <w:sz w:val="20"/>
        </w:rPr>
        <w:t>shares of common stock issued and outstanding.</w:t>
      </w:r>
      <w:r>
        <w:rPr>
          <w:rFonts w:ascii="times new roman;times" w:hAnsi="times new roman;times"/>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u w:val="single"/>
        </w:rPr>
        <w:t>Election of Directors: All four</w:t>
      </w:r>
      <w:r>
        <w:rPr>
          <w:rFonts w:ascii="times new roman;times" w:hAnsi="times new roman;times"/>
          <w:sz w:val="20"/>
          <w:u w:val="single"/>
        </w:rPr>
        <w:t xml:space="preserve"> </w:t>
      </w:r>
      <w:r>
        <w:rPr>
          <w:rFonts w:ascii="Times New Roman" w:hAnsi="Times New Roman"/>
          <w:sz w:val="20"/>
          <w:u w:val="single"/>
        </w:rPr>
        <w:t>directors were re-elected to serve terms expiring at the 2024</w:t>
      </w:r>
      <w:r>
        <w:rPr>
          <w:rFonts w:ascii="times new roman;times" w:hAnsi="times new roman;times"/>
          <w:sz w:val="20"/>
          <w:u w:val="single"/>
        </w:rPr>
        <w:t xml:space="preserve"> </w:t>
      </w:r>
      <w:r>
        <w:rPr>
          <w:rFonts w:ascii="Times New Roman" w:hAnsi="Times New Roman"/>
          <w:sz w:val="20"/>
          <w:u w:val="single"/>
        </w:rPr>
        <w:t>annual meeting of shareholders or until their successors are duly elected and qualified.</w:t>
      </w:r>
    </w:p>
    <w:p>
      <w:pPr>
        <w:pStyle w:val="TextBody"/>
        <w:bidi w:val="0"/>
        <w:spacing w:before="0" w:after="0"/>
        <w:ind w:left="0" w:right="0" w:hanging="0"/>
        <w:jc w:val="left"/>
        <w:rPr/>
      </w:pPr>
      <w:r>
        <w:rPr/>
        <w:t> </w:t>
      </w:r>
    </w:p>
    <w:p>
      <w:pPr>
        <w:pStyle w:val="TextBody"/>
        <w:bidi w:val="0"/>
        <w:spacing w:lineRule="atLeast" w:line="20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362"/>
        <w:gridCol w:w="91"/>
        <w:gridCol w:w="1434"/>
        <w:gridCol w:w="90"/>
        <w:gridCol w:w="1887"/>
        <w:gridCol w:w="91"/>
        <w:gridCol w:w="1978"/>
        <w:gridCol w:w="90"/>
        <w:gridCol w:w="2182"/>
      </w:tblGrid>
      <w:tr>
        <w:trPr/>
        <w:tc>
          <w:tcPr>
            <w:tcW w:w="236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Nominee</w:t>
            </w:r>
          </w:p>
        </w:tc>
        <w:tc>
          <w:tcPr>
            <w:tcW w:w="91" w:type="dxa"/>
            <w:tcBorders/>
            <w:vAlign w:val="center"/>
          </w:tcPr>
          <w:p>
            <w:pPr>
              <w:pStyle w:val="TableContents"/>
              <w:bidi w:val="0"/>
              <w:spacing w:before="0" w:after="0"/>
              <w:ind w:left="0" w:right="0" w:hanging="0"/>
              <w:jc w:val="left"/>
              <w:rPr/>
            </w:pPr>
            <w:r>
              <w:rPr/>
              <w:t> </w:t>
            </w:r>
          </w:p>
        </w:tc>
        <w:tc>
          <w:tcPr>
            <w:tcW w:w="14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Votes for</w:t>
            </w:r>
          </w:p>
        </w:tc>
        <w:tc>
          <w:tcPr>
            <w:tcW w:w="90" w:type="dxa"/>
            <w:tcBorders/>
            <w:vAlign w:val="center"/>
          </w:tcPr>
          <w:p>
            <w:pPr>
              <w:pStyle w:val="TableContents"/>
              <w:bidi w:val="0"/>
              <w:spacing w:before="0" w:after="0"/>
              <w:ind w:left="0" w:right="0" w:hanging="0"/>
              <w:jc w:val="left"/>
              <w:rPr/>
            </w:pPr>
            <w:r>
              <w:rPr/>
              <w:t> </w:t>
            </w:r>
          </w:p>
        </w:tc>
        <w:tc>
          <w:tcPr>
            <w:tcW w:w="188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Votes withheld</w:t>
            </w:r>
          </w:p>
        </w:tc>
        <w:tc>
          <w:tcPr>
            <w:tcW w:w="91" w:type="dxa"/>
            <w:tcBorders/>
            <w:vAlign w:val="center"/>
          </w:tcPr>
          <w:p>
            <w:pPr>
              <w:pStyle w:val="TableContents"/>
              <w:bidi w:val="0"/>
              <w:spacing w:before="0" w:after="0"/>
              <w:ind w:left="0" w:right="0" w:hanging="0"/>
              <w:jc w:val="left"/>
              <w:rPr/>
            </w:pPr>
            <w:r>
              <w:rPr/>
              <w:t> </w:t>
            </w:r>
          </w:p>
        </w:tc>
        <w:tc>
          <w:tcPr>
            <w:tcW w:w="1978"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Votes abstained</w:t>
            </w:r>
          </w:p>
        </w:tc>
        <w:tc>
          <w:tcPr>
            <w:tcW w:w="90" w:type="dxa"/>
            <w:tcBorders/>
            <w:vAlign w:val="center"/>
          </w:tcPr>
          <w:p>
            <w:pPr>
              <w:pStyle w:val="TableContents"/>
              <w:bidi w:val="0"/>
              <w:spacing w:before="0" w:after="0"/>
              <w:ind w:left="0" w:right="0" w:hanging="0"/>
              <w:jc w:val="left"/>
              <w:rPr/>
            </w:pPr>
            <w:r>
              <w:rPr/>
              <w:t> </w:t>
            </w:r>
          </w:p>
        </w:tc>
        <w:tc>
          <w:tcPr>
            <w:tcW w:w="218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Broker non-votes</w:t>
            </w:r>
          </w:p>
        </w:tc>
      </w:tr>
      <w:tr>
        <w:trPr/>
        <w:tc>
          <w:tcPr>
            <w:tcW w:w="23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Larry R. Hendricks</w:t>
            </w:r>
          </w:p>
        </w:tc>
        <w:tc>
          <w:tcPr>
            <w:tcW w:w="91" w:type="dxa"/>
            <w:tcBorders/>
            <w:vAlign w:val="center"/>
          </w:tcPr>
          <w:p>
            <w:pPr>
              <w:pStyle w:val="TableContents"/>
              <w:bidi w:val="0"/>
              <w:spacing w:before="0" w:after="0"/>
              <w:ind w:left="0" w:right="0" w:hanging="0"/>
              <w:jc w:val="left"/>
              <w:rPr/>
            </w:pPr>
            <w:r>
              <w:rPr/>
              <w:t> </w:t>
            </w:r>
          </w:p>
        </w:tc>
        <w:tc>
          <w:tcPr>
            <w:tcW w:w="14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16,855,823</w:t>
            </w:r>
          </w:p>
        </w:tc>
        <w:tc>
          <w:tcPr>
            <w:tcW w:w="90" w:type="dxa"/>
            <w:tcBorders/>
            <w:vAlign w:val="center"/>
          </w:tcPr>
          <w:p>
            <w:pPr>
              <w:pStyle w:val="TableContents"/>
              <w:bidi w:val="0"/>
              <w:spacing w:before="0" w:after="0"/>
              <w:ind w:left="0" w:right="0" w:hanging="0"/>
              <w:jc w:val="center"/>
              <w:rPr/>
            </w:pPr>
            <w:r>
              <w:rPr/>
              <w:t> </w:t>
            </w:r>
          </w:p>
        </w:tc>
        <w:tc>
          <w:tcPr>
            <w:tcW w:w="188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179,580</w:t>
            </w:r>
          </w:p>
        </w:tc>
        <w:tc>
          <w:tcPr>
            <w:tcW w:w="91" w:type="dxa"/>
            <w:tcBorders/>
            <w:vAlign w:val="center"/>
          </w:tcPr>
          <w:p>
            <w:pPr>
              <w:pStyle w:val="TableContents"/>
              <w:bidi w:val="0"/>
              <w:spacing w:before="0" w:after="0"/>
              <w:ind w:left="0" w:right="0" w:hanging="0"/>
              <w:jc w:val="center"/>
              <w:rPr/>
            </w:pPr>
            <w:r>
              <w:rPr/>
              <w:t> </w:t>
            </w:r>
          </w:p>
        </w:tc>
        <w:tc>
          <w:tcPr>
            <w:tcW w:w="1978" w:type="dxa"/>
            <w:tcBorders/>
            <w:vAlign w:val="center"/>
          </w:tcPr>
          <w:p>
            <w:pPr>
              <w:pStyle w:val="TableContents"/>
              <w:bidi w:val="0"/>
              <w:spacing w:before="0" w:after="0"/>
              <w:ind w:left="0" w:right="0" w:hanging="0"/>
              <w:jc w:val="center"/>
              <w:rPr/>
            </w:pPr>
            <w:r>
              <w:rPr/>
              <w:t>—</w:t>
            </w:r>
          </w:p>
        </w:tc>
        <w:tc>
          <w:tcPr>
            <w:tcW w:w="90" w:type="dxa"/>
            <w:tcBorders/>
            <w:vAlign w:val="center"/>
          </w:tcPr>
          <w:p>
            <w:pPr>
              <w:pStyle w:val="TableContents"/>
              <w:bidi w:val="0"/>
              <w:spacing w:before="0" w:after="0"/>
              <w:ind w:left="0" w:right="0" w:hanging="0"/>
              <w:jc w:val="center"/>
              <w:rPr/>
            </w:pPr>
            <w:r>
              <w:rPr/>
              <w:t> </w:t>
            </w:r>
          </w:p>
        </w:tc>
        <w:tc>
          <w:tcPr>
            <w:tcW w:w="2182" w:type="dxa"/>
            <w:tcBorders/>
            <w:vAlign w:val="center"/>
          </w:tcPr>
          <w:p>
            <w:pPr>
              <w:pStyle w:val="TableContents"/>
              <w:bidi w:val="0"/>
              <w:spacing w:before="0" w:after="0"/>
              <w:ind w:left="0" w:right="0" w:hanging="0"/>
              <w:jc w:val="center"/>
              <w:rPr/>
            </w:pPr>
            <w:r>
              <w:rPr/>
              <w:t>—</w:t>
            </w:r>
          </w:p>
        </w:tc>
      </w:tr>
      <w:tr>
        <w:trPr/>
        <w:tc>
          <w:tcPr>
            <w:tcW w:w="23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Lisa B. Higley</w:t>
            </w:r>
          </w:p>
        </w:tc>
        <w:tc>
          <w:tcPr>
            <w:tcW w:w="91" w:type="dxa"/>
            <w:tcBorders/>
            <w:vAlign w:val="center"/>
          </w:tcPr>
          <w:p>
            <w:pPr>
              <w:pStyle w:val="TableContents"/>
              <w:bidi w:val="0"/>
              <w:spacing w:before="0" w:after="0"/>
              <w:ind w:left="0" w:right="0" w:hanging="0"/>
              <w:jc w:val="left"/>
              <w:rPr/>
            </w:pPr>
            <w:r>
              <w:rPr/>
              <w:t> </w:t>
            </w:r>
          </w:p>
        </w:tc>
        <w:tc>
          <w:tcPr>
            <w:tcW w:w="14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16,848,484</w:t>
            </w:r>
          </w:p>
        </w:tc>
        <w:tc>
          <w:tcPr>
            <w:tcW w:w="90" w:type="dxa"/>
            <w:tcBorders/>
            <w:vAlign w:val="center"/>
          </w:tcPr>
          <w:p>
            <w:pPr>
              <w:pStyle w:val="TableContents"/>
              <w:bidi w:val="0"/>
              <w:spacing w:before="0" w:after="0"/>
              <w:ind w:left="0" w:right="0" w:hanging="0"/>
              <w:jc w:val="center"/>
              <w:rPr/>
            </w:pPr>
            <w:r>
              <w:rPr/>
              <w:t> </w:t>
            </w:r>
          </w:p>
        </w:tc>
        <w:tc>
          <w:tcPr>
            <w:tcW w:w="188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186,919</w:t>
            </w:r>
          </w:p>
        </w:tc>
        <w:tc>
          <w:tcPr>
            <w:tcW w:w="91" w:type="dxa"/>
            <w:tcBorders/>
            <w:vAlign w:val="center"/>
          </w:tcPr>
          <w:p>
            <w:pPr>
              <w:pStyle w:val="TableContents"/>
              <w:bidi w:val="0"/>
              <w:spacing w:before="0" w:after="0"/>
              <w:ind w:left="0" w:right="0" w:hanging="0"/>
              <w:jc w:val="center"/>
              <w:rPr/>
            </w:pPr>
            <w:r>
              <w:rPr/>
              <w:t> </w:t>
            </w:r>
          </w:p>
        </w:tc>
        <w:tc>
          <w:tcPr>
            <w:tcW w:w="1978" w:type="dxa"/>
            <w:tcBorders/>
            <w:vAlign w:val="center"/>
          </w:tcPr>
          <w:p>
            <w:pPr>
              <w:pStyle w:val="TableContents"/>
              <w:bidi w:val="0"/>
              <w:spacing w:before="0" w:after="0"/>
              <w:ind w:left="0" w:right="0" w:hanging="0"/>
              <w:jc w:val="center"/>
              <w:rPr/>
            </w:pPr>
            <w:r>
              <w:rPr/>
              <w:t>—</w:t>
            </w:r>
          </w:p>
        </w:tc>
        <w:tc>
          <w:tcPr>
            <w:tcW w:w="90" w:type="dxa"/>
            <w:tcBorders/>
            <w:vAlign w:val="center"/>
          </w:tcPr>
          <w:p>
            <w:pPr>
              <w:pStyle w:val="TableContents"/>
              <w:bidi w:val="0"/>
              <w:spacing w:before="0" w:after="0"/>
              <w:ind w:left="0" w:right="0" w:hanging="0"/>
              <w:jc w:val="center"/>
              <w:rPr/>
            </w:pPr>
            <w:r>
              <w:rPr/>
              <w:t> </w:t>
            </w:r>
          </w:p>
        </w:tc>
        <w:tc>
          <w:tcPr>
            <w:tcW w:w="2182" w:type="dxa"/>
            <w:tcBorders/>
            <w:vAlign w:val="center"/>
          </w:tcPr>
          <w:p>
            <w:pPr>
              <w:pStyle w:val="TableContents"/>
              <w:bidi w:val="0"/>
              <w:spacing w:before="0" w:after="0"/>
              <w:ind w:left="0" w:right="0" w:hanging="0"/>
              <w:jc w:val="center"/>
              <w:rPr/>
            </w:pPr>
            <w:r>
              <w:rPr/>
              <w:t>—</w:t>
            </w:r>
          </w:p>
        </w:tc>
      </w:tr>
      <w:tr>
        <w:trPr/>
        <w:tc>
          <w:tcPr>
            <w:tcW w:w="23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Eric L. Robinson</w:t>
            </w:r>
          </w:p>
        </w:tc>
        <w:tc>
          <w:tcPr>
            <w:tcW w:w="91" w:type="dxa"/>
            <w:tcBorders/>
            <w:vAlign w:val="center"/>
          </w:tcPr>
          <w:p>
            <w:pPr>
              <w:pStyle w:val="TableContents"/>
              <w:bidi w:val="0"/>
              <w:spacing w:before="0" w:after="0"/>
              <w:ind w:left="0" w:right="0" w:hanging="0"/>
              <w:jc w:val="left"/>
              <w:rPr/>
            </w:pPr>
            <w:r>
              <w:rPr/>
              <w:t> </w:t>
            </w:r>
          </w:p>
        </w:tc>
        <w:tc>
          <w:tcPr>
            <w:tcW w:w="14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16,878,848</w:t>
            </w:r>
          </w:p>
        </w:tc>
        <w:tc>
          <w:tcPr>
            <w:tcW w:w="90" w:type="dxa"/>
            <w:tcBorders/>
            <w:vAlign w:val="center"/>
          </w:tcPr>
          <w:p>
            <w:pPr>
              <w:pStyle w:val="TableContents"/>
              <w:bidi w:val="0"/>
              <w:spacing w:before="0" w:after="0"/>
              <w:ind w:left="0" w:right="0" w:hanging="0"/>
              <w:jc w:val="center"/>
              <w:rPr/>
            </w:pPr>
            <w:r>
              <w:rPr/>
              <w:t> </w:t>
            </w:r>
          </w:p>
        </w:tc>
        <w:tc>
          <w:tcPr>
            <w:tcW w:w="188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156,855</w:t>
            </w:r>
          </w:p>
        </w:tc>
        <w:tc>
          <w:tcPr>
            <w:tcW w:w="91" w:type="dxa"/>
            <w:tcBorders/>
            <w:vAlign w:val="center"/>
          </w:tcPr>
          <w:p>
            <w:pPr>
              <w:pStyle w:val="TableContents"/>
              <w:bidi w:val="0"/>
              <w:spacing w:before="0" w:after="0"/>
              <w:ind w:left="0" w:right="0" w:hanging="0"/>
              <w:jc w:val="center"/>
              <w:rPr/>
            </w:pPr>
            <w:r>
              <w:rPr/>
              <w:t> </w:t>
            </w:r>
          </w:p>
        </w:tc>
        <w:tc>
          <w:tcPr>
            <w:tcW w:w="1978" w:type="dxa"/>
            <w:tcBorders/>
            <w:vAlign w:val="center"/>
          </w:tcPr>
          <w:p>
            <w:pPr>
              <w:pStyle w:val="TableContents"/>
              <w:bidi w:val="0"/>
              <w:spacing w:before="0" w:after="0"/>
              <w:ind w:left="0" w:right="0" w:hanging="0"/>
              <w:jc w:val="center"/>
              <w:rPr/>
            </w:pPr>
            <w:r>
              <w:rPr/>
              <w:t>—</w:t>
            </w:r>
          </w:p>
        </w:tc>
        <w:tc>
          <w:tcPr>
            <w:tcW w:w="90" w:type="dxa"/>
            <w:tcBorders/>
            <w:vAlign w:val="center"/>
          </w:tcPr>
          <w:p>
            <w:pPr>
              <w:pStyle w:val="TableContents"/>
              <w:bidi w:val="0"/>
              <w:spacing w:before="0" w:after="0"/>
              <w:ind w:left="0" w:right="0" w:hanging="0"/>
              <w:jc w:val="center"/>
              <w:rPr/>
            </w:pPr>
            <w:r>
              <w:rPr/>
              <w:t> </w:t>
            </w:r>
          </w:p>
        </w:tc>
        <w:tc>
          <w:tcPr>
            <w:tcW w:w="2182" w:type="dxa"/>
            <w:tcBorders/>
            <w:vAlign w:val="center"/>
          </w:tcPr>
          <w:p>
            <w:pPr>
              <w:pStyle w:val="TableContents"/>
              <w:bidi w:val="0"/>
              <w:spacing w:before="0" w:after="0"/>
              <w:ind w:left="0" w:right="0" w:hanging="0"/>
              <w:jc w:val="center"/>
              <w:rPr/>
            </w:pPr>
            <w:r>
              <w:rPr/>
              <w:t>—</w:t>
            </w:r>
          </w:p>
        </w:tc>
      </w:tr>
      <w:tr>
        <w:trPr/>
        <w:tc>
          <w:tcPr>
            <w:tcW w:w="23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Bruce Whaley</w:t>
            </w:r>
          </w:p>
        </w:tc>
        <w:tc>
          <w:tcPr>
            <w:tcW w:w="91" w:type="dxa"/>
            <w:tcBorders/>
            <w:vAlign w:val="center"/>
          </w:tcPr>
          <w:p>
            <w:pPr>
              <w:pStyle w:val="TableContents"/>
              <w:bidi w:val="0"/>
              <w:spacing w:before="0" w:after="0"/>
              <w:ind w:left="0" w:right="0" w:hanging="0"/>
              <w:jc w:val="left"/>
              <w:rPr/>
            </w:pPr>
            <w:r>
              <w:rPr/>
              <w:t> </w:t>
            </w:r>
          </w:p>
        </w:tc>
        <w:tc>
          <w:tcPr>
            <w:tcW w:w="14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16,845,421</w:t>
            </w:r>
          </w:p>
        </w:tc>
        <w:tc>
          <w:tcPr>
            <w:tcW w:w="90" w:type="dxa"/>
            <w:tcBorders/>
            <w:vAlign w:val="center"/>
          </w:tcPr>
          <w:p>
            <w:pPr>
              <w:pStyle w:val="TableContents"/>
              <w:bidi w:val="0"/>
              <w:spacing w:before="0" w:after="0"/>
              <w:ind w:left="0" w:right="0" w:hanging="0"/>
              <w:jc w:val="center"/>
              <w:rPr/>
            </w:pPr>
            <w:r>
              <w:rPr/>
              <w:t> </w:t>
            </w:r>
          </w:p>
        </w:tc>
        <w:tc>
          <w:tcPr>
            <w:tcW w:w="188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189,982</w:t>
            </w:r>
          </w:p>
        </w:tc>
        <w:tc>
          <w:tcPr>
            <w:tcW w:w="91" w:type="dxa"/>
            <w:tcBorders/>
            <w:vAlign w:val="center"/>
          </w:tcPr>
          <w:p>
            <w:pPr>
              <w:pStyle w:val="TableContents"/>
              <w:bidi w:val="0"/>
              <w:spacing w:before="0" w:after="0"/>
              <w:ind w:left="0" w:right="0" w:hanging="0"/>
              <w:jc w:val="center"/>
              <w:rPr/>
            </w:pPr>
            <w:r>
              <w:rPr/>
              <w:t> </w:t>
            </w:r>
          </w:p>
        </w:tc>
        <w:tc>
          <w:tcPr>
            <w:tcW w:w="1978" w:type="dxa"/>
            <w:tcBorders/>
            <w:vAlign w:val="center"/>
          </w:tcPr>
          <w:p>
            <w:pPr>
              <w:pStyle w:val="TableContents"/>
              <w:bidi w:val="0"/>
              <w:spacing w:before="0" w:after="0"/>
              <w:ind w:left="0" w:right="0" w:hanging="0"/>
              <w:jc w:val="center"/>
              <w:rPr/>
            </w:pPr>
            <w:r>
              <w:rPr/>
              <w:t>—</w:t>
            </w:r>
          </w:p>
        </w:tc>
        <w:tc>
          <w:tcPr>
            <w:tcW w:w="90" w:type="dxa"/>
            <w:tcBorders/>
            <w:vAlign w:val="center"/>
          </w:tcPr>
          <w:p>
            <w:pPr>
              <w:pStyle w:val="TableContents"/>
              <w:bidi w:val="0"/>
              <w:spacing w:before="0" w:after="0"/>
              <w:ind w:left="0" w:right="0" w:hanging="0"/>
              <w:jc w:val="center"/>
              <w:rPr/>
            </w:pPr>
            <w:r>
              <w:rPr/>
              <w:t> </w:t>
            </w:r>
          </w:p>
        </w:tc>
        <w:tc>
          <w:tcPr>
            <w:tcW w:w="218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b/>
          <w:sz w:val="20"/>
        </w:rPr>
        <w:t xml:space="preserve">Item 7.01 </w:t>
      </w:r>
      <w:r>
        <w:rPr>
          <w:rFonts w:ascii="times new roman;times" w:hAnsi="times new roman;times"/>
          <w:sz w:val="20"/>
        </w:rPr>
        <w:t xml:space="preserve">              </w:t>
      </w:r>
      <w:r>
        <w:rPr>
          <w:rFonts w:ascii="Times New Roman" w:hAnsi="Times New Roman"/>
          <w:b/>
          <w:sz w:val="20"/>
        </w:rPr>
        <w:t>Regulation FD</w:t>
      </w:r>
      <w:r>
        <w:rPr>
          <w:rFonts w:ascii="times new roman;times" w:hAnsi="times new roman;times"/>
          <w:sz w:val="20"/>
        </w:rPr>
        <w:t xml:space="preserve"> </w:t>
      </w:r>
      <w:r>
        <w:rPr>
          <w:rFonts w:ascii="Times New Roman" w:hAnsi="Times New Roman"/>
          <w:b/>
          <w:sz w:val="20"/>
        </w:rPr>
        <w:t>Disclosure</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sz w:val="20"/>
        </w:rPr>
        <w:t>On December 28, 2023, ClearOne, Inc. (the “Company”)</w:t>
      </w:r>
      <w:r>
        <w:rPr>
          <w:rFonts w:ascii="times new roman;times" w:hAnsi="times new roman;times"/>
          <w:sz w:val="20"/>
        </w:rPr>
        <w:t xml:space="preserve"> </w:t>
      </w:r>
      <w:r>
        <w:rPr>
          <w:rFonts w:ascii="Times New Roman" w:hAnsi="Times New Roman"/>
          <w:sz w:val="20"/>
        </w:rPr>
        <w:t>issued a press release announcing the retirement of the final $1 million of outstanding convertible debt and the receipt of a $6.9 million income tax refund.</w:t>
      </w:r>
      <w:r>
        <w:rPr>
          <w:rFonts w:ascii="times new roman;times" w:hAnsi="times new roman;times"/>
          <w:sz w:val="20"/>
        </w:rPr>
        <w:t xml:space="preserve">  </w:t>
      </w:r>
      <w:r>
        <w:rPr>
          <w:rFonts w:ascii="Times New Roman" w:hAnsi="Times New Roman"/>
          <w:sz w:val="20"/>
        </w:rPr>
        <w:t>A copy of the press release is furnished herewith as exhibit 99.1.</w:t>
      </w:r>
      <w:r>
        <w:rPr>
          <w:rFonts w:ascii="times new roman;times" w:hAnsi="times new roman;times"/>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b/>
          <w:sz w:val="20"/>
        </w:rPr>
        <w:t>Item 9.01</w:t>
      </w:r>
      <w:r>
        <w:rPr>
          <w:rFonts w:ascii="times new roman;times" w:hAnsi="times new roman;times"/>
          <w:sz w:val="20"/>
        </w:rPr>
        <w:t xml:space="preserve">              </w:t>
      </w:r>
      <w:r>
        <w:rPr>
          <w:rFonts w:ascii="Times New Roman" w:hAnsi="Times New Roman"/>
          <w:b/>
          <w:sz w:val="20"/>
        </w:rPr>
        <w:t>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28" w:type="dxa"/>
          <w:right w:w="0" w:type="dxa"/>
        </w:tblCellMar>
      </w:tblPr>
      <w:tblGrid>
        <w:gridCol w:w="1790"/>
        <w:gridCol w:w="76"/>
        <w:gridCol w:w="8339"/>
      </w:tblGrid>
      <w:tr>
        <w:trPr/>
        <w:tc>
          <w:tcPr>
            <w:tcW w:w="1790" w:type="dxa"/>
            <w:tcBorders>
              <w:bottom w:val="single" w:sz="8"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76" w:type="dxa"/>
            <w:tcBorders/>
            <w:tcMar>
              <w:bottom w:w="0" w:type="dxa"/>
            </w:tcMar>
            <w:vAlign w:val="center"/>
          </w:tcPr>
          <w:p>
            <w:pPr>
              <w:pStyle w:val="TableContents"/>
              <w:bidi w:val="0"/>
              <w:spacing w:before="0" w:after="0"/>
              <w:ind w:left="0" w:right="0" w:hanging="0"/>
              <w:jc w:val="center"/>
              <w:rPr/>
            </w:pPr>
            <w:r>
              <w:rPr/>
              <w:t> </w:t>
            </w:r>
          </w:p>
        </w:tc>
        <w:tc>
          <w:tcPr>
            <w:tcW w:w="8339" w:type="dxa"/>
            <w:tcBorders>
              <w:bottom w:val="single" w:sz="8"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790"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99.1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before="0" w:after="0"/>
              <w:ind w:left="0" w:right="0" w:hanging="0"/>
              <w:jc w:val="both"/>
              <w:rPr/>
            </w:pPr>
            <w:hyperlink w:anchor="ex991_1.htm">
              <w:r>
                <w:rPr>
                  <w:rStyle w:val="InternetLink"/>
                  <w:rFonts w:ascii="Times New Roman" w:hAnsi="Times New Roman"/>
                  <w:sz w:val="20"/>
                </w:rPr>
                <w:t>Press Release of ClearOne. Inc. dated December 28, 2023.</w:t>
              </w:r>
            </w:hyperlink>
          </w:p>
        </w:tc>
      </w:tr>
      <w:tr>
        <w:trPr/>
        <w:tc>
          <w:tcPr>
            <w:tcW w:w="1790"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r>
        <w:trPr/>
        <w:tc>
          <w:tcPr>
            <w:tcW w:w="1790" w:type="dxa"/>
            <w:tcBorders/>
            <w:tcMar>
              <w:bottom w:w="0" w:type="dxa"/>
            </w:tcMar>
            <w:vAlign w:val="center"/>
          </w:tcPr>
          <w:p>
            <w:pPr>
              <w:pStyle w:val="TableContents"/>
              <w:bidi w:val="0"/>
              <w:spacing w:before="0" w:after="0"/>
              <w:ind w:left="0" w:right="0" w:hanging="0"/>
              <w:jc w:val="both"/>
              <w:rPr/>
            </w:pPr>
            <w:r>
              <w:rPr/>
              <w:t> </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39" w:type="dxa"/>
            <w:tcBorders/>
            <w:tcMar>
              <w:bottom w:w="0" w:type="dxa"/>
            </w:tcMar>
            <w:vAlign w:val="center"/>
          </w:tcPr>
          <w:p>
            <w:pPr>
              <w:pStyle w:val="TableContents"/>
              <w:bidi w:val="0"/>
              <w:spacing w:before="0" w:after="0"/>
              <w:ind w:left="0" w:right="0" w:hanging="0"/>
              <w:jc w:val="both"/>
              <w:rPr/>
            </w:pPr>
            <w:r>
              <w:rPr/>
              <w:t> </w:t>
            </w:r>
          </w:p>
        </w:tc>
      </w:tr>
    </w:tbl>
    <w:p>
      <w:pPr>
        <w:pStyle w:val="TextBody"/>
        <w:bidi w:val="0"/>
        <w:spacing w:lineRule="auto" w:line="288" w:before="0" w:after="240"/>
        <w:ind w:left="0" w:right="0" w:hanging="0"/>
        <w:jc w:val="left"/>
        <w:rPr>
          <w:rFonts w:ascii="times new roman;times" w:hAnsi="times new roman;times"/>
          <w:sz w:val="20"/>
        </w:rPr>
      </w:pPr>
      <w:r>
        <w:rPr>
          <w:rFonts w:ascii="Times New Roman" w:hAnsi="Times New Roman"/>
          <w:sz w:val="20"/>
        </w:rPr>
        <w:t>The information included in this Current Report on Form 8-K (including the exhibit hereto) is being furnished under Item 7.01, “Regulation FD</w:t>
      </w:r>
      <w:r>
        <w:rPr>
          <w:rFonts w:ascii="times new roman;times" w:hAnsi="times new roman;times"/>
          <w:sz w:val="20"/>
        </w:rPr>
        <w:t xml:space="preserve"> </w:t>
      </w:r>
      <w:r>
        <w:rPr>
          <w:rFonts w:ascii="Times New Roman" w:hAnsi="Times New Roman"/>
          <w:sz w:val="20"/>
        </w:rPr>
        <w:t>Disclosure</w:t>
      </w:r>
      <w:r>
        <w:rPr>
          <w:rFonts w:ascii="times new roman;times" w:hAnsi="times new roman;times"/>
          <w:sz w:val="20"/>
        </w:rPr>
        <w:t xml:space="preserve">” </w:t>
      </w:r>
      <w:r>
        <w:rPr>
          <w:rFonts w:ascii="Times New Roman" w:hAnsi="Times New Roman"/>
          <w:sz w:val="20"/>
        </w:rPr>
        <w:t>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14"/>
        <w:gridCol w:w="421"/>
        <w:gridCol w:w="7370"/>
      </w:tblGrid>
      <w:tr>
        <w:trPr/>
        <w:tc>
          <w:tcPr>
            <w:tcW w:w="2414" w:type="dxa"/>
            <w:tcBorders/>
            <w:vAlign w:val="center"/>
          </w:tcPr>
          <w:p>
            <w:pPr>
              <w:pStyle w:val="TableContents"/>
              <w:bidi w:val="0"/>
              <w:spacing w:before="0" w:after="0"/>
              <w:ind w:left="0" w:right="0" w:hanging="0"/>
              <w:jc w:val="both"/>
              <w:rPr/>
            </w:pPr>
            <w:r>
              <w:rPr/>
              <w:t> </w:t>
            </w:r>
          </w:p>
        </w:tc>
        <w:tc>
          <w:tcPr>
            <w:tcW w:w="7791"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2414" w:type="dxa"/>
            <w:tcBorders/>
            <w:vAlign w:val="center"/>
          </w:tcPr>
          <w:p>
            <w:pPr>
              <w:pStyle w:val="TableContents"/>
              <w:bidi w:val="0"/>
              <w:spacing w:before="0" w:after="0"/>
              <w:ind w:left="0" w:right="0" w:hanging="0"/>
              <w:jc w:val="both"/>
              <w:rPr/>
            </w:pPr>
            <w:r>
              <w:rPr/>
              <w:t> </w:t>
            </w:r>
          </w:p>
        </w:tc>
        <w:tc>
          <w:tcPr>
            <w:tcW w:w="421" w:type="dxa"/>
            <w:tcBorders/>
            <w:vAlign w:val="center"/>
          </w:tcPr>
          <w:p>
            <w:pPr>
              <w:pStyle w:val="TableContents"/>
              <w:bidi w:val="0"/>
              <w:spacing w:before="0" w:after="0"/>
              <w:ind w:left="0" w:right="0" w:hanging="0"/>
              <w:jc w:val="both"/>
              <w:rPr/>
            </w:pPr>
            <w:r>
              <w:rPr/>
              <w:t> </w:t>
            </w:r>
          </w:p>
        </w:tc>
        <w:tc>
          <w:tcPr>
            <w:tcW w:w="7370" w:type="dxa"/>
            <w:tcBorders/>
            <w:vAlign w:val="center"/>
          </w:tcPr>
          <w:p>
            <w:pPr>
              <w:pStyle w:val="TableContents"/>
              <w:bidi w:val="0"/>
              <w:spacing w:before="0" w:after="0"/>
              <w:ind w:left="0" w:right="0" w:hanging="0"/>
              <w:jc w:val="both"/>
              <w:rPr/>
            </w:pPr>
            <w:r>
              <w:rPr/>
              <w:t> </w:t>
            </w:r>
          </w:p>
        </w:tc>
      </w:tr>
      <w:tr>
        <w:trPr/>
        <w:tc>
          <w:tcPr>
            <w:tcW w:w="241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Date: December 29, 2023</w:t>
            </w:r>
          </w:p>
        </w:tc>
        <w:tc>
          <w:tcPr>
            <w:tcW w:w="42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7370"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 xml:space="preserve">/s/ Narsi Narayanan </w:t>
            </w:r>
          </w:p>
        </w:tc>
      </w:tr>
      <w:tr>
        <w:trPr/>
        <w:tc>
          <w:tcPr>
            <w:tcW w:w="2414" w:type="dxa"/>
            <w:tcBorders/>
            <w:vAlign w:val="center"/>
          </w:tcPr>
          <w:p>
            <w:pPr>
              <w:pStyle w:val="TableContents"/>
              <w:bidi w:val="0"/>
              <w:spacing w:before="0" w:after="0"/>
              <w:ind w:left="0" w:right="0" w:hanging="0"/>
              <w:jc w:val="both"/>
              <w:rPr/>
            </w:pPr>
            <w:r>
              <w:rPr/>
              <w:t> </w:t>
            </w:r>
          </w:p>
        </w:tc>
        <w:tc>
          <w:tcPr>
            <w:tcW w:w="421" w:type="dxa"/>
            <w:tcBorders/>
            <w:vAlign w:val="center"/>
          </w:tcPr>
          <w:p>
            <w:pPr>
              <w:pStyle w:val="TableContents"/>
              <w:bidi w:val="0"/>
              <w:spacing w:before="0" w:after="0"/>
              <w:ind w:left="0" w:right="0" w:hanging="0"/>
              <w:jc w:val="both"/>
              <w:rPr/>
            </w:pPr>
            <w:r>
              <w:rPr/>
              <w:t> </w:t>
            </w:r>
          </w:p>
        </w:tc>
        <w:tc>
          <w:tcPr>
            <w:tcW w:w="73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Narsi Narayanan </w:t>
            </w:r>
          </w:p>
        </w:tc>
      </w:tr>
      <w:tr>
        <w:trPr/>
        <w:tc>
          <w:tcPr>
            <w:tcW w:w="2414" w:type="dxa"/>
            <w:tcBorders/>
            <w:vAlign w:val="center"/>
          </w:tcPr>
          <w:p>
            <w:pPr>
              <w:pStyle w:val="TableContents"/>
              <w:bidi w:val="0"/>
              <w:spacing w:before="0" w:after="0"/>
              <w:ind w:left="0" w:right="0" w:hanging="0"/>
              <w:jc w:val="both"/>
              <w:rPr/>
            </w:pPr>
            <w:r>
              <w:rPr/>
              <w:t> </w:t>
            </w:r>
          </w:p>
        </w:tc>
        <w:tc>
          <w:tcPr>
            <w:tcW w:w="421" w:type="dxa"/>
            <w:tcBorders/>
            <w:vAlign w:val="center"/>
          </w:tcPr>
          <w:p>
            <w:pPr>
              <w:pStyle w:val="TableContents"/>
              <w:bidi w:val="0"/>
              <w:spacing w:before="0" w:after="0"/>
              <w:ind w:left="0" w:right="0" w:hanging="0"/>
              <w:jc w:val="both"/>
              <w:rPr/>
            </w:pPr>
            <w:r>
              <w:rPr/>
              <w:t> </w:t>
            </w:r>
          </w:p>
        </w:tc>
        <w:tc>
          <w:tcPr>
            <w:tcW w:w="7370" w:type="dxa"/>
            <w:tcBorders/>
            <w:vAlign w:val="center"/>
          </w:tcPr>
          <w:p>
            <w:pPr>
              <w:pStyle w:val="TableContents"/>
              <w:bidi w:val="0"/>
              <w:spacing w:before="0" w:after="0"/>
              <w:ind w:left="30" w:right="0" w:hanging="0"/>
              <w:jc w:val="both"/>
              <w:rPr>
                <w:rFonts w:ascii="Times New Roman" w:hAnsi="Times New Roman"/>
                <w:sz w:val="20"/>
              </w:rPr>
            </w:pPr>
            <w:r>
              <w:rPr>
                <w:rFonts w:ascii="Times New Roman" w:hAnsi="Times New Roman"/>
                <w:sz w:val="20"/>
              </w:rPr>
              <w:t xml:space="preserve">Chief Financial Officer (Principal Accounting and Principal Financial Officer) </w:t>
            </w:r>
          </w:p>
        </w:tc>
      </w:tr>
    </w:tbl>
    <w:p>
      <w:pPr>
        <w:pStyle w:val="TextBody"/>
        <w:bidi w:val="0"/>
        <w:spacing w:before="0" w:after="0"/>
        <w:ind w:left="0" w:right="0" w:hanging="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right"/>
        <w:rPr>
          <w:rFonts w:ascii="times new roman;times" w:hAnsi="times new roman;times"/>
          <w:b/>
          <w:sz w:val="20"/>
        </w:rPr>
      </w:pPr>
      <w:bookmarkStart w:id="0" w:name="ex991_1.htm"/>
      <w:bookmarkStart w:id="1" w:name="ksex991_1"/>
      <w:bookmarkEnd w:id="0"/>
      <w:bookmarkEnd w:id="1"/>
      <w:r>
        <w:rPr>
          <w:rFonts w:ascii="times new roman;times" w:hAnsi="times new roman;times"/>
          <w:b/>
          <w:sz w:val="20"/>
        </w:rPr>
        <w:t>Exhibit 99.1</w:t>
      </w:r>
      <w:r>
        <w:br w:type="page"/>
      </w:r>
    </w:p>
    <w:p>
      <w:pPr>
        <w:pStyle w:val="TextBody"/>
        <w:bidi w:val="0"/>
        <w:spacing w:before="0" w:after="0"/>
        <w:ind w:left="0" w:right="0" w:hanging="0"/>
        <w:jc w:val="left"/>
        <w:rPr/>
      </w:pPr>
      <w:r>
        <w:rPr/>
        <w:drawing>
          <wp:inline distT="0" distB="0" distL="0" distR="0">
            <wp:extent cx="17240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47675"/>
                    </a:xfrm>
                    <a:prstGeom prst="rect">
                      <a:avLst/>
                    </a:prstGeom>
                  </pic:spPr>
                </pic:pic>
              </a:graphicData>
            </a:graphic>
          </wp:inline>
        </w:drawing>
      </w:r>
    </w:p>
    <w:p>
      <w:pPr>
        <w:pStyle w:val="TextBody"/>
        <w:bidi w:val="0"/>
        <w:spacing w:lineRule="auto" w:line="288" w:before="0" w:after="0"/>
        <w:ind w:left="0" w:right="0" w:hanging="0"/>
        <w:jc w:val="both"/>
        <w:rPr/>
      </w:pPr>
      <w:r>
        <w:rPr/>
        <w:t> </w:t>
      </w:r>
    </w:p>
    <w:p>
      <w:pPr>
        <w:pStyle w:val="TextBody"/>
        <w:keepNext w:val="true"/>
        <w:bidi w:val="0"/>
        <w:spacing w:lineRule="auto" w:line="360" w:before="0" w:after="0"/>
        <w:ind w:left="0" w:right="0" w:hanging="0"/>
        <w:jc w:val="center"/>
        <w:rPr>
          <w:rFonts w:ascii="times new roman;times" w:hAnsi="times new roman;times"/>
          <w:sz w:val="28"/>
        </w:rPr>
      </w:pPr>
      <w:r>
        <w:rPr>
          <w:rFonts w:ascii="times new roman;times" w:hAnsi="times new roman;times"/>
          <w:b/>
          <w:sz w:val="28"/>
        </w:rPr>
        <w:t>ClearOne</w:t>
      </w:r>
      <w:r>
        <w:rPr>
          <w:rFonts w:ascii="times new roman;times" w:hAnsi="times new roman;times"/>
          <w:sz w:val="28"/>
        </w:rPr>
        <w:t xml:space="preserve"> </w:t>
      </w:r>
      <w:r>
        <w:rPr>
          <w:rFonts w:ascii="times new roman;times" w:hAnsi="times new roman;times"/>
          <w:b/>
          <w:sz w:val="28"/>
        </w:rPr>
        <w:t>Announces Significant</w:t>
      </w:r>
      <w:r>
        <w:rPr>
          <w:rFonts w:ascii="times new roman;times" w:hAnsi="times new roman;times"/>
          <w:sz w:val="28"/>
        </w:rPr>
        <w:t xml:space="preserve"> </w:t>
      </w:r>
      <w:r>
        <w:rPr>
          <w:rFonts w:ascii="times new roman;times" w:hAnsi="times new roman;times"/>
          <w:b/>
          <w:sz w:val="28"/>
        </w:rPr>
        <w:t>Balance Sheet Improvements</w:t>
      </w:r>
    </w:p>
    <w:p>
      <w:pPr>
        <w:pStyle w:val="TextBody"/>
        <w:bidi w:val="0"/>
        <w:spacing w:before="0" w:after="0"/>
        <w:ind w:left="0" w:right="0" w:hanging="0"/>
        <w:jc w:val="center"/>
        <w:rPr/>
      </w:pPr>
      <w:r>
        <w:rPr/>
        <w:t> </w:t>
      </w:r>
    </w:p>
    <w:p>
      <w:pPr>
        <w:pStyle w:val="TextBody"/>
        <w:keepNext w:val="true"/>
        <w:bidi w:val="0"/>
        <w:spacing w:lineRule="auto" w:line="360" w:before="0" w:after="0"/>
        <w:ind w:left="0" w:right="0" w:hanging="0"/>
        <w:jc w:val="center"/>
        <w:rPr>
          <w:rFonts w:ascii="times new roman;times" w:hAnsi="times new roman;times"/>
          <w:sz w:val="24"/>
        </w:rPr>
      </w:pPr>
      <w:r>
        <w:rPr>
          <w:rFonts w:ascii="times new roman;times" w:hAnsi="times new roman;times"/>
          <w:i/>
          <w:sz w:val="24"/>
        </w:rPr>
        <w:t>- Eliminated Remaining Debt With Final $1 Million Payment on Senior Secured Convertible Notes</w:t>
      </w:r>
      <w:r>
        <w:rPr>
          <w:rFonts w:ascii="times new roman;times" w:hAnsi="times new roman;times"/>
          <w:sz w:val="24"/>
        </w:rPr>
        <w:t xml:space="preserve"> </w:t>
      </w:r>
      <w:r>
        <w:rPr>
          <w:rFonts w:ascii="times new roman;times" w:hAnsi="times new roman;times"/>
          <w:i/>
          <w:sz w:val="24"/>
        </w:rPr>
        <w:t>-</w:t>
      </w:r>
    </w:p>
    <w:p>
      <w:pPr>
        <w:pStyle w:val="TextBody"/>
        <w:keepNext w:val="true"/>
        <w:bidi w:val="0"/>
        <w:spacing w:before="0" w:after="0"/>
        <w:ind w:left="0" w:right="0" w:hanging="0"/>
        <w:jc w:val="both"/>
        <w:rPr/>
      </w:pPr>
      <w:r>
        <w:rPr/>
        <w:t> </w:t>
      </w:r>
    </w:p>
    <w:p>
      <w:pPr>
        <w:pStyle w:val="TextBody"/>
        <w:keepNext w:val="true"/>
        <w:bidi w:val="0"/>
        <w:spacing w:lineRule="auto" w:line="360" w:before="0" w:after="0"/>
        <w:ind w:left="0" w:right="0" w:hanging="0"/>
        <w:jc w:val="center"/>
        <w:rPr>
          <w:rFonts w:ascii="times new roman;times" w:hAnsi="times new roman;times"/>
          <w:sz w:val="24"/>
        </w:rPr>
      </w:pPr>
      <w:r>
        <w:rPr>
          <w:rFonts w:ascii="times new roman;times" w:hAnsi="times new roman;times"/>
          <w:i/>
          <w:sz w:val="24"/>
        </w:rPr>
        <w:t>- Current Cash Balance Increased to Over $23.1 Million, With an Additional</w:t>
      </w:r>
      <w:r>
        <w:rPr>
          <w:rFonts w:ascii="times new roman;times" w:hAnsi="times new roman;times"/>
          <w:sz w:val="24"/>
        </w:rPr>
        <w:t xml:space="preserve"> </w:t>
      </w:r>
      <w:r>
        <w:rPr>
          <w:rFonts w:ascii="times new roman;times" w:hAnsi="times new roman;times"/>
          <w:i/>
          <w:sz w:val="24"/>
        </w:rPr>
        <w:t>$4 Million Expected</w:t>
      </w:r>
      <w:r>
        <w:rPr>
          <w:rFonts w:ascii="times new roman;times" w:hAnsi="times new roman;times"/>
          <w:sz w:val="24"/>
        </w:rPr>
        <w:t xml:space="preserve"> </w:t>
      </w:r>
      <w:r>
        <w:rPr>
          <w:rFonts w:ascii="times new roman;times" w:hAnsi="times new roman;times"/>
          <w:i/>
          <w:sz w:val="24"/>
        </w:rPr>
        <w:t>in Q1 2024 -</w:t>
      </w:r>
    </w:p>
    <w:p>
      <w:pPr>
        <w:pStyle w:val="TextBody"/>
        <w:keepNext w:val="true"/>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2"/>
        </w:rPr>
        <w:t>Salt Lake City,</w:t>
      </w:r>
      <w:r>
        <w:rPr>
          <w:rFonts w:ascii="times new roman;times" w:hAnsi="times new roman;times"/>
          <w:sz w:val="20"/>
        </w:rPr>
        <w:t xml:space="preserve"> </w:t>
      </w:r>
      <w:r>
        <w:rPr>
          <w:rFonts w:ascii="times new roman;times" w:hAnsi="times new roman;times"/>
          <w:b/>
          <w:sz w:val="22"/>
        </w:rPr>
        <w:t>UT – December</w:t>
      </w:r>
      <w:r>
        <w:rPr>
          <w:rFonts w:ascii="times new roman;times" w:hAnsi="times new roman;times"/>
          <w:sz w:val="20"/>
        </w:rPr>
        <w:t xml:space="preserve"> </w:t>
      </w:r>
      <w:r>
        <w:rPr>
          <w:rFonts w:ascii="times new roman;times" w:hAnsi="times new roman;times"/>
          <w:b/>
          <w:sz w:val="22"/>
        </w:rPr>
        <w:t>28, 2023</w:t>
      </w:r>
      <w:r>
        <w:rPr>
          <w:rFonts w:ascii="times new roman;times" w:hAnsi="times new roman;times"/>
          <w:sz w:val="20"/>
        </w:rPr>
        <w:t xml:space="preserve"> – </w:t>
      </w:r>
      <w:r>
        <w:rPr>
          <w:rFonts w:ascii="times new roman;times" w:hAnsi="times new roman;times"/>
          <w:sz w:val="22"/>
        </w:rPr>
        <w:t>ClearOne, Inc.</w:t>
      </w:r>
      <w:r>
        <w:rPr>
          <w:rFonts w:ascii="times new roman;times" w:hAnsi="times new roman;times"/>
          <w:sz w:val="20"/>
        </w:rPr>
        <w:t xml:space="preserve"> </w:t>
      </w:r>
      <w:r>
        <w:rPr>
          <w:rFonts w:ascii="times new roman;times" w:hAnsi="times new roman;times"/>
          <w:sz w:val="22"/>
        </w:rPr>
        <w:t>(NASDAQ: CLRO) (</w:t>
      </w:r>
      <w:r>
        <w:rPr>
          <w:rFonts w:ascii="times new roman;times" w:hAnsi="times new roman;times"/>
          <w:sz w:val="20"/>
        </w:rPr>
        <w:t>“</w:t>
      </w:r>
      <w:r>
        <w:rPr>
          <w:rFonts w:ascii="times new roman;times" w:hAnsi="times new roman;times"/>
          <w:sz w:val="22"/>
        </w:rPr>
        <w:t>ClearOne” or the "Company"), a global provider of audio and visual communication solutions, announced today that it has meaningfully</w:t>
      </w:r>
      <w:r>
        <w:rPr>
          <w:rFonts w:ascii="times new roman;times" w:hAnsi="times new roman;times"/>
          <w:sz w:val="20"/>
        </w:rPr>
        <w:t xml:space="preserve"> </w:t>
      </w:r>
      <w:r>
        <w:rPr>
          <w:rFonts w:ascii="times new roman;times" w:hAnsi="times new roman;times"/>
          <w:sz w:val="22"/>
        </w:rPr>
        <w:t>improved its balance sheet through the paydown</w:t>
      </w:r>
      <w:r>
        <w:rPr>
          <w:rFonts w:ascii="times new roman;times" w:hAnsi="times new roman;times"/>
          <w:sz w:val="20"/>
        </w:rPr>
        <w:t xml:space="preserve"> </w:t>
      </w:r>
      <w:r>
        <w:rPr>
          <w:rFonts w:ascii="times new roman;times" w:hAnsi="times new roman;times"/>
          <w:sz w:val="22"/>
        </w:rPr>
        <w:t>of its remaining</w:t>
      </w:r>
      <w:r>
        <w:rPr>
          <w:rFonts w:ascii="times new roman;times" w:hAnsi="times new roman;times"/>
          <w:sz w:val="20"/>
        </w:rPr>
        <w:t xml:space="preserve"> </w:t>
      </w:r>
      <w:r>
        <w:rPr>
          <w:rFonts w:ascii="times new roman;times" w:hAnsi="times new roman;times"/>
          <w:sz w:val="22"/>
        </w:rPr>
        <w:t>aggregate debt, the receipt of</w:t>
      </w:r>
      <w:r>
        <w:rPr>
          <w:rFonts w:ascii="times new roman;times" w:hAnsi="times new roman;times"/>
          <w:sz w:val="20"/>
        </w:rPr>
        <w:t xml:space="preserve"> </w:t>
      </w:r>
      <w:r>
        <w:rPr>
          <w:rFonts w:ascii="times new roman;times" w:hAnsi="times new roman;times"/>
          <w:sz w:val="22"/>
        </w:rPr>
        <w:t>a significant</w:t>
      </w:r>
      <w:r>
        <w:rPr>
          <w:rFonts w:ascii="times new roman;times" w:hAnsi="times new roman;times"/>
          <w:sz w:val="20"/>
        </w:rPr>
        <w:t xml:space="preserve"> </w:t>
      </w:r>
      <w:r>
        <w:rPr>
          <w:rFonts w:ascii="times new roman;times" w:hAnsi="times new roman;times"/>
          <w:sz w:val="22"/>
        </w:rPr>
        <w:t>income tax refund,</w:t>
      </w:r>
      <w:r>
        <w:rPr>
          <w:rFonts w:ascii="times new roman;times" w:hAnsi="times new roman;times"/>
          <w:sz w:val="20"/>
        </w:rPr>
        <w:t xml:space="preserve"> </w:t>
      </w:r>
      <w:r>
        <w:rPr>
          <w:rFonts w:ascii="times new roman;times" w:hAnsi="times new roman;times"/>
          <w:sz w:val="22"/>
        </w:rPr>
        <w:t>and the</w:t>
      </w:r>
      <w:r>
        <w:rPr>
          <w:rFonts w:ascii="times new roman;times" w:hAnsi="times new roman;times"/>
          <w:sz w:val="20"/>
        </w:rPr>
        <w:t xml:space="preserve"> </w:t>
      </w:r>
      <w:r>
        <w:rPr>
          <w:rFonts w:ascii="times new roman;times" w:hAnsi="times new roman;times"/>
          <w:sz w:val="22"/>
        </w:rPr>
        <w:t>completion of a</w:t>
      </w:r>
      <w:r>
        <w:rPr>
          <w:rFonts w:ascii="times new roman;times" w:hAnsi="times new roman;times"/>
          <w:sz w:val="20"/>
        </w:rPr>
        <w:t xml:space="preserve"> </w:t>
      </w:r>
      <w:r>
        <w:rPr>
          <w:rFonts w:ascii="times new roman;times" w:hAnsi="times new roman;times"/>
          <w:sz w:val="22"/>
        </w:rPr>
        <w:t>non-exclusive patent cross-licensing agreement.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2"/>
        </w:rPr>
      </w:pPr>
      <w:r>
        <w:rPr>
          <w:rFonts w:ascii="times new roman;times" w:hAnsi="times new roman;times"/>
          <w:b/>
          <w:sz w:val="22"/>
        </w:rPr>
        <w:t>Debt Repayment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2"/>
        </w:rPr>
        <w:t>On December 17, 2023, the Company completed the final $1.0 million principal payment on</w:t>
      </w:r>
      <w:r>
        <w:rPr>
          <w:rFonts w:ascii="times new roman;times" w:hAnsi="times new roman;times"/>
          <w:sz w:val="20"/>
        </w:rPr>
        <w:t xml:space="preserve"> </w:t>
      </w:r>
      <w:r>
        <w:rPr>
          <w:rFonts w:ascii="times new roman;times" w:hAnsi="times new roman;times"/>
          <w:sz w:val="22"/>
        </w:rPr>
        <w:t>its $3.0 million in senior secured convertible notes (the “Notes”), which were originally</w:t>
      </w:r>
      <w:r>
        <w:rPr>
          <w:rFonts w:ascii="times new roman;times" w:hAnsi="times new roman;times"/>
          <w:sz w:val="20"/>
        </w:rPr>
        <w:t xml:space="preserve"> </w:t>
      </w:r>
      <w:r>
        <w:rPr>
          <w:rFonts w:ascii="times new roman;times" w:hAnsi="times new roman;times"/>
          <w:sz w:val="22"/>
        </w:rPr>
        <w:t>issued in December 2019. With this final payment, the Company’s aggregate debt has now been fully repaid</w:t>
      </w:r>
      <w:r>
        <w:rPr>
          <w:rFonts w:ascii="times new roman;times" w:hAnsi="times new roman;times"/>
          <w:sz w:val="20"/>
        </w:rPr>
        <w:t xml:space="preserve"> </w:t>
      </w:r>
      <w:r>
        <w:rPr>
          <w:rFonts w:ascii="times new roman;times" w:hAnsi="times new roman;times"/>
          <w:sz w:val="22"/>
        </w:rPr>
        <w:t xml:space="preserve">and eliminated.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2"/>
        </w:rPr>
        <w:t>In conjunction with the repayment, the ability to convert the Notes into shares has also expired. The 340,909 warrants issued with the Notes remain outstanding and will expire on December 17, 2026</w:t>
      </w:r>
      <w:r>
        <w:rPr>
          <w:rFonts w:ascii="times new roman;times" w:hAnsi="times new roman;times"/>
          <w:sz w:val="20"/>
        </w:rPr>
        <w:t xml:space="preserve"> </w:t>
      </w:r>
      <w:r>
        <w:rPr>
          <w:rFonts w:ascii="times new roman;times" w:hAnsi="times new roman;times"/>
          <w:sz w:val="22"/>
        </w:rPr>
        <w:t>unless earlier exercised.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2"/>
        </w:rPr>
      </w:pPr>
      <w:r>
        <w:rPr>
          <w:rFonts w:ascii="times new roman;times" w:hAnsi="times new roman;times"/>
          <w:b/>
          <w:sz w:val="22"/>
        </w:rPr>
        <w:t>Enhanced Cash Position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2"/>
        </w:rPr>
        <w:t>On December 8, 2023, the Company received a $6.9 million income tax refund</w:t>
      </w:r>
      <w:r>
        <w:rPr>
          <w:rFonts w:ascii="times new roman;times" w:hAnsi="times new roman;times"/>
          <w:sz w:val="20"/>
        </w:rPr>
        <w:t xml:space="preserve"> </w:t>
      </w:r>
      <w:r>
        <w:rPr>
          <w:rFonts w:ascii="times new roman;times" w:hAnsi="times new roman;times"/>
          <w:sz w:val="22"/>
        </w:rPr>
        <w:t>that was already reported as a receivable in the balance sheet</w:t>
      </w:r>
      <w:r>
        <w:rPr>
          <w:rFonts w:ascii="times new roman;times" w:hAnsi="times new roman;times"/>
          <w:sz w:val="20"/>
        </w:rPr>
        <w:t xml:space="preserve"> </w:t>
      </w:r>
      <w:r>
        <w:rPr>
          <w:rFonts w:ascii="times new roman;times" w:hAnsi="times new roman;times"/>
          <w:sz w:val="22"/>
        </w:rPr>
        <w:t>as of September 30, 2023</w:t>
      </w:r>
      <w:r>
        <w:rPr>
          <w:rFonts w:ascii="times new roman;times" w:hAnsi="times new roman;times"/>
          <w:sz w:val="20"/>
        </w:rPr>
        <w:t xml:space="preserve"> </w:t>
      </w:r>
      <w:r>
        <w:rPr>
          <w:rFonts w:ascii="times new roman;times" w:hAnsi="times new roman;times"/>
          <w:sz w:val="22"/>
        </w:rPr>
        <w:t>in our last quarterly report. With the receipt of this refund, ClearOne’s cash and marketable securities</w:t>
      </w:r>
      <w:r>
        <w:rPr>
          <w:rFonts w:ascii="times new roman;times" w:hAnsi="times new roman;times"/>
          <w:sz w:val="20"/>
        </w:rPr>
        <w:t xml:space="preserve"> </w:t>
      </w:r>
      <w:r>
        <w:rPr>
          <w:rFonts w:ascii="times new roman;times" w:hAnsi="times new roman;times"/>
          <w:sz w:val="22"/>
        </w:rPr>
        <w:t>balance</w:t>
      </w:r>
      <w:r>
        <w:rPr>
          <w:rFonts w:ascii="times new roman;times" w:hAnsi="times new roman;times"/>
          <w:sz w:val="20"/>
        </w:rPr>
        <w:t xml:space="preserve"> </w:t>
      </w:r>
      <w:r>
        <w:rPr>
          <w:rFonts w:ascii="times new roman;times" w:hAnsi="times new roman;times"/>
          <w:sz w:val="22"/>
        </w:rPr>
        <w:t>has increased to over $23.0</w:t>
      </w:r>
      <w:r>
        <w:rPr>
          <w:rFonts w:ascii="times new roman;times" w:hAnsi="times new roman;times"/>
          <w:sz w:val="20"/>
        </w:rPr>
        <w:t xml:space="preserve"> </w:t>
      </w:r>
      <w:r>
        <w:rPr>
          <w:rFonts w:ascii="times new roman;times" w:hAnsi="times new roman;times"/>
          <w:sz w:val="22"/>
        </w:rPr>
        <w:t>million.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2"/>
        </w:rPr>
        <w:t>Furthermore, the Company has recently finalized a</w:t>
      </w:r>
      <w:r>
        <w:rPr>
          <w:rFonts w:ascii="times new roman;times" w:hAnsi="times new roman;times"/>
          <w:sz w:val="20"/>
        </w:rPr>
        <w:t xml:space="preserve"> </w:t>
      </w:r>
      <w:r>
        <w:rPr>
          <w:rFonts w:ascii="times new roman;times" w:hAnsi="times new roman;times"/>
          <w:sz w:val="22"/>
        </w:rPr>
        <w:t>non-exclusive</w:t>
      </w:r>
      <w:r>
        <w:rPr>
          <w:rFonts w:ascii="times new roman;times" w:hAnsi="times new roman;times"/>
          <w:sz w:val="20"/>
        </w:rPr>
        <w:t xml:space="preserve"> </w:t>
      </w:r>
      <w:r>
        <w:rPr>
          <w:rFonts w:ascii="times new roman;times" w:hAnsi="times new roman;times"/>
          <w:sz w:val="22"/>
        </w:rPr>
        <w:t>patent cross-licensing agreement, as previously disclosed in the Company’s Current Report on Form</w:t>
      </w:r>
      <w:r>
        <w:rPr>
          <w:rFonts w:ascii="times new roman;times" w:hAnsi="times new roman;times"/>
          <w:sz w:val="20"/>
        </w:rPr>
        <w:t xml:space="preserve"> </w:t>
      </w:r>
      <w:r>
        <w:rPr>
          <w:rFonts w:ascii="times new roman;times" w:hAnsi="times new roman;times"/>
          <w:sz w:val="22"/>
        </w:rPr>
        <w:t>8-K filed with the SEC yesterday. ClearOne is expected to receive an additional $4.0 million</w:t>
      </w:r>
      <w:r>
        <w:rPr>
          <w:rFonts w:ascii="times new roman;times" w:hAnsi="times new roman;times"/>
          <w:sz w:val="20"/>
        </w:rPr>
        <w:t xml:space="preserve"> </w:t>
      </w:r>
      <w:r>
        <w:rPr>
          <w:rFonts w:ascii="times new roman;times" w:hAnsi="times new roman;times"/>
          <w:sz w:val="22"/>
        </w:rPr>
        <w:t>in cash from the agreement</w:t>
      </w:r>
      <w:r>
        <w:rPr>
          <w:rFonts w:ascii="times new roman;times" w:hAnsi="times new roman;times"/>
          <w:sz w:val="20"/>
        </w:rPr>
        <w:t xml:space="preserve"> </w:t>
      </w:r>
      <w:r>
        <w:rPr>
          <w:rFonts w:ascii="times new roman;times" w:hAnsi="times new roman;times"/>
          <w:sz w:val="22"/>
        </w:rPr>
        <w:t>in the first quarter of 2024.</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pPr>
      <w:r>
        <w:rPr/>
        <w:t>“</w:t>
      </w:r>
      <w:r>
        <w:rPr>
          <w:rFonts w:ascii="times new roman;times" w:hAnsi="times new roman;times"/>
          <w:sz w:val="22"/>
        </w:rPr>
        <w:t>With over $23 million in cash and no debt, and more cash to come, we are entering the new year well-positioned to execute on our growth objectives,</w:t>
      </w:r>
      <w:r>
        <w:rPr>
          <w:rFonts w:ascii="times new roman;times" w:hAnsi="times new roman;times"/>
          <w:sz w:val="20"/>
        </w:rPr>
        <w:t xml:space="preserve">” </w:t>
      </w:r>
      <w:r>
        <w:rPr>
          <w:rFonts w:ascii="times new roman;times" w:hAnsi="times new roman;times"/>
          <w:sz w:val="22"/>
        </w:rPr>
        <w:t>said Derek Graham, CEO of ClearOne.</w:t>
      </w:r>
      <w:r>
        <w:rPr>
          <w:rFonts w:ascii="times new roman;times" w:hAnsi="times new roman;times"/>
          <w:sz w:val="20"/>
        </w:rPr>
        <w:t xml:space="preserve"> “</w:t>
      </w:r>
      <w:r>
        <w:rPr>
          <w:rFonts w:ascii="times new roman;times" w:hAnsi="times new roman;times"/>
          <w:sz w:val="22"/>
        </w:rPr>
        <w:t>We believe that our robust balance sheet provides us a strong</w:t>
      </w:r>
      <w:r>
        <w:rPr>
          <w:rFonts w:ascii="times new roman;times" w:hAnsi="times new roman;times"/>
          <w:sz w:val="20"/>
        </w:rPr>
        <w:t xml:space="preserve"> </w:t>
      </w:r>
      <w:r>
        <w:rPr>
          <w:rFonts w:ascii="times new roman;times" w:hAnsi="times new roman;times"/>
          <w:sz w:val="22"/>
        </w:rPr>
        <w:t>financial</w:t>
      </w:r>
      <w:r>
        <w:rPr>
          <w:rFonts w:ascii="times new roman;times" w:hAnsi="times new roman;times"/>
          <w:sz w:val="20"/>
        </w:rPr>
        <w:t xml:space="preserve"> </w:t>
      </w:r>
      <w:r>
        <w:rPr>
          <w:rFonts w:ascii="times new roman;times" w:hAnsi="times new roman;times"/>
          <w:sz w:val="22"/>
        </w:rPr>
        <w:t>foundation as we work to capture additional market share,</w:t>
      </w:r>
      <w:r>
        <w:rPr>
          <w:rFonts w:ascii="times new roman;times" w:hAnsi="times new roman;times"/>
          <w:sz w:val="20"/>
        </w:rPr>
        <w:t xml:space="preserve"> </w:t>
      </w:r>
      <w:r>
        <w:rPr>
          <w:rFonts w:ascii="times new roman;times" w:hAnsi="times new roman;times"/>
          <w:sz w:val="22"/>
        </w:rPr>
        <w:t>finalize our manufacturing transition,</w:t>
      </w:r>
      <w:r>
        <w:rPr>
          <w:rFonts w:ascii="times new roman;times" w:hAnsi="times new roman;times"/>
          <w:sz w:val="20"/>
        </w:rPr>
        <w:t xml:space="preserve"> </w:t>
      </w:r>
      <w:r>
        <w:rPr>
          <w:rFonts w:ascii="times new roman;times" w:hAnsi="times new roman;times"/>
          <w:sz w:val="22"/>
        </w:rPr>
        <w:t>and continue new product rollouts in 2024.”</w:t>
      </w:r>
    </w:p>
    <w:p>
      <w:pPr>
        <w:pStyle w:val="TextBody"/>
        <w:widowControl w:val="false"/>
        <w:bidi w:val="0"/>
        <w:spacing w:before="0" w:after="0"/>
        <w:ind w:left="0" w:right="0" w:hanging="0"/>
        <w:jc w:val="both"/>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val="false"/>
        <w:bidi w:val="0"/>
        <w:spacing w:before="0" w:after="0"/>
        <w:ind w:left="0" w:right="0" w:hanging="0"/>
        <w:jc w:val="both"/>
        <w:rPr/>
      </w:pPr>
      <w:r>
        <w:rPr/>
        <w:t> </w:t>
      </w:r>
    </w:p>
    <w:p>
      <w:pPr>
        <w:pStyle w:val="TextBody"/>
        <w:bidi w:val="0"/>
        <w:spacing w:before="0" w:after="0"/>
        <w:ind w:left="0" w:right="0" w:hanging="0"/>
        <w:jc w:val="left"/>
        <w:rPr/>
      </w:pPr>
      <w:r>
        <w:rPr/>
        <w:drawing>
          <wp:inline distT="0" distB="0" distL="0" distR="0">
            <wp:extent cx="17240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447675"/>
                    </a:xfrm>
                    <a:prstGeom prst="rect">
                      <a:avLst/>
                    </a:prstGeom>
                  </pic:spPr>
                </pic:pic>
              </a:graphicData>
            </a:graphic>
          </wp:inline>
        </w:drawing>
      </w:r>
    </w:p>
    <w:p>
      <w:pPr>
        <w:pStyle w:val="TextBody"/>
        <w:widowControl w:val="false"/>
        <w:bidi w:val="0"/>
        <w:spacing w:before="0" w:after="0"/>
        <w:ind w:left="0" w:right="0" w:hanging="0"/>
        <w:jc w:val="both"/>
        <w:rPr/>
      </w:pPr>
      <w:r>
        <w:rPr/>
        <w:t> </w:t>
      </w:r>
    </w:p>
    <w:p>
      <w:pPr>
        <w:pStyle w:val="TextBody"/>
        <w:bidi w:val="0"/>
        <w:spacing w:before="0" w:after="120"/>
        <w:ind w:left="0" w:right="0" w:hanging="0"/>
        <w:jc w:val="both"/>
        <w:rPr>
          <w:rFonts w:ascii="times new roman;times" w:hAnsi="times new roman;times"/>
          <w:b/>
          <w:sz w:val="22"/>
        </w:rPr>
      </w:pPr>
      <w:r>
        <w:rPr>
          <w:rFonts w:ascii="times new roman;times" w:hAnsi="times new roman;times"/>
          <w:b/>
          <w:sz w:val="22"/>
        </w:rPr>
        <w:t>About ClearOne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2"/>
        </w:rPr>
        <w:t>ClearOne</w:t>
      </w:r>
      <w:r>
        <w:rPr>
          <w:rFonts w:ascii="times new roman;times" w:hAnsi="times new roman;times"/>
          <w:sz w:val="20"/>
        </w:rPr>
        <w:t> </w:t>
      </w:r>
      <w:r>
        <w:rPr>
          <w:rFonts w:ascii="times new roman;times" w:hAnsi="times new roman;times"/>
          <w:sz w:val="22"/>
        </w:rPr>
        <w:t>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w:t>
      </w:r>
      <w:r>
        <w:rPr>
          <w:rFonts w:ascii="times new roman;times" w:hAnsi="times new roman;times"/>
          <w:sz w:val="20"/>
        </w:rPr>
        <w:t> </w:t>
      </w:r>
      <w:r>
        <w:rPr>
          <w:rFonts w:ascii="times new roman;times" w:hAnsi="times new roman;times"/>
          <w:sz w:val="22"/>
        </w:rPr>
        <w:t>ClearOne</w:t>
      </w:r>
      <w:r>
        <w:rPr>
          <w:rFonts w:ascii="times new roman;times" w:hAnsi="times new roman;times"/>
          <w:sz w:val="20"/>
        </w:rPr>
        <w:t> </w:t>
      </w:r>
      <w:r>
        <w:rPr>
          <w:rFonts w:ascii="times new roman;times" w:hAnsi="times new roman;times"/>
          <w:sz w:val="22"/>
        </w:rPr>
        <w:t>at</w:t>
      </w:r>
      <w:r>
        <w:rPr>
          <w:rFonts w:ascii="times new roman;times" w:hAnsi="times new roman;times"/>
          <w:sz w:val="20"/>
        </w:rPr>
        <w:t> </w:t>
      </w:r>
      <w:r>
        <w:rPr>
          <w:rFonts w:ascii="times new roman;times" w:hAnsi="times new roman;times"/>
          <w:color w:val="0000FF"/>
          <w:sz w:val="22"/>
          <w:u w:val="single"/>
        </w:rPr>
        <w:t>www.clearone.com</w:t>
      </w:r>
      <w:r>
        <w:rPr>
          <w:rFonts w:ascii="times new roman;times" w:hAnsi="times new roman;times"/>
          <w:sz w:val="22"/>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b/>
          <w:sz w:val="22"/>
        </w:rPr>
      </w:pPr>
      <w:r>
        <w:rPr>
          <w:rFonts w:ascii="times new roman;times" w:hAnsi="times new roman;times"/>
          <w:b/>
          <w:sz w:val="22"/>
        </w:rPr>
        <w:t xml:space="preserve">Company Contact </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2"/>
        </w:rPr>
        <w:t>Narsi Narayanan</w:t>
      </w:r>
      <w:r>
        <w:rPr>
          <w:rFonts w:ascii="times new roman;times" w:hAnsi="times new roman;times"/>
          <w:sz w:val="20"/>
        </w:rPr>
        <w:br/>
      </w:r>
      <w:r>
        <w:rPr>
          <w:rFonts w:ascii="times new roman;times" w:hAnsi="times new roman;times"/>
          <w:sz w:val="22"/>
          <w:shd w:fill="FFFFFF" w:val="clear"/>
        </w:rPr>
        <w:t>385-426-0565</w:t>
      </w:r>
      <w:r>
        <w:rPr>
          <w:rFonts w:ascii="times new roman;times" w:hAnsi="times new roman;times"/>
          <w:sz w:val="20"/>
        </w:rPr>
        <w:br/>
      </w:r>
      <w:r>
        <w:rPr>
          <w:rFonts w:ascii="times new roman;times" w:hAnsi="times new roman;times"/>
          <w:color w:val="0000FF"/>
          <w:sz w:val="22"/>
          <w:u w:val="single"/>
        </w:rPr>
        <w:t>investor_relations@clearone.com</w:t>
      </w:r>
      <w:r>
        <w:rPr>
          <w:rFonts w:ascii="times new roman;times" w:hAnsi="times new roman;times"/>
          <w:sz w:val="20"/>
        </w:rPr>
        <w:br/>
      </w:r>
      <w:r>
        <w:rPr>
          <w:rFonts w:ascii="times new roman;times" w:hAnsi="times new roman;times"/>
          <w:color w:val="0000FF"/>
          <w:sz w:val="22"/>
          <w:u w:val="single"/>
        </w:rPr>
        <w:t>http://investors.clearone.com</w:t>
      </w:r>
    </w:p>
    <w:p>
      <w:pPr>
        <w:pStyle w:val="TextBody"/>
        <w:bidi w:val="0"/>
        <w:spacing w:before="0" w:after="0"/>
        <w:ind w:left="0" w:right="0" w:hanging="0"/>
        <w:jc w:val="left"/>
        <w:rPr/>
      </w:pPr>
      <w:r>
        <w:rPr/>
        <w:t> </w:t>
      </w:r>
    </w:p>
    <w:p>
      <w:pPr>
        <w:pStyle w:val="TextBody"/>
        <w:keepNext w:val="true"/>
        <w:bidi w:val="0"/>
        <w:spacing w:before="0" w:after="0"/>
        <w:ind w:left="0" w:right="0" w:hanging="0"/>
        <w:jc w:val="left"/>
        <w:rPr>
          <w:rFonts w:ascii="times new roman;times" w:hAnsi="times new roman;times"/>
          <w:b/>
          <w:sz w:val="22"/>
        </w:rPr>
      </w:pPr>
      <w:r>
        <w:rPr>
          <w:rFonts w:ascii="times new roman;times" w:hAnsi="times new roman;times"/>
          <w:b/>
          <w:sz w:val="22"/>
        </w:rPr>
        <w:t>Investor Relations Contact</w:t>
      </w:r>
    </w:p>
    <w:p>
      <w:pPr>
        <w:pStyle w:val="TextBody"/>
        <w:keepNext w:val="true"/>
        <w:bidi w:val="0"/>
        <w:spacing w:before="0" w:after="0"/>
        <w:ind w:left="0" w:right="0" w:hanging="0"/>
        <w:jc w:val="left"/>
        <w:rPr>
          <w:rFonts w:ascii="times new roman;times" w:hAnsi="times new roman;times"/>
          <w:sz w:val="20"/>
        </w:rPr>
      </w:pPr>
      <w:r>
        <w:rPr>
          <w:rFonts w:ascii="times new roman;times" w:hAnsi="times new roman;times"/>
          <w:sz w:val="22"/>
        </w:rPr>
        <w:t>Matt Glover</w:t>
      </w:r>
      <w:r>
        <w:rPr>
          <w:rFonts w:ascii="times new roman;times" w:hAnsi="times new roman;times"/>
          <w:sz w:val="20"/>
        </w:rPr>
        <w:t xml:space="preserve"> </w:t>
      </w:r>
      <w:r>
        <w:rPr>
          <w:rFonts w:ascii="times new roman;times" w:hAnsi="times new roman;times"/>
          <w:sz w:val="22"/>
        </w:rPr>
        <w:t xml:space="preserve">or Jackie Keshner </w:t>
      </w:r>
    </w:p>
    <w:p>
      <w:pPr>
        <w:pStyle w:val="TextBody"/>
        <w:bidi w:val="0"/>
        <w:spacing w:before="0" w:after="0"/>
        <w:ind w:left="0" w:right="0" w:hanging="0"/>
        <w:jc w:val="left"/>
        <w:rPr>
          <w:rFonts w:ascii="times new roman;times" w:hAnsi="times new roman;times"/>
          <w:sz w:val="22"/>
        </w:rPr>
      </w:pPr>
      <w:r>
        <w:rPr>
          <w:rFonts w:ascii="times new roman;times" w:hAnsi="times new roman;times"/>
          <w:sz w:val="22"/>
        </w:rPr>
        <w:t xml:space="preserve">Gateway Group, Inc. </w:t>
      </w:r>
    </w:p>
    <w:p>
      <w:pPr>
        <w:pStyle w:val="TextBody"/>
        <w:bidi w:val="0"/>
        <w:spacing w:before="0" w:after="0"/>
        <w:ind w:left="0" w:right="0" w:hanging="0"/>
        <w:jc w:val="left"/>
        <w:rPr>
          <w:rFonts w:ascii="times new roman;times" w:hAnsi="times new roman;times"/>
          <w:sz w:val="22"/>
        </w:rPr>
      </w:pPr>
      <w:r>
        <w:rPr>
          <w:rFonts w:ascii="times new roman;times" w:hAnsi="times new roman;times"/>
          <w:sz w:val="22"/>
        </w:rPr>
        <w:t xml:space="preserve">949-574-3860 </w:t>
      </w:r>
    </w:p>
    <w:p>
      <w:pPr>
        <w:pStyle w:val="TextBody"/>
        <w:bidi w:val="0"/>
        <w:spacing w:before="0" w:after="0"/>
        <w:ind w:left="0" w:right="0" w:hanging="0"/>
        <w:jc w:val="left"/>
        <w:rPr>
          <w:rFonts w:ascii="times new roman;times" w:hAnsi="times new roman;times"/>
          <w:color w:val="0000FF"/>
          <w:sz w:val="22"/>
          <w:u w:val="single"/>
        </w:rPr>
      </w:pPr>
      <w:r>
        <w:rPr>
          <w:rFonts w:ascii="times new roman;times" w:hAnsi="times new roman;times"/>
          <w:color w:val="0000FF"/>
          <w:sz w:val="22"/>
          <w:u w:val="single"/>
        </w:rPr>
        <w:t>CLRO@gateway-grp.com</w:t>
      </w:r>
    </w:p>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1135</Words>
  <Characters>6321</Characters>
  <CharactersWithSpaces>7505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