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144" w:right="144" w:hanging="0"/>
        <w:jc w:val="center"/>
        <w:rPr>
          <w:rFonts w:ascii="Times New Roman" w:hAnsi="Times New Roman"/>
          <w:b/>
          <w:sz w:val="24"/>
        </w:rPr>
      </w:pPr>
      <w:bookmarkStart w:id="0" w:name="clro-20260331.htm"/>
      <w:bookmarkStart w:id="1" w:name="ksclro20260331"/>
      <w:bookmarkEnd w:id="0"/>
      <w:bookmarkEnd w:id="1"/>
      <w:r>
        <w:rPr>
          <w:rFonts w:ascii="Times New Roman" w:hAnsi="Times New Roman"/>
          <w:b/>
          <w:sz w:val="24"/>
        </w:rPr>
        <w:t>UNITED STATES SECURITIES AND EXCHANGE COMMISSION</w:t>
      </w:r>
    </w:p>
    <w:p>
      <w:pPr>
        <w:pStyle w:val="TextBody"/>
        <w:bidi w:val="0"/>
        <w:spacing w:lineRule="auto" w:line="288" w:before="0" w:after="0"/>
        <w:ind w:left="438" w:right="438"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438" w:right="438" w:hanging="0"/>
        <w:jc w:val="center"/>
        <w:rPr/>
      </w:pPr>
      <w:r>
        <w:rPr/>
        <w:t> </w:t>
      </w:r>
    </w:p>
    <w:p>
      <w:pPr>
        <w:pStyle w:val="TextBody"/>
        <w:bidi w:val="0"/>
        <w:spacing w:lineRule="auto" w:line="288" w:before="0" w:after="0"/>
        <w:ind w:left="438" w:right="438" w:hanging="0"/>
        <w:jc w:val="center"/>
        <w:rPr>
          <w:rFonts w:ascii="Times New Roman" w:hAnsi="Times New Roman"/>
          <w:b/>
          <w:sz w:val="36"/>
        </w:rPr>
      </w:pPr>
      <w:r>
        <w:rPr>
          <w:rFonts w:ascii="Times New Roman" w:hAnsi="Times New Roman"/>
          <w:b/>
          <w:sz w:val="36"/>
        </w:rPr>
        <w:t>Form 10-Q</w:t>
      </w:r>
    </w:p>
    <w:p>
      <w:pPr>
        <w:pStyle w:val="TextBody"/>
        <w:bidi w:val="0"/>
        <w:spacing w:lineRule="auto" w:line="288" w:before="0" w:after="0"/>
        <w:ind w:left="438" w:right="438" w:hanging="0"/>
        <w:jc w:val="center"/>
        <w:rPr/>
      </w:pPr>
      <w:r>
        <w:rPr/>
        <w:t> </w:t>
      </w:r>
    </w:p>
    <w:p>
      <w:pPr>
        <w:pStyle w:val="TextBody"/>
        <w:bidi w:val="0"/>
        <w:spacing w:lineRule="auto" w:line="288" w:before="0" w:after="0"/>
        <w:ind w:left="504" w:right="144" w:hanging="0"/>
        <w:jc w:val="both"/>
        <w:rPr>
          <w:rFonts w:ascii="Times New Roman" w:hAnsi="Times New Roman"/>
          <w:sz w:val="20"/>
        </w:rPr>
      </w:pPr>
      <w:r>
        <w:rPr>
          <w:rFonts w:ascii="Times New Roman" w:hAnsi="Times New Roman"/>
          <w:sz w:val="20"/>
        </w:rPr>
        <w:t>(Mark One)</w:t>
      </w:r>
    </w:p>
    <w:p>
      <w:pPr>
        <w:pStyle w:val="TextBody"/>
        <w:bidi w:val="0"/>
        <w:spacing w:lineRule="auto" w:line="288" w:before="0" w:after="0"/>
        <w:ind w:left="50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rFonts w:ascii="Times New Roman" w:hAnsi="Times New Roman"/>
                <w:sz w:val="20"/>
              </w:rPr>
              <w:t xml:space="preserve">For the quarterly period ended </w:t>
            </w:r>
            <w:r>
              <w:rPr>
                <w:rFonts w:ascii="Times New Roman" w:hAnsi="Times New Roman"/>
                <w:sz w:val="20"/>
                <w:u w:val="single"/>
              </w:rPr>
              <w:t>March 31, 2026</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For the transition period _______ to _______</w:t>
            </w:r>
          </w:p>
        </w:tc>
      </w:tr>
    </w:tbl>
    <w:p>
      <w:pPr>
        <w:pStyle w:val="TextBody"/>
        <w:bidi w:val="0"/>
        <w:spacing w:lineRule="auto" w:line="288" w:before="0" w:after="0"/>
        <w:ind w:left="438" w:right="438" w:firstLine="55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Commission file number:</w:t>
      </w:r>
      <w:r>
        <w:rPr>
          <w:rFonts w:ascii="Times New Roman" w:hAnsi="Times New Roman"/>
          <w:b/>
          <w:sz w:val="20"/>
          <w:u w:val="single"/>
        </w:rPr>
        <w:t>001-33660</w:t>
      </w:r>
    </w:p>
    <w:p>
      <w:pPr>
        <w:pStyle w:val="TextBody"/>
        <w:bidi w:val="0"/>
        <w:spacing w:lineRule="auto" w:line="288" w:before="0" w:after="0"/>
        <w:ind w:left="144" w:right="144"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8079"/>
        <w:gridCol w:w="60"/>
        <w:gridCol w:w="2066"/>
      </w:tblGrid>
      <w:tr>
        <w:trPr/>
        <w:tc>
          <w:tcPr>
            <w:tcW w:w="807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Nevada</w:t>
            </w:r>
          </w:p>
        </w:tc>
        <w:tc>
          <w:tcPr>
            <w:tcW w:w="60" w:type="dxa"/>
            <w:tcBorders/>
            <w:vAlign w:val="center"/>
          </w:tcPr>
          <w:p>
            <w:pPr>
              <w:pStyle w:val="TableContents"/>
              <w:bidi w:val="0"/>
              <w:spacing w:before="0" w:after="0"/>
              <w:ind w:left="0" w:right="0" w:hanging="0"/>
              <w:jc w:val="center"/>
              <w:rPr/>
            </w:pPr>
            <w:r>
              <w:rPr/>
              <w:t> </w:t>
            </w:r>
          </w:p>
        </w:tc>
        <w:tc>
          <w:tcPr>
            <w:tcW w:w="206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87-0398877</w:t>
            </w:r>
          </w:p>
        </w:tc>
      </w:tr>
      <w:tr>
        <w:trPr/>
        <w:tc>
          <w:tcPr>
            <w:tcW w:w="8079" w:type="dxa"/>
            <w:tcBorders/>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w:t>
            </w:r>
            <w:r>
              <w:rPr>
                <w:rFonts w:ascii="times new roman;times" w:hAnsi="times new roman;times"/>
                <w:color w:val="000000"/>
                <w:sz w:val="20"/>
              </w:rPr>
              <w:t>State or other jurisdiction of incorporation; reincorporated from Delaware effective on or about April 22, 2026 pursuant to the Plan of Conversion approved by stockholders on March 12, 2026 – see Note 1</w:t>
            </w:r>
            <w:r>
              <w:rPr>
                <w:rFonts w:ascii="Times New Roman" w:hAnsi="Times New Roman"/>
                <w:sz w:val="20"/>
              </w:rPr>
              <w:t>)</w:t>
            </w:r>
          </w:p>
        </w:tc>
        <w:tc>
          <w:tcPr>
            <w:tcW w:w="60" w:type="dxa"/>
            <w:tcBorders/>
            <w:vAlign w:val="center"/>
          </w:tcPr>
          <w:p>
            <w:pPr>
              <w:pStyle w:val="TableContents"/>
              <w:bidi w:val="0"/>
              <w:spacing w:before="0" w:after="0"/>
              <w:ind w:left="0" w:right="0" w:hanging="0"/>
              <w:jc w:val="center"/>
              <w:rPr/>
            </w:pPr>
            <w:r>
              <w:rPr/>
              <w:t> </w:t>
            </w:r>
          </w:p>
        </w:tc>
        <w:tc>
          <w:tcPr>
            <w:tcW w:w="206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8079"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2066" w:type="dxa"/>
            <w:tcBorders/>
            <w:vAlign w:val="center"/>
          </w:tcPr>
          <w:p>
            <w:pPr>
              <w:pStyle w:val="TableContents"/>
              <w:bidi w:val="0"/>
              <w:spacing w:before="0" w:after="0"/>
              <w:ind w:left="0" w:right="0" w:hanging="0"/>
              <w:jc w:val="center"/>
              <w:rPr/>
            </w:pPr>
            <w:r>
              <w:rPr/>
              <w:t> </w:t>
            </w:r>
          </w:p>
        </w:tc>
      </w:tr>
      <w:tr>
        <w:trPr/>
        <w:tc>
          <w:tcPr>
            <w:tcW w:w="807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7533 S CENTER VIEW CT #5311, WEST JORDAN, UT</w:t>
            </w:r>
          </w:p>
        </w:tc>
        <w:tc>
          <w:tcPr>
            <w:tcW w:w="60" w:type="dxa"/>
            <w:tcBorders/>
            <w:vAlign w:val="center"/>
          </w:tcPr>
          <w:p>
            <w:pPr>
              <w:pStyle w:val="TableContents"/>
              <w:bidi w:val="0"/>
              <w:spacing w:before="0" w:after="0"/>
              <w:ind w:left="0" w:right="0" w:hanging="0"/>
              <w:jc w:val="center"/>
              <w:rPr/>
            </w:pPr>
            <w:r>
              <w:rPr/>
              <w:t> </w:t>
            </w:r>
          </w:p>
        </w:tc>
        <w:tc>
          <w:tcPr>
            <w:tcW w:w="206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07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0"/>
              <w:ind w:left="0" w:right="0" w:hanging="0"/>
              <w:jc w:val="center"/>
              <w:rPr/>
            </w:pPr>
            <w:r>
              <w:rPr/>
              <w:t> </w:t>
            </w:r>
          </w:p>
        </w:tc>
        <w:tc>
          <w:tcPr>
            <w:tcW w:w="206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88" w:before="0" w:after="0"/>
        <w:ind w:left="0" w:right="0" w:hanging="0"/>
        <w:jc w:val="center"/>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12(b) of the Act:</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2623"/>
        <w:gridCol w:w="161"/>
        <w:gridCol w:w="2180"/>
        <w:gridCol w:w="161"/>
        <w:gridCol w:w="5080"/>
      </w:tblGrid>
      <w:tr>
        <w:trPr/>
        <w:tc>
          <w:tcPr>
            <w:tcW w:w="2623"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pPr>
            <w:r>
              <w:rPr>
                <w:rFonts w:ascii="Times New Roman" w:hAnsi="Times New Roman"/>
                <w:b/>
                <w:sz w:val="20"/>
              </w:rPr>
              <w:t>Trading</w:t>
            </w:r>
            <w:r>
              <w:rPr/>
              <w:t> </w:t>
            </w:r>
            <w:r>
              <w:rPr>
                <w:rFonts w:ascii="Times New Roman" w:hAnsi="Times New Roman"/>
                <w:b/>
                <w:sz w:val="20"/>
              </w:rPr>
              <w:t>Symbol(s)</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pPr>
            <w:r>
              <w:rPr>
                <w:rFonts w:ascii="Times New Roman" w:hAnsi="Times New Roman"/>
                <w:b/>
                <w:sz w:val="20"/>
              </w:rPr>
              <w:t>Name</w:t>
            </w:r>
            <w:r>
              <w:rPr/>
              <w:t> </w:t>
            </w:r>
            <w:r>
              <w:rPr>
                <w:rFonts w:ascii="Times New Roman" w:hAnsi="Times New Roman"/>
                <w:b/>
                <w:sz w:val="20"/>
              </w:rPr>
              <w:t>of</w:t>
            </w:r>
            <w:r>
              <w:rPr/>
              <w:t> </w:t>
            </w:r>
            <w:r>
              <w:rPr>
                <w:rFonts w:ascii="Times New Roman" w:hAnsi="Times New Roman"/>
                <w:b/>
                <w:sz w:val="20"/>
              </w:rPr>
              <w:t>each</w:t>
            </w:r>
            <w:r>
              <w:rPr/>
              <w:t> </w:t>
            </w:r>
            <w:r>
              <w:rPr>
                <w:rFonts w:ascii="Times New Roman" w:hAnsi="Times New Roman"/>
                <w:b/>
                <w:sz w:val="20"/>
              </w:rPr>
              <w:t>exchange on</w:t>
            </w:r>
            <w:r>
              <w:rPr/>
              <w:t> </w:t>
            </w:r>
            <w:r>
              <w:rPr>
                <w:rFonts w:ascii="Times New Roman" w:hAnsi="Times New Roman"/>
                <w:b/>
                <w:sz w:val="20"/>
              </w:rPr>
              <w:t>which</w:t>
            </w:r>
            <w:r>
              <w:rPr/>
              <w:t> </w:t>
            </w:r>
            <w:r>
              <w:rPr>
                <w:rFonts w:ascii="Times New Roman" w:hAnsi="Times New Roman"/>
                <w:b/>
                <w:sz w:val="20"/>
              </w:rPr>
              <w:t>registered</w:t>
            </w:r>
          </w:p>
        </w:tc>
      </w:tr>
      <w:tr>
        <w:trPr/>
        <w:tc>
          <w:tcPr>
            <w:tcW w:w="262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 w:hAnsi="times new roman;times"/>
          <w:sz w:val="20"/>
        </w:rPr>
        <w:t xml:space="preserve"> ☒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723"/>
        <w:gridCol w:w="5482"/>
      </w:tblGrid>
      <w:tr>
        <w:trPr/>
        <w:tc>
          <w:tcPr>
            <w:tcW w:w="4723" w:type="dxa"/>
            <w:tcBorders/>
            <w:vAlign w:val="bottom"/>
          </w:tcPr>
          <w:p>
            <w:pPr>
              <w:pStyle w:val="TableContents"/>
              <w:bidi w:val="0"/>
              <w:spacing w:lineRule="auto" w:line="288" w:before="0" w:after="0"/>
              <w:ind w:left="0" w:right="0" w:hanging="0"/>
              <w:jc w:val="both"/>
              <w:rPr/>
            </w:pPr>
            <w:r>
              <w:rPr>
                <w:rFonts w:ascii="Times New Roman" w:hAnsi="Times New Roman"/>
                <w:sz w:val="20"/>
              </w:rPr>
              <w:t xml:space="preserve">Larger Accelerated Filer </w:t>
            </w:r>
            <w:r>
              <w:rPr/>
              <w:t>☐</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 xml:space="preserve">Accelerated Filer </w:t>
            </w:r>
            <w:r>
              <w:rPr/>
              <w:t>☐ </w:t>
            </w:r>
          </w:p>
        </w:tc>
      </w:tr>
      <w:tr>
        <w:trPr/>
        <w:tc>
          <w:tcPr>
            <w:tcW w:w="4723" w:type="dxa"/>
            <w:tcBorders/>
            <w:vAlign w:val="bottom"/>
          </w:tcPr>
          <w:p>
            <w:pPr>
              <w:pStyle w:val="TableContents"/>
              <w:bidi w:val="0"/>
              <w:spacing w:before="0" w:after="0"/>
              <w:ind w:left="0" w:right="0" w:hanging="0"/>
              <w:jc w:val="both"/>
              <w:rPr>
                <w:rFonts w:ascii="MS Mincho" w:hAnsi="MS Mincho"/>
              </w:rPr>
            </w:pPr>
            <w:r>
              <w:rPr>
                <w:rFonts w:ascii="Times New Roman" w:hAnsi="Times New Roman"/>
                <w:sz w:val="20"/>
              </w:rPr>
              <w:t xml:space="preserve">Non-Accelerated Filer </w:t>
            </w:r>
            <w:r>
              <w:rPr>
                <w:rFonts w:ascii="MS Mincho" w:hAnsi="MS Mincho"/>
              </w:rPr>
              <w:t>☒</w:t>
            </w:r>
          </w:p>
        </w:tc>
        <w:tc>
          <w:tcPr>
            <w:tcW w:w="5482"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r>
      <w:tr>
        <w:trPr/>
        <w:tc>
          <w:tcPr>
            <w:tcW w:w="4723" w:type="dxa"/>
            <w:tcBorders/>
            <w:vAlign w:val="bottom"/>
          </w:tcPr>
          <w:p>
            <w:pPr>
              <w:pStyle w:val="TableContents"/>
              <w:bidi w:val="0"/>
              <w:spacing w:before="0" w:after="0"/>
              <w:ind w:left="0" w:right="0" w:hanging="0"/>
              <w:jc w:val="left"/>
              <w:rPr/>
            </w:pPr>
            <w:r>
              <w:rPr/>
              <w:t> </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Emerging Growth Company ☐</w:t>
            </w:r>
            <w:r>
              <w:rPr/>
              <w:t>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Exchange Act). </w:t>
      </w:r>
      <w:r>
        <w:rPr>
          <w:rFonts w:ascii="times new roman;times" w:hAnsi="times new roman;times"/>
          <w:sz w:val="20"/>
        </w:rPr>
        <w:t xml:space="preserve">☐ </w:t>
      </w:r>
      <w:r>
        <w:rPr>
          <w:rFonts w:ascii="Times New Roman" w:hAnsi="Times New Roman"/>
          <w:sz w:val="20"/>
        </w:rPr>
        <w:t xml:space="preserve">Yes </w:t>
      </w:r>
      <w:r>
        <w:rPr>
          <w:rFonts w:ascii="times new roman;times" w:hAnsi="times new roman;times"/>
          <w:sz w:val="20"/>
        </w:rPr>
        <w:t>☒</w:t>
      </w:r>
      <w:r>
        <w:rPr>
          <w:rFonts w:ascii="times new roman;times" w:hAnsi="times new roman;times"/>
          <w:sz w:val="20"/>
        </w:rPr>
        <w:t xml:space="preserve">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number of shares of ClearOne, Inc. common stock outstanding as of </w:t>
      </w:r>
      <w:bookmarkStart w:id="2" w:name="fs_K50ATAP8PC00000000000000000000FM"/>
      <w:bookmarkEnd w:id="2"/>
      <w:r>
        <w:rPr>
          <w:rFonts w:ascii="Times New Roman" w:hAnsi="Times New Roman"/>
          <w:sz w:val="20"/>
        </w:rPr>
        <w:t xml:space="preserve">May 15, 2026 was </w:t>
      </w:r>
      <w:r>
        <w:rPr>
          <w:rFonts w:ascii="Times New Roman" w:hAnsi="Times New Roman"/>
          <w:sz w:val="20"/>
        </w:rPr>
        <w:t>2,675,412</w:t>
      </w:r>
      <w:r>
        <w:rPr>
          <w:rFonts w:ascii="Times New Roman" w:hAnsi="Times New Roman"/>
          <w:sz w:val="20"/>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3" w:name="PageBreakNo1"/>
            <w:bookmarkEnd w:id="3"/>
            <w:r>
              <w:rPr>
                <w:sz w:val="20"/>
              </w:rPr>
              <w:t>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QUARTERLY REPORT ON FORM 10-Q FOR THE QUARTER ENDED</w:t>
      </w:r>
      <w:r>
        <w:rPr>
          <w:rFonts w:ascii="Times New Roman" w:hAnsi="Times New Roman"/>
          <w:b/>
          <w:i w:val="false"/>
          <w:caps w:val="false"/>
          <w:smallCaps w:val="false"/>
          <w:color w:val="000000"/>
          <w:spacing w:val="0"/>
          <w:sz w:val="20"/>
        </w:rPr>
        <w:t> </w:t>
      </w:r>
      <w:bookmarkStart w:id="4" w:name="fs_MSJDBGBTDC00000000000000000000FM"/>
      <w:bookmarkEnd w:id="4"/>
      <w:r>
        <w:rPr>
          <w:rFonts w:ascii="Times New Roman" w:hAnsi="Times New Roman"/>
          <w:b/>
          <w:i w:val="false"/>
          <w:caps w:val="false"/>
          <w:smallCaps w:val="false"/>
          <w:color w:val="000000"/>
          <w:spacing w:val="0"/>
          <w:sz w:val="20"/>
        </w:rPr>
        <w:t>MARCH 31, 2026</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INDEX</w:t>
      </w:r>
      <w:r>
        <w:rPr>
          <w:rFonts w:ascii="times new roman;times" w:hAnsi="times new roman;times"/>
          <w:sz w:val="20"/>
        </w:rPr>
        <w:t>​</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638"/>
        <w:gridCol w:w="9306"/>
        <w:gridCol w:w="261"/>
      </w:tblGrid>
      <w:tr>
        <w:trPr/>
        <w:tc>
          <w:tcPr>
            <w:tcW w:w="638" w:type="dxa"/>
            <w:tcBorders/>
            <w:vAlign w:val="center"/>
          </w:tcPr>
          <w:p>
            <w:pPr>
              <w:pStyle w:val="TableContents"/>
              <w:bidi w:val="0"/>
              <w:spacing w:before="0" w:after="283"/>
              <w:jc w:val="left"/>
              <w:rPr>
                <w:sz w:val="4"/>
                <w:szCs w:val="4"/>
              </w:rPr>
            </w:pPr>
            <w:r>
              <w:rPr>
                <w:sz w:val="4"/>
                <w:szCs w:val="4"/>
              </w:rPr>
            </w:r>
          </w:p>
        </w:tc>
        <w:tc>
          <w:tcPr>
            <w:tcW w:w="9306" w:type="dxa"/>
            <w:tcBorders/>
            <w:vAlign w:val="center"/>
          </w:tcPr>
          <w:p>
            <w:pPr>
              <w:pStyle w:val="TableContents"/>
              <w:bidi w:val="0"/>
              <w:spacing w:before="0" w:after="0"/>
              <w:ind w:left="0" w:right="0" w:hanging="0"/>
              <w:jc w:val="center"/>
              <w:rPr/>
            </w:pPr>
            <w:r>
              <w:rPr/>
            </w:r>
          </w:p>
        </w:tc>
        <w:tc>
          <w:tcPr>
            <w:tcW w:w="261" w:type="dxa"/>
            <w:tcBorders/>
            <w:vAlign w:val="center"/>
          </w:tcPr>
          <w:p>
            <w:pPr>
              <w:pStyle w:val="TableContents"/>
              <w:bidi w:val="0"/>
              <w:spacing w:before="0" w:after="0"/>
              <w:ind w:left="0" w:right="0" w:hanging="0"/>
              <w:jc w:val="center"/>
              <w:rPr/>
            </w:pPr>
            <w:r>
              <w:rPr/>
            </w:r>
          </w:p>
        </w:tc>
      </w:tr>
      <w:tr>
        <w:trPr/>
        <w:tc>
          <w:tcPr>
            <w:tcW w:w="638" w:type="dxa"/>
            <w:tcBorders/>
            <w:shd w:fill="CCEEFF" w:val="clear"/>
            <w:vAlign w:val="center"/>
          </w:tcPr>
          <w:p>
            <w:pPr>
              <w:pStyle w:val="TableContents"/>
              <w:bidi w:val="0"/>
              <w:spacing w:before="0" w:after="283"/>
              <w:jc w:val="left"/>
              <w:rPr/>
            </w:pPr>
            <w:r>
              <w:rPr/>
            </w:r>
            <w:bookmarkStart w:id="7" w:name="BM_BA_ITXHYI3BG000000000000000000000"/>
            <w:bookmarkStart w:id="8" w:name="BM_BA_ITXHYI3BG000000000000000000000"/>
            <w:bookmarkEnd w:id="8"/>
          </w:p>
        </w:tc>
        <w:tc>
          <w:tcPr>
            <w:tcW w:w="9306" w:type="dxa"/>
            <w:tcBorders/>
            <w:shd w:fill="CCEEFF" w:val="clear"/>
            <w:vAlign w:val="center"/>
          </w:tcPr>
          <w:p>
            <w:pPr>
              <w:pStyle w:val="TableContents"/>
              <w:bidi w:val="0"/>
              <w:spacing w:before="0" w:after="283"/>
              <w:jc w:val="left"/>
              <w:rPr/>
            </w:pPr>
            <w:hyperlink w:anchor="BA_ITXHYI3BG000000000000000000000">
              <w:r>
                <w:rPr>
                  <w:rStyle w:val="InternetLink"/>
                  <w:b/>
                  <w:color w:val="0000FF"/>
                  <w:sz w:val="20"/>
                </w:rPr>
                <w:t>PART I - FINANCIAL INFORMATION</w:t>
              </w:r>
            </w:hyperlink>
          </w:p>
        </w:tc>
        <w:tc>
          <w:tcPr>
            <w:tcW w:w="261" w:type="dxa"/>
            <w:tcBorders/>
            <w:shd w:fill="CCEEFF" w:val="clear"/>
            <w:vAlign w:val="center"/>
          </w:tcPr>
          <w:p>
            <w:pPr>
              <w:pStyle w:val="TableContents"/>
              <w:bidi w:val="0"/>
              <w:spacing w:before="0" w:after="283"/>
              <w:jc w:val="left"/>
              <w:rPr/>
            </w:pPr>
            <w:r>
              <w:rPr/>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sz w:val="20"/>
              </w:rPr>
            </w:pPr>
            <w:r>
              <w:rPr>
                <w:sz w:val="20"/>
              </w:rPr>
              <w:t>Item 1.</w:t>
            </w:r>
            <w:bookmarkStart w:id="9" w:name="BM_BB_DACLJMO6HS00000000000000000000"/>
            <w:bookmarkEnd w:id="9"/>
          </w:p>
        </w:tc>
        <w:tc>
          <w:tcPr>
            <w:tcW w:w="9306" w:type="dxa"/>
            <w:tcBorders/>
            <w:shd w:fill="CCEEFF" w:val="clear"/>
            <w:vAlign w:val="center"/>
          </w:tcPr>
          <w:p>
            <w:pPr>
              <w:pStyle w:val="TableContents"/>
              <w:bidi w:val="0"/>
              <w:spacing w:before="0" w:after="283"/>
              <w:jc w:val="left"/>
              <w:rPr/>
            </w:pPr>
            <w:hyperlink w:anchor="BB_DACLJMO6HS00000000000000000000">
              <w:r>
                <w:rPr>
                  <w:rStyle w:val="InternetLink"/>
                  <w:color w:val="0000FF"/>
                  <w:sz w:val="20"/>
                </w:rPr>
                <w:t>Financial Statements</w:t>
              </w:r>
            </w:hyperlink>
            <w:bookmarkStart w:id="10" w:name="BMP_BB_DACLJMO6HS00000000000000000000"/>
            <w:bookmarkEnd w:id="10"/>
          </w:p>
        </w:tc>
        <w:tc>
          <w:tcPr>
            <w:tcW w:w="261" w:type="dxa"/>
            <w:tcBorders/>
            <w:shd w:fill="CCEEFF" w:val="clear"/>
            <w:vAlign w:val="center"/>
          </w:tcPr>
          <w:p>
            <w:pPr>
              <w:pStyle w:val="TableContents"/>
              <w:bidi w:val="0"/>
              <w:spacing w:before="0" w:after="283"/>
              <w:jc w:val="center"/>
              <w:rPr/>
            </w:pPr>
            <w:r>
              <w:rPr/>
              <w:t>3</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11" w:name="BM_BC_67A6VPX3U800000000000000000000"/>
            <w:bookmarkStart w:id="12" w:name="BM_BC_67A6VPX3U800000000000000000000"/>
            <w:bookmarkEnd w:id="12"/>
          </w:p>
        </w:tc>
        <w:tc>
          <w:tcPr>
            <w:tcW w:w="9306" w:type="dxa"/>
            <w:tcBorders/>
            <w:shd w:fill="CCEEFF" w:val="clear"/>
            <w:vAlign w:val="center"/>
          </w:tcPr>
          <w:p>
            <w:pPr>
              <w:pStyle w:val="TableContents"/>
              <w:bidi w:val="0"/>
              <w:spacing w:before="0" w:after="283"/>
              <w:jc w:val="left"/>
              <w:rPr/>
            </w:pPr>
            <w:hyperlink w:anchor="BC_67A6VPX3U800000000000000000000">
              <w:r>
                <w:rPr>
                  <w:rStyle w:val="InternetLink"/>
                  <w:color w:val="0000FF"/>
                  <w:sz w:val="20"/>
                </w:rPr>
                <w:t xml:space="preserve">Unaudited Condensed Consolidated Balance Sheets as of </w:t>
              </w:r>
            </w:hyperlink>
            <w:hyperlink w:anchor="BC_67A6VPX3U800000000000000000000">
              <w:bookmarkStart w:id="13" w:name="fs_OFDEGAQOUO00000000000000000000FM"/>
              <w:bookmarkEnd w:id="13"/>
              <w:r>
                <w:rPr>
                  <w:rStyle w:val="InternetLink"/>
                  <w:color w:val="0000FF"/>
                  <w:sz w:val="20"/>
                </w:rPr>
                <w:t xml:space="preserve">March 31, 2026 and </w:t>
              </w:r>
            </w:hyperlink>
            <w:hyperlink w:anchor="BC_67A6VPX3U800000000000000000000">
              <w:bookmarkStart w:id="14" w:name="fs_DDML08DINK00000000000000000000FM"/>
              <w:bookmarkEnd w:id="14"/>
              <w:r>
                <w:rPr>
                  <w:rStyle w:val="InternetLink"/>
                  <w:color w:val="0000FF"/>
                  <w:sz w:val="20"/>
                </w:rPr>
                <w:t>December 31, 2025</w:t>
              </w:r>
            </w:hyperlink>
            <w:bookmarkStart w:id="15" w:name="BMP_BC_67A6VPX3U800000000000000000000"/>
            <w:bookmarkEnd w:id="15"/>
          </w:p>
        </w:tc>
        <w:tc>
          <w:tcPr>
            <w:tcW w:w="261" w:type="dxa"/>
            <w:tcBorders/>
            <w:shd w:fill="CCEEFF" w:val="clear"/>
            <w:vAlign w:val="center"/>
          </w:tcPr>
          <w:p>
            <w:pPr>
              <w:pStyle w:val="TableContents"/>
              <w:bidi w:val="0"/>
              <w:spacing w:before="0" w:after="283"/>
              <w:jc w:val="center"/>
              <w:rPr/>
            </w:pPr>
            <w:r>
              <w:rPr/>
              <w:t>3</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16" w:name="BM_BD_G3RUEUCU2O00000000000000000000"/>
            <w:bookmarkStart w:id="17" w:name="BM_BD_G3RUEUCU2O00000000000000000000"/>
            <w:bookmarkEnd w:id="17"/>
          </w:p>
        </w:tc>
        <w:tc>
          <w:tcPr>
            <w:tcW w:w="9306" w:type="dxa"/>
            <w:tcBorders/>
            <w:shd w:fill="CCEEFF" w:val="clear"/>
            <w:vAlign w:val="center"/>
          </w:tcPr>
          <w:p>
            <w:pPr>
              <w:pStyle w:val="TableContents"/>
              <w:bidi w:val="0"/>
              <w:spacing w:before="0" w:after="283"/>
              <w:jc w:val="left"/>
              <w:rPr/>
            </w:pPr>
            <w:hyperlink w:anchor="BD_G3RUEUCU2O00000000000000000000">
              <w:r>
                <w:rPr>
                  <w:rStyle w:val="InternetLink"/>
                  <w:color w:val="0000FF"/>
                  <w:sz w:val="20"/>
                </w:rPr>
                <w:t xml:space="preserve">Unaudited Condensed Consolidated Statements of Operations and Comprehensive Loss for the </w:t>
              </w:r>
            </w:hyperlink>
            <w:hyperlink w:anchor="BD_G3RUEUCU2O00000000000000000000">
              <w:bookmarkStart w:id="18" w:name="fs_XV37K182UO00000000000000000000FM"/>
              <w:bookmarkEnd w:id="18"/>
              <w:r>
                <w:rPr>
                  <w:rStyle w:val="InternetLink"/>
                  <w:color w:val="0000FF"/>
                  <w:sz w:val="20"/>
                </w:rPr>
                <w:t xml:space="preserve">three months ended </w:t>
              </w:r>
            </w:hyperlink>
            <w:hyperlink w:anchor="BD_G3RUEUCU2O00000000000000000000">
              <w:bookmarkStart w:id="19" w:name="fs_VNIVK7G1HS00000000000000000000FM"/>
              <w:bookmarkEnd w:id="19"/>
              <w:r>
                <w:rPr>
                  <w:rStyle w:val="InternetLink"/>
                  <w:color w:val="0000FF"/>
                  <w:sz w:val="20"/>
                </w:rPr>
                <w:t>March 31, 2026</w:t>
              </w:r>
            </w:hyperlink>
            <w:hyperlink w:anchor="BD_G3RUEUCU2O00000000000000000000">
              <w:r>
                <w:rPr>
                  <w:rStyle w:val="InternetLink"/>
                  <w:color w:val="0000FF"/>
                  <w:sz w:val="20"/>
                </w:rPr>
                <w:t xml:space="preserve"> and </w:t>
              </w:r>
            </w:hyperlink>
            <w:hyperlink w:anchor="BD_G3RUEUCU2O00000000000000000000">
              <w:bookmarkStart w:id="20" w:name="fs_LYGM04YSUO00000000000000000000FM"/>
              <w:bookmarkEnd w:id="20"/>
              <w:r>
                <w:rPr>
                  <w:rStyle w:val="InternetLink"/>
                  <w:color w:val="0000FF"/>
                  <w:sz w:val="20"/>
                </w:rPr>
                <w:t>2025</w:t>
              </w:r>
            </w:hyperlink>
            <w:bookmarkStart w:id="21" w:name="BMP_BD_G3RUEUCU2O00000000000000000000"/>
            <w:bookmarkEnd w:id="21"/>
          </w:p>
        </w:tc>
        <w:tc>
          <w:tcPr>
            <w:tcW w:w="261" w:type="dxa"/>
            <w:tcBorders/>
            <w:shd w:fill="CCEEFF" w:val="clear"/>
            <w:vAlign w:val="center"/>
          </w:tcPr>
          <w:p>
            <w:pPr>
              <w:pStyle w:val="TableContents"/>
              <w:bidi w:val="0"/>
              <w:spacing w:before="0" w:after="283"/>
              <w:jc w:val="center"/>
              <w:rPr/>
            </w:pPr>
            <w:r>
              <w:rPr/>
              <w:t>4</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22" w:name="BM_BE_OCDKM4QLA800000000000000000000"/>
            <w:bookmarkStart w:id="23" w:name="BM_BE_OCDKM4QLA800000000000000000000"/>
            <w:bookmarkEnd w:id="23"/>
          </w:p>
        </w:tc>
        <w:tc>
          <w:tcPr>
            <w:tcW w:w="9306" w:type="dxa"/>
            <w:tcBorders/>
            <w:shd w:fill="CCEEFF" w:val="clear"/>
            <w:vAlign w:val="center"/>
          </w:tcPr>
          <w:p>
            <w:pPr>
              <w:pStyle w:val="TableContents"/>
              <w:bidi w:val="0"/>
              <w:spacing w:before="0" w:after="283"/>
              <w:jc w:val="left"/>
              <w:rPr/>
            </w:pPr>
            <w:hyperlink w:anchor="BE_OCDKM4QLA800000000000000000000">
              <w:r>
                <w:rPr>
                  <w:rStyle w:val="InternetLink"/>
                  <w:color w:val="0000FF"/>
                  <w:sz w:val="20"/>
                </w:rPr>
                <w:t xml:space="preserve">Unaudited Condensed Consolidated Statements of Cash Flows for the </w:t>
              </w:r>
            </w:hyperlink>
            <w:hyperlink w:anchor="BE_OCDKM4QLA800000000000000000000">
              <w:bookmarkStart w:id="24" w:name="fs_GKT6FT0G2800000000000000000000FM"/>
              <w:bookmarkEnd w:id="24"/>
              <w:r>
                <w:rPr>
                  <w:rStyle w:val="InternetLink"/>
                  <w:color w:val="0000FF"/>
                  <w:sz w:val="20"/>
                </w:rPr>
                <w:t xml:space="preserve">Three months ended March 31, 2026 and </w:t>
              </w:r>
            </w:hyperlink>
            <w:hyperlink w:anchor="BE_OCDKM4QLA800000000000000000000">
              <w:bookmarkStart w:id="25" w:name="fs_0RVFIR75YO00000000000000000000FM"/>
              <w:bookmarkEnd w:id="25"/>
              <w:r>
                <w:rPr>
                  <w:rStyle w:val="InternetLink"/>
                  <w:color w:val="0000FF"/>
                  <w:sz w:val="20"/>
                </w:rPr>
                <w:t>2025</w:t>
              </w:r>
            </w:hyperlink>
            <w:bookmarkStart w:id="26" w:name="BMP_BE_OCDKM4QLA800000000000000000000"/>
            <w:bookmarkEnd w:id="26"/>
          </w:p>
        </w:tc>
        <w:tc>
          <w:tcPr>
            <w:tcW w:w="261" w:type="dxa"/>
            <w:tcBorders/>
            <w:shd w:fill="CCEEFF" w:val="clear"/>
            <w:vAlign w:val="center"/>
          </w:tcPr>
          <w:p>
            <w:pPr>
              <w:pStyle w:val="TableContents"/>
              <w:bidi w:val="0"/>
              <w:spacing w:before="0" w:after="283"/>
              <w:jc w:val="center"/>
              <w:rPr/>
            </w:pPr>
            <w:r>
              <w:rPr/>
              <w:t>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27" w:name="BM_BF_IMSU8UN3GG00000000000000000000"/>
            <w:bookmarkStart w:id="28" w:name="BM_BF_IMSU8UN3GG00000000000000000000"/>
            <w:bookmarkEnd w:id="28"/>
          </w:p>
        </w:tc>
        <w:tc>
          <w:tcPr>
            <w:tcW w:w="9306" w:type="dxa"/>
            <w:tcBorders/>
            <w:shd w:fill="CCEEFF" w:val="clear"/>
            <w:vAlign w:val="center"/>
          </w:tcPr>
          <w:p>
            <w:pPr>
              <w:pStyle w:val="TableContents"/>
              <w:bidi w:val="0"/>
              <w:spacing w:before="0" w:after="283"/>
              <w:jc w:val="left"/>
              <w:rPr/>
            </w:pPr>
            <w:hyperlink w:anchor="BF_IMSU8UN3GG00000000000000000000">
              <w:r>
                <w:rPr>
                  <w:rStyle w:val="InternetLink"/>
                  <w:color w:val="0000FF"/>
                  <w:sz w:val="20"/>
                </w:rPr>
                <w:t>Unaudited Notes to Condensed Consolidated Financial Statements</w:t>
              </w:r>
            </w:hyperlink>
            <w:bookmarkStart w:id="29" w:name="BMP_BF_IMSU8UN3GG00000000000000000000"/>
            <w:bookmarkEnd w:id="29"/>
          </w:p>
        </w:tc>
        <w:tc>
          <w:tcPr>
            <w:tcW w:w="261" w:type="dxa"/>
            <w:tcBorders/>
            <w:shd w:fill="CCEEFF" w:val="clear"/>
            <w:vAlign w:val="center"/>
          </w:tcPr>
          <w:p>
            <w:pPr>
              <w:pStyle w:val="TableContents"/>
              <w:bidi w:val="0"/>
              <w:spacing w:before="0" w:after="283"/>
              <w:jc w:val="center"/>
              <w:rPr/>
            </w:pPr>
            <w:r>
              <w:rPr/>
              <w:t>7</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30" w:name="BM_BG_ZROYRYR1OG00000000000000000000"/>
            <w:bookmarkEnd w:id="30"/>
          </w:p>
        </w:tc>
        <w:tc>
          <w:tcPr>
            <w:tcW w:w="9306" w:type="dxa"/>
            <w:tcBorders/>
            <w:shd w:fill="CCEEFF" w:val="clear"/>
            <w:vAlign w:val="center"/>
          </w:tcPr>
          <w:p>
            <w:pPr>
              <w:pStyle w:val="TableContents"/>
              <w:bidi w:val="0"/>
              <w:spacing w:before="0" w:after="283"/>
              <w:jc w:val="left"/>
              <w:rPr/>
            </w:pPr>
            <w:hyperlink w:anchor="BG_ZROYRYR1OG00000000000000000000">
              <w:r>
                <w:rPr>
                  <w:rStyle w:val="InternetLink"/>
                  <w:color w:val="0000FF"/>
                  <w:sz w:val="20"/>
                </w:rPr>
                <w:t>Management’s Discussion and Analysis of Financial Condition and Results of Operations</w:t>
              </w:r>
            </w:hyperlink>
            <w:bookmarkStart w:id="31" w:name="BMP_BG_ZROYRYR1OG00000000000000000000"/>
            <w:bookmarkEnd w:id="31"/>
          </w:p>
        </w:tc>
        <w:tc>
          <w:tcPr>
            <w:tcW w:w="261" w:type="dxa"/>
            <w:tcBorders/>
            <w:shd w:fill="CCEEFF" w:val="clear"/>
            <w:vAlign w:val="center"/>
          </w:tcPr>
          <w:p>
            <w:pPr>
              <w:pStyle w:val="TableContents"/>
              <w:bidi w:val="0"/>
              <w:spacing w:before="0" w:after="283"/>
              <w:jc w:val="center"/>
              <w:rPr/>
            </w:pPr>
            <w:r>
              <w:rPr/>
              <w:t>21</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32" w:name="BM_BH_U66773D7WW00000000000000000000"/>
            <w:bookmarkEnd w:id="32"/>
          </w:p>
        </w:tc>
        <w:tc>
          <w:tcPr>
            <w:tcW w:w="9306" w:type="dxa"/>
            <w:tcBorders/>
            <w:shd w:fill="CCEEFF" w:val="clear"/>
            <w:vAlign w:val="center"/>
          </w:tcPr>
          <w:p>
            <w:pPr>
              <w:pStyle w:val="TableContents"/>
              <w:bidi w:val="0"/>
              <w:spacing w:before="0" w:after="283"/>
              <w:jc w:val="left"/>
              <w:rPr/>
            </w:pPr>
            <w:hyperlink w:anchor="BH_U66773D7WW00000000000000000000">
              <w:r>
                <w:rPr>
                  <w:rStyle w:val="InternetLink"/>
                  <w:color w:val="0000FF"/>
                  <w:sz w:val="20"/>
                </w:rPr>
                <w:t>Quantitative and Qualitative Disclosures About Market Risk</w:t>
              </w:r>
            </w:hyperlink>
            <w:bookmarkStart w:id="33" w:name="BMP_BH_U66773D7WW00000000000000000000"/>
            <w:bookmarkEnd w:id="33"/>
          </w:p>
        </w:tc>
        <w:tc>
          <w:tcPr>
            <w:tcW w:w="261" w:type="dxa"/>
            <w:tcBorders/>
            <w:shd w:fill="CCEEFF" w:val="clear"/>
            <w:vAlign w:val="center"/>
          </w:tcPr>
          <w:p>
            <w:pPr>
              <w:pStyle w:val="TableContents"/>
              <w:bidi w:val="0"/>
              <w:spacing w:before="0" w:after="283"/>
              <w:jc w:val="center"/>
              <w:rPr/>
            </w:pPr>
            <w:r>
              <w:rPr/>
              <w:t>28</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34" w:name="BM_BI_L8KHXR82WW00000000000000000000"/>
            <w:bookmarkEnd w:id="34"/>
          </w:p>
        </w:tc>
        <w:tc>
          <w:tcPr>
            <w:tcW w:w="9306" w:type="dxa"/>
            <w:tcBorders/>
            <w:shd w:fill="CCEEFF" w:val="clear"/>
            <w:vAlign w:val="center"/>
          </w:tcPr>
          <w:p>
            <w:pPr>
              <w:pStyle w:val="TableContents"/>
              <w:bidi w:val="0"/>
              <w:spacing w:before="0" w:after="283"/>
              <w:jc w:val="left"/>
              <w:rPr/>
            </w:pPr>
            <w:hyperlink w:anchor="BI_L8KHXR82WW00000000000000000000">
              <w:r>
                <w:rPr>
                  <w:rStyle w:val="InternetLink"/>
                  <w:color w:val="0000FF"/>
                  <w:sz w:val="20"/>
                </w:rPr>
                <w:t>Controls and Procedures</w:t>
              </w:r>
            </w:hyperlink>
            <w:bookmarkStart w:id="35" w:name="BMP_BI_L8KHXR82WW00000000000000000000"/>
            <w:bookmarkEnd w:id="35"/>
          </w:p>
        </w:tc>
        <w:tc>
          <w:tcPr>
            <w:tcW w:w="261" w:type="dxa"/>
            <w:tcBorders/>
            <w:shd w:fill="CCEEFF" w:val="clear"/>
            <w:vAlign w:val="center"/>
          </w:tcPr>
          <w:p>
            <w:pPr>
              <w:pStyle w:val="TableContents"/>
              <w:bidi w:val="0"/>
              <w:spacing w:before="0" w:after="283"/>
              <w:jc w:val="center"/>
              <w:rPr/>
            </w:pPr>
            <w:r>
              <w:rPr/>
              <w:t>28</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36" w:name="BM_BJ_TSTI5UOPUO00000000000000000000"/>
            <w:bookmarkStart w:id="37" w:name="BM_BJ_TSTI5UOPUO00000000000000000000"/>
            <w:bookmarkEnd w:id="37"/>
          </w:p>
        </w:tc>
        <w:tc>
          <w:tcPr>
            <w:tcW w:w="9306" w:type="dxa"/>
            <w:tcBorders/>
            <w:shd w:fill="CCEEFF" w:val="clear"/>
            <w:vAlign w:val="center"/>
          </w:tcPr>
          <w:p>
            <w:pPr>
              <w:pStyle w:val="TableContents"/>
              <w:bidi w:val="0"/>
              <w:spacing w:before="0" w:after="283"/>
              <w:jc w:val="left"/>
              <w:rPr/>
            </w:pPr>
            <w:hyperlink w:anchor="BJ_TSTI5UOPUO00000000000000000000">
              <w:r>
                <w:rPr>
                  <w:rStyle w:val="InternetLink"/>
                  <w:b/>
                  <w:color w:val="0000FF"/>
                  <w:sz w:val="20"/>
                </w:rPr>
                <w:t>PART II - OTHER INFORMATION</w:t>
              </w:r>
            </w:hyperlink>
          </w:p>
        </w:tc>
        <w:tc>
          <w:tcPr>
            <w:tcW w:w="261" w:type="dxa"/>
            <w:tcBorders/>
            <w:shd w:fill="CCEEFF" w:val="clear"/>
            <w:vAlign w:val="center"/>
          </w:tcPr>
          <w:p>
            <w:pPr>
              <w:pStyle w:val="TableContents"/>
              <w:bidi w:val="0"/>
              <w:spacing w:before="0" w:after="283"/>
              <w:jc w:val="left"/>
              <w:rPr/>
            </w:pPr>
            <w:r>
              <w:rPr/>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38" w:name="BM_BK_UH0QH1ST6800000000000000000000"/>
            <w:bookmarkEnd w:id="38"/>
          </w:p>
        </w:tc>
        <w:tc>
          <w:tcPr>
            <w:tcW w:w="9306" w:type="dxa"/>
            <w:tcBorders/>
            <w:shd w:fill="CCEEFF" w:val="clear"/>
            <w:vAlign w:val="center"/>
          </w:tcPr>
          <w:p>
            <w:pPr>
              <w:pStyle w:val="TableContents"/>
              <w:bidi w:val="0"/>
              <w:spacing w:before="0" w:after="283"/>
              <w:jc w:val="left"/>
              <w:rPr/>
            </w:pPr>
            <w:hyperlink w:anchor="BK_UH0QH1ST6800000000000000000000">
              <w:r>
                <w:rPr>
                  <w:rStyle w:val="InternetLink"/>
                  <w:color w:val="0000FF"/>
                  <w:sz w:val="20"/>
                </w:rPr>
                <w:t>Legal Proceedings</w:t>
              </w:r>
            </w:hyperlink>
            <w:bookmarkStart w:id="39" w:name="BMP_BK_UH0QH1ST6800000000000000000000"/>
            <w:bookmarkEnd w:id="39"/>
          </w:p>
        </w:tc>
        <w:tc>
          <w:tcPr>
            <w:tcW w:w="261" w:type="dxa"/>
            <w:tcBorders/>
            <w:shd w:fill="CCEEFF" w:val="clear"/>
            <w:vAlign w:val="center"/>
          </w:tcPr>
          <w:p>
            <w:pPr>
              <w:pStyle w:val="TableContents"/>
              <w:bidi w:val="0"/>
              <w:spacing w:before="0" w:after="283"/>
              <w:jc w:val="center"/>
              <w:rPr/>
            </w:pPr>
            <w:r>
              <w:rPr/>
              <w:t>28</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40" w:name="BM_BL_C8C33AXDV400000000000000000000"/>
            <w:bookmarkEnd w:id="40"/>
          </w:p>
        </w:tc>
        <w:tc>
          <w:tcPr>
            <w:tcW w:w="9306" w:type="dxa"/>
            <w:tcBorders/>
            <w:shd w:fill="CCEEFF" w:val="clear"/>
            <w:vAlign w:val="center"/>
          </w:tcPr>
          <w:p>
            <w:pPr>
              <w:pStyle w:val="TableContents"/>
              <w:bidi w:val="0"/>
              <w:spacing w:before="0" w:after="283"/>
              <w:jc w:val="left"/>
              <w:rPr/>
            </w:pPr>
            <w:hyperlink w:anchor="BL_C8C33AXDV400000000000000000000">
              <w:r>
                <w:rPr>
                  <w:rStyle w:val="InternetLink"/>
                  <w:color w:val="0000FF"/>
                  <w:sz w:val="20"/>
                </w:rPr>
                <w:t>Risk Factors</w:t>
              </w:r>
            </w:hyperlink>
            <w:bookmarkStart w:id="41" w:name="BMP_BL_C8C33AXDV400000000000000000000"/>
            <w:bookmarkEnd w:id="41"/>
          </w:p>
        </w:tc>
        <w:tc>
          <w:tcPr>
            <w:tcW w:w="261" w:type="dxa"/>
            <w:tcBorders/>
            <w:shd w:fill="CCEEFF" w:val="clear"/>
            <w:vAlign w:val="center"/>
          </w:tcPr>
          <w:p>
            <w:pPr>
              <w:pStyle w:val="TableContents"/>
              <w:bidi w:val="0"/>
              <w:spacing w:before="0" w:after="283"/>
              <w:jc w:val="center"/>
              <w:rPr/>
            </w:pPr>
            <w:r>
              <w:rPr/>
              <w:t>28</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42" w:name="BM_BM_PXV2XAM1KG00000000000000000000"/>
            <w:bookmarkEnd w:id="42"/>
          </w:p>
        </w:tc>
        <w:tc>
          <w:tcPr>
            <w:tcW w:w="9306" w:type="dxa"/>
            <w:tcBorders/>
            <w:shd w:fill="CCEEFF" w:val="clear"/>
            <w:vAlign w:val="center"/>
          </w:tcPr>
          <w:p>
            <w:pPr>
              <w:pStyle w:val="TableContents"/>
              <w:bidi w:val="0"/>
              <w:spacing w:before="0" w:after="283"/>
              <w:jc w:val="left"/>
              <w:rPr/>
            </w:pPr>
            <w:hyperlink w:anchor="BM_PXV2XAM1KG00000000000000000000">
              <w:r>
                <w:rPr>
                  <w:rStyle w:val="InternetLink"/>
                  <w:color w:val="0000FF"/>
                  <w:sz w:val="20"/>
                </w:rPr>
                <w:t>Unregistered Sales of Equity Securities and Use of Proceeds</w:t>
              </w:r>
            </w:hyperlink>
            <w:bookmarkStart w:id="43" w:name="BMP_BM_PXV2XAM1KG00000000000000000000"/>
            <w:bookmarkEnd w:id="43"/>
          </w:p>
        </w:tc>
        <w:tc>
          <w:tcPr>
            <w:tcW w:w="261" w:type="dxa"/>
            <w:tcBorders/>
            <w:shd w:fill="CCEEFF" w:val="clear"/>
            <w:vAlign w:val="center"/>
          </w:tcPr>
          <w:p>
            <w:pPr>
              <w:pStyle w:val="TableContents"/>
              <w:bidi w:val="0"/>
              <w:spacing w:before="0" w:after="283"/>
              <w:jc w:val="center"/>
              <w:rPr/>
            </w:pPr>
            <w:r>
              <w:rPr/>
              <w:t>29</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44" w:name="BM_BN_EVKECWSW2800000000000000000000"/>
            <w:bookmarkEnd w:id="44"/>
          </w:p>
        </w:tc>
        <w:tc>
          <w:tcPr>
            <w:tcW w:w="9306" w:type="dxa"/>
            <w:tcBorders/>
            <w:shd w:fill="CCEEFF" w:val="clear"/>
            <w:vAlign w:val="center"/>
          </w:tcPr>
          <w:p>
            <w:pPr>
              <w:pStyle w:val="TableContents"/>
              <w:bidi w:val="0"/>
              <w:spacing w:before="0" w:after="283"/>
              <w:jc w:val="left"/>
              <w:rPr/>
            </w:pPr>
            <w:hyperlink w:anchor="BN_EVKECWSW2800000000000000000000">
              <w:r>
                <w:rPr>
                  <w:rStyle w:val="InternetLink"/>
                  <w:color w:val="0000FF"/>
                  <w:sz w:val="20"/>
                </w:rPr>
                <w:t>Defaults Upon Senior Securities</w:t>
              </w:r>
            </w:hyperlink>
            <w:bookmarkStart w:id="45" w:name="BMP_BN_EVKECWSW2800000000000000000000"/>
            <w:bookmarkEnd w:id="45"/>
          </w:p>
        </w:tc>
        <w:tc>
          <w:tcPr>
            <w:tcW w:w="261" w:type="dxa"/>
            <w:tcBorders/>
            <w:shd w:fill="CCEEFF" w:val="clear"/>
            <w:vAlign w:val="center"/>
          </w:tcPr>
          <w:p>
            <w:pPr>
              <w:pStyle w:val="TableContents"/>
              <w:bidi w:val="0"/>
              <w:spacing w:before="0" w:after="283"/>
              <w:jc w:val="center"/>
              <w:rPr/>
            </w:pPr>
            <w:r>
              <w:rPr/>
              <w:t>29</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46" w:name="BM_BO_VVB037J0C000000000000000000000"/>
            <w:bookmarkEnd w:id="46"/>
          </w:p>
        </w:tc>
        <w:tc>
          <w:tcPr>
            <w:tcW w:w="9306" w:type="dxa"/>
            <w:tcBorders/>
            <w:shd w:fill="CCEEFF" w:val="clear"/>
            <w:vAlign w:val="center"/>
          </w:tcPr>
          <w:p>
            <w:pPr>
              <w:pStyle w:val="TableContents"/>
              <w:bidi w:val="0"/>
              <w:spacing w:before="0" w:after="283"/>
              <w:jc w:val="left"/>
              <w:rPr/>
            </w:pPr>
            <w:hyperlink w:anchor="BO_VVB037J0C000000000000000000000">
              <w:r>
                <w:rPr>
                  <w:rStyle w:val="InternetLink"/>
                  <w:color w:val="0000FF"/>
                  <w:sz w:val="20"/>
                </w:rPr>
                <w:t>Mine Safety Disclosures</w:t>
              </w:r>
            </w:hyperlink>
            <w:bookmarkStart w:id="47" w:name="BMP_BO_VVB037J0C000000000000000000000"/>
            <w:bookmarkEnd w:id="47"/>
          </w:p>
        </w:tc>
        <w:tc>
          <w:tcPr>
            <w:tcW w:w="261" w:type="dxa"/>
            <w:tcBorders/>
            <w:shd w:fill="CCEEFF" w:val="clear"/>
            <w:vAlign w:val="center"/>
          </w:tcPr>
          <w:p>
            <w:pPr>
              <w:pStyle w:val="TableContents"/>
              <w:bidi w:val="0"/>
              <w:spacing w:before="0" w:after="283"/>
              <w:jc w:val="center"/>
              <w:rPr/>
            </w:pPr>
            <w:r>
              <w:rPr/>
              <w:t>29</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48" w:name="BM_BP_0LWBX5JVNK00000000000000000000"/>
            <w:bookmarkEnd w:id="48"/>
          </w:p>
        </w:tc>
        <w:tc>
          <w:tcPr>
            <w:tcW w:w="9306" w:type="dxa"/>
            <w:tcBorders/>
            <w:shd w:fill="CCEEFF" w:val="clear"/>
            <w:vAlign w:val="center"/>
          </w:tcPr>
          <w:p>
            <w:pPr>
              <w:pStyle w:val="TableContents"/>
              <w:bidi w:val="0"/>
              <w:spacing w:before="0" w:after="283"/>
              <w:jc w:val="left"/>
              <w:rPr/>
            </w:pPr>
            <w:hyperlink w:anchor="BP_0LWBX5JVNK00000000000000000000">
              <w:r>
                <w:rPr>
                  <w:rStyle w:val="InternetLink"/>
                  <w:color w:val="0000FF"/>
                  <w:sz w:val="20"/>
                </w:rPr>
                <w:t>Other Information</w:t>
              </w:r>
            </w:hyperlink>
            <w:bookmarkStart w:id="49" w:name="BMP_BP_0LWBX5JVNK00000000000000000000"/>
            <w:bookmarkEnd w:id="49"/>
          </w:p>
        </w:tc>
        <w:tc>
          <w:tcPr>
            <w:tcW w:w="261" w:type="dxa"/>
            <w:tcBorders/>
            <w:shd w:fill="CCEEFF" w:val="clear"/>
            <w:vAlign w:val="center"/>
          </w:tcPr>
          <w:p>
            <w:pPr>
              <w:pStyle w:val="TableContents"/>
              <w:bidi w:val="0"/>
              <w:spacing w:before="0" w:after="283"/>
              <w:jc w:val="center"/>
              <w:rPr/>
            </w:pPr>
            <w:r>
              <w:rPr/>
              <w:t>29</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50" w:name="BM_Bit6_1272025194021232"/>
            <w:bookmarkEnd w:id="50"/>
          </w:p>
        </w:tc>
        <w:tc>
          <w:tcPr>
            <w:tcW w:w="9306" w:type="dxa"/>
            <w:tcBorders/>
            <w:shd w:fill="CCEEFF" w:val="clear"/>
            <w:vAlign w:val="center"/>
          </w:tcPr>
          <w:p>
            <w:pPr>
              <w:pStyle w:val="TableContents"/>
              <w:bidi w:val="0"/>
              <w:spacing w:before="0" w:after="283"/>
              <w:jc w:val="left"/>
              <w:rPr/>
            </w:pPr>
            <w:hyperlink w:anchor="Bit6_1272025202146458">
              <w:r>
                <w:rPr>
                  <w:rStyle w:val="InternetLink"/>
                  <w:color w:val="0000FF"/>
                  <w:sz w:val="20"/>
                </w:rPr>
                <w:t>Exhibits</w:t>
              </w:r>
            </w:hyperlink>
            <w:bookmarkStart w:id="51" w:name="BMP_Bit6_1272025202146458"/>
            <w:bookmarkEnd w:id="51"/>
          </w:p>
        </w:tc>
        <w:tc>
          <w:tcPr>
            <w:tcW w:w="261" w:type="dxa"/>
            <w:tcBorders/>
            <w:shd w:fill="CCEEFF" w:val="clear"/>
            <w:vAlign w:val="center"/>
          </w:tcPr>
          <w:p>
            <w:pPr>
              <w:pStyle w:val="TableContents"/>
              <w:bidi w:val="0"/>
              <w:spacing w:before="0" w:after="283"/>
              <w:jc w:val="center"/>
              <w:rPr/>
            </w:pPr>
            <w:r>
              <w:rPr/>
              <w:t>30</w:t>
            </w:r>
          </w:p>
        </w:tc>
      </w:tr>
    </w:tbl>
    <w:p>
      <w:pPr>
        <w:pStyle w:val="TextBody"/>
        <w:bidi w:val="0"/>
        <w:spacing w:before="0" w:after="0"/>
        <w:ind w:left="144" w:right="144"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52" w:name="PageBreakNo2"/>
            <w:bookmarkEnd w:id="52"/>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200"/>
        <w:ind w:left="0" w:right="0" w:hanging="0"/>
        <w:jc w:val="both"/>
        <w:rPr/>
      </w:pPr>
      <w:hyperlink r:id="rId2">
        <w:bookmarkStart w:id="53" w:name="BA_ITXHYI3BG000000000000000000000"/>
        <w:bookmarkEnd w:id="53"/>
        <w:r>
          <w:rPr>
            <w:rStyle w:val="InternetLink"/>
            <w:rFonts w:ascii="Times New Roman" w:hAnsi="Times New Roman"/>
            <w:b/>
            <w:strike w:val="false"/>
            <w:dstrike w:val="false"/>
            <w:color w:val="000000"/>
            <w:sz w:val="20"/>
            <w:u w:val="none"/>
            <w:effect w:val="none"/>
          </w:rPr>
          <w:t>PART I - FINANCIAL INFORMATION</w:t>
        </w:r>
      </w:hyperlink>
    </w:p>
    <w:p>
      <w:pPr>
        <w:pStyle w:val="TextBody"/>
        <w:bidi w:val="0"/>
        <w:spacing w:lineRule="auto" w:line="288"/>
        <w:ind w:left="0" w:right="0" w:hanging="0"/>
        <w:jc w:val="both"/>
        <w:rPr/>
      </w:pPr>
      <w:hyperlink r:id="rId3">
        <w:bookmarkStart w:id="54" w:name="BB_DACLJMO6HS00000000000000000000"/>
        <w:bookmarkEnd w:id="54"/>
        <w:r>
          <w:rPr>
            <w:rStyle w:val="InternetLink"/>
            <w:rFonts w:ascii="Times New Roman" w:hAnsi="Times New Roman"/>
            <w:b/>
            <w:strike w:val="false"/>
            <w:dstrike w:val="false"/>
            <w:color w:val="000000"/>
            <w:sz w:val="20"/>
            <w:u w:val="none"/>
            <w:effect w:val="none"/>
          </w:rPr>
          <w:t xml:space="preserve">Item </w:t>
        </w:r>
      </w:hyperlink>
      <w:hyperlink r:id="rId4">
        <w:bookmarkStart w:id="55" w:name="fs_ZX1F4AO7NK00000000000000000000fs"/>
        <w:bookmarkEnd w:id="55"/>
        <w:r>
          <w:rPr>
            <w:rStyle w:val="InternetLink"/>
            <w:rFonts w:ascii="Times New Roman" w:hAnsi="Times New Roman"/>
            <w:b/>
            <w:strike w:val="false"/>
            <w:dstrike w:val="false"/>
            <w:color w:val="000000"/>
            <w:sz w:val="20"/>
            <w:u w:val="none"/>
            <w:effect w:val="none"/>
          </w:rPr>
          <w:t>1</w:t>
        </w:r>
      </w:hyperlink>
      <w:hyperlink r:id="rId5">
        <w:r>
          <w:rPr>
            <w:rStyle w:val="InternetLink"/>
            <w:rFonts w:ascii="Times New Roman" w:hAnsi="Times New Roman"/>
            <w:b/>
            <w:strike w:val="false"/>
            <w:dstrike w:val="false"/>
            <w:color w:val="000000"/>
            <w:sz w:val="20"/>
            <w:u w:val="none"/>
            <w:effect w:val="none"/>
          </w:rPr>
          <w:t>. FINANCIAL STATEMENTS</w:t>
        </w:r>
      </w:hyperlink>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6">
        <w:bookmarkStart w:id="56" w:name="BC_67A6VPX3U800000000000000000000"/>
        <w:bookmarkEnd w:id="56"/>
        <w:r>
          <w:rPr>
            <w:rStyle w:val="InternetLink"/>
            <w:rFonts w:ascii="Times New Roman" w:hAnsi="Times New Roman"/>
            <w:b/>
            <w:strike w:val="false"/>
            <w:dstrike w:val="false"/>
            <w:color w:val="000000"/>
            <w:sz w:val="20"/>
            <w:u w:val="none"/>
            <w:effect w:val="none"/>
          </w:rPr>
          <w:t>UNAUDITED CONDENSED CONSOLIDATED BALANCE SHEETS</w:t>
        </w:r>
      </w:hyperlink>
    </w:p>
    <w:p>
      <w:pPr>
        <w:pStyle w:val="TextBody"/>
        <w:bidi w:val="0"/>
        <w:spacing w:lineRule="auto" w:line="288" w:before="0" w:after="200"/>
        <w:ind w:left="144" w:right="144" w:hanging="0"/>
        <w:jc w:val="center"/>
        <w:rPr>
          <w:rFonts w:ascii="Times New Roman" w:hAnsi="Times New Roman"/>
          <w:sz w:val="20"/>
        </w:rPr>
      </w:pPr>
      <w:r>
        <w:rPr>
          <w:rFonts w:ascii="Times New Roman" w:hAnsi="Times New Roman"/>
          <w:sz w:val="20"/>
        </w:rPr>
        <w:t>(Dollars in thousands, except par value)</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02"/>
        <w:gridCol w:w="23"/>
        <w:gridCol w:w="226"/>
        <w:gridCol w:w="932"/>
        <w:gridCol w:w="95"/>
        <w:gridCol w:w="23"/>
        <w:gridCol w:w="248"/>
        <w:gridCol w:w="1124"/>
        <w:gridCol w:w="132"/>
      </w:tblGrid>
      <w:tr>
        <w:trPr/>
        <w:tc>
          <w:tcPr>
            <w:tcW w:w="7402"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158" w:type="dxa"/>
            <w:gridSpan w:val="2"/>
            <w:tcBorders/>
            <w:vAlign w:val="center"/>
          </w:tcPr>
          <w:p>
            <w:pPr>
              <w:pStyle w:val="TableContents"/>
              <w:bidi w:val="0"/>
              <w:spacing w:before="0" w:after="0"/>
              <w:ind w:left="0" w:right="0" w:hanging="0"/>
              <w:jc w:val="center"/>
              <w:rPr>
                <w:rFonts w:ascii="Times New Roman" w:hAnsi="Times New Roman"/>
                <w:b/>
                <w:sz w:val="20"/>
              </w:rPr>
            </w:pPr>
            <w:bookmarkStart w:id="57" w:name="fs_E9YN51KTWW00000000000000000000FM"/>
            <w:bookmarkEnd w:id="57"/>
            <w:r>
              <w:rPr>
                <w:rFonts w:ascii="Times New Roman" w:hAnsi="Times New Roman"/>
                <w:b/>
                <w:sz w:val="20"/>
              </w:rPr>
              <w:t xml:space="preserve">March 31, 2026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372" w:type="dxa"/>
            <w:gridSpan w:val="2"/>
            <w:tcBorders/>
            <w:vAlign w:val="center"/>
          </w:tcPr>
          <w:p>
            <w:pPr>
              <w:pStyle w:val="TableContents"/>
              <w:bidi w:val="0"/>
              <w:spacing w:before="0" w:after="0"/>
              <w:ind w:left="0" w:right="0" w:hanging="0"/>
              <w:jc w:val="center"/>
              <w:rPr>
                <w:rFonts w:ascii="Times New Roman" w:hAnsi="Times New Roman"/>
                <w:b/>
                <w:sz w:val="20"/>
              </w:rPr>
            </w:pPr>
            <w:bookmarkStart w:id="58" w:name="fs_QS6X4K1V8000000000000000000000FM"/>
            <w:bookmarkEnd w:id="58"/>
            <w:r>
              <w:rPr>
                <w:rFonts w:ascii="Times New Roman" w:hAnsi="Times New Roman"/>
                <w:b/>
                <w:sz w:val="20"/>
              </w:rPr>
              <w:t xml:space="preserve">December 31, 2025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center"/>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center"/>
              <w:rPr/>
            </w:pPr>
            <w:r>
              <w:rPr/>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left"/>
              <w:rPr/>
            </w:pPr>
            <w:r>
              <w:rPr/>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756</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220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283"/>
              <w:jc w:val="left"/>
              <w:rPr/>
            </w:pPr>
            <w:r>
              <w:rPr/>
              <w:t>Restricted cash</w:t>
            </w:r>
          </w:p>
        </w:tc>
        <w:tc>
          <w:tcPr>
            <w:tcW w:w="23"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932" w:type="dxa"/>
            <w:tcBorders/>
            <w:vAlign w:val="center"/>
          </w:tcPr>
          <w:p>
            <w:pPr>
              <w:pStyle w:val="TableContents"/>
              <w:bidi w:val="0"/>
              <w:spacing w:before="0" w:after="283"/>
              <w:jc w:val="right"/>
              <w:rPr/>
            </w:pPr>
            <w:r>
              <w:rPr/>
              <w:t>297</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r>
          </w:p>
        </w:tc>
        <w:tc>
          <w:tcPr>
            <w:tcW w:w="1124" w:type="dxa"/>
            <w:tcBorders/>
            <w:vAlign w:val="center"/>
          </w:tcPr>
          <w:p>
            <w:pPr>
              <w:pStyle w:val="TableContents"/>
              <w:bidi w:val="0"/>
              <w:spacing w:before="0" w:after="283"/>
              <w:jc w:val="right"/>
              <w:rPr/>
            </w:pPr>
            <w:r>
              <w:rPr/>
              <w:t>519</w:t>
            </w:r>
          </w:p>
        </w:tc>
        <w:tc>
          <w:tcPr>
            <w:tcW w:w="132" w:type="dxa"/>
            <w:tcBorders/>
            <w:vAlign w:val="center"/>
          </w:tcPr>
          <w:p>
            <w:pPr>
              <w:pStyle w:val="TableContents"/>
              <w:bidi w:val="0"/>
              <w:spacing w:before="0" w:after="283"/>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333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353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283"/>
              <w:jc w:val="left"/>
              <w:rPr/>
            </w:pPr>
            <w:r>
              <w:rPr/>
              <w:t>Prepaid assets</w:t>
            </w:r>
          </w:p>
        </w:tc>
        <w:tc>
          <w:tcPr>
            <w:tcW w:w="23"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932" w:type="dxa"/>
            <w:tcBorders/>
            <w:vAlign w:val="center"/>
          </w:tcPr>
          <w:p>
            <w:pPr>
              <w:pStyle w:val="TableContents"/>
              <w:bidi w:val="0"/>
              <w:spacing w:before="0" w:after="283"/>
              <w:jc w:val="right"/>
              <w:rPr/>
            </w:pPr>
            <w:r>
              <w:rPr/>
              <w:t>10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r>
          </w:p>
        </w:tc>
        <w:tc>
          <w:tcPr>
            <w:tcW w:w="1124"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r>
          </w:p>
        </w:tc>
      </w:tr>
      <w:tr>
        <w:trPr/>
        <w:tc>
          <w:tcPr>
            <w:tcW w:w="7402" w:type="dxa"/>
            <w:tcBorders/>
            <w:shd w:fill="CCEEFF" w:val="clear"/>
            <w:vAlign w:val="center"/>
          </w:tcPr>
          <w:p>
            <w:pPr>
              <w:pStyle w:val="TableContents"/>
              <w:bidi w:val="0"/>
              <w:spacing w:before="0" w:after="283"/>
              <w:jc w:val="left"/>
              <w:rPr/>
            </w:pPr>
            <w:r>
              <w:rPr/>
              <w:t>Current assets related to discontinued operations</w:t>
            </w:r>
          </w:p>
        </w:tc>
        <w:tc>
          <w:tcPr>
            <w:tcW w:w="23" w:type="dxa"/>
            <w:tcBorders/>
            <w:shd w:fill="CCEEFF" w:val="clear"/>
            <w:vAlign w:val="center"/>
          </w:tcPr>
          <w:p>
            <w:pPr>
              <w:pStyle w:val="TableContents"/>
              <w:bidi w:val="0"/>
              <w:spacing w:before="0" w:after="283"/>
              <w:jc w:val="left"/>
              <w:rPr/>
            </w:pPr>
            <w:r>
              <w:rPr/>
            </w:r>
          </w:p>
        </w:tc>
        <w:tc>
          <w:tcPr>
            <w:tcW w:w="226" w:type="dxa"/>
            <w:tcBorders/>
            <w:shd w:fill="CCEEFF" w:val="clear"/>
            <w:vAlign w:val="center"/>
          </w:tcPr>
          <w:p>
            <w:pPr>
              <w:pStyle w:val="TableContents"/>
              <w:bidi w:val="0"/>
              <w:spacing w:before="0" w:after="283"/>
              <w:jc w:val="left"/>
              <w:rPr/>
            </w:pPr>
            <w:r>
              <w:rPr/>
            </w:r>
          </w:p>
        </w:tc>
        <w:tc>
          <w:tcPr>
            <w:tcW w:w="932" w:type="dxa"/>
            <w:tcBorders/>
            <w:shd w:fill="CCEEFF" w:val="cle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48" w:type="dxa"/>
            <w:tcBorders/>
            <w:shd w:fill="CCEEFF" w:val="clear"/>
            <w:vAlign w:val="center"/>
          </w:tcPr>
          <w:p>
            <w:pPr>
              <w:pStyle w:val="TableContents"/>
              <w:bidi w:val="0"/>
              <w:spacing w:before="0" w:after="283"/>
              <w:jc w:val="left"/>
              <w:rPr/>
            </w:pPr>
            <w:r>
              <w:rPr/>
            </w:r>
          </w:p>
        </w:tc>
        <w:tc>
          <w:tcPr>
            <w:tcW w:w="1124" w:type="dxa"/>
            <w:tcBorders/>
            <w:shd w:fill="CCEEFF" w:val="clear"/>
            <w:vAlign w:val="center"/>
          </w:tcPr>
          <w:p>
            <w:pPr>
              <w:pStyle w:val="TableContents"/>
              <w:bidi w:val="0"/>
              <w:spacing w:before="0" w:after="283"/>
              <w:jc w:val="right"/>
              <w:rPr/>
            </w:pPr>
            <w:r>
              <w:rPr/>
              <w:t>604</w:t>
            </w:r>
          </w:p>
        </w:tc>
        <w:tc>
          <w:tcPr>
            <w:tcW w:w="132" w:type="dxa"/>
            <w:tcBorders/>
            <w:shd w:fill="CCEEFF" w:val="clear"/>
            <w:vAlign w:val="center"/>
          </w:tcPr>
          <w:p>
            <w:pPr>
              <w:pStyle w:val="TableContents"/>
              <w:bidi w:val="0"/>
              <w:spacing w:before="0" w:after="283"/>
              <w:jc w:val="left"/>
              <w:rPr/>
            </w:pPr>
            <w:r>
              <w:rPr/>
            </w:r>
          </w:p>
        </w:tc>
      </w:tr>
      <w:tr>
        <w:trPr/>
        <w:tc>
          <w:tcPr>
            <w:tcW w:w="7402"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current assets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1,672</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1,696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321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283"/>
              <w:jc w:val="left"/>
              <w:rPr/>
            </w:pPr>
            <w:r>
              <w:rPr/>
              <w:t>Long term assets related to discontinued operations</w:t>
            </w:r>
          </w:p>
        </w:tc>
        <w:tc>
          <w:tcPr>
            <w:tcW w:w="23" w:type="dxa"/>
            <w:tcBorders/>
            <w:vAlign w:val="center"/>
          </w:tcPr>
          <w:p>
            <w:pPr>
              <w:pStyle w:val="TableContents"/>
              <w:bidi w:val="0"/>
              <w:spacing w:before="0" w:after="283"/>
              <w:jc w:val="left"/>
              <w:rPr/>
            </w:pPr>
            <w:r>
              <w:rPr/>
            </w:r>
          </w:p>
        </w:tc>
        <w:tc>
          <w:tcPr>
            <w:tcW w:w="226" w:type="dxa"/>
            <w:tcBorders>
              <w:bottom w:val="single" w:sz="8" w:space="0" w:color="000000"/>
            </w:tcBorders>
            <w:tcMar>
              <w:bottom w:w="28" w:type="dxa"/>
            </w:tcMar>
            <w:vAlign w:val="center"/>
          </w:tcPr>
          <w:p>
            <w:pPr>
              <w:pStyle w:val="TableContents"/>
              <w:bidi w:val="0"/>
              <w:spacing w:before="0" w:after="283"/>
              <w:jc w:val="left"/>
              <w:rPr/>
            </w:pPr>
            <w:r>
              <w:rPr/>
            </w:r>
          </w:p>
        </w:tc>
        <w:tc>
          <w:tcPr>
            <w:tcW w:w="932" w:type="dxa"/>
            <w:tcBorders>
              <w:bottom w:val="single" w:sz="8" w:space="0" w:color="000000"/>
            </w:tcBorders>
            <w:tcMar>
              <w:bottom w:w="28" w:type="dxa"/>
            </w:tcMar>
            <w:vAlign w:val="center"/>
          </w:tcPr>
          <w:p>
            <w:pPr>
              <w:pStyle w:val="TableContents"/>
              <w:bidi w:val="0"/>
              <w:spacing w:before="0" w:after="283"/>
              <w:jc w:val="right"/>
              <w:rPr/>
            </w:pPr>
            <w:r>
              <w:rPr/>
              <w:t>24</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8" w:type="dxa"/>
            <w:tcBorders>
              <w:bottom w:val="single" w:sz="8" w:space="0" w:color="000000"/>
            </w:tcBorders>
            <w:tcMar>
              <w:bottom w:w="28" w:type="dxa"/>
            </w:tcMar>
            <w:vAlign w:val="center"/>
          </w:tcPr>
          <w:p>
            <w:pPr>
              <w:pStyle w:val="TableContents"/>
              <w:bidi w:val="0"/>
              <w:spacing w:before="0" w:after="283"/>
              <w:jc w:val="left"/>
              <w:rPr/>
            </w:pPr>
            <w:r>
              <w:rPr/>
            </w:r>
          </w:p>
        </w:tc>
        <w:tc>
          <w:tcPr>
            <w:tcW w:w="1124" w:type="dxa"/>
            <w:tcBorders>
              <w:bottom w:val="single" w:sz="8" w:space="0" w:color="000000"/>
            </w:tcBorders>
            <w:tcMar>
              <w:bottom w:w="28" w:type="dxa"/>
            </w:tcMar>
            <w:vAlign w:val="center"/>
          </w:tcPr>
          <w:p>
            <w:pPr>
              <w:pStyle w:val="TableContents"/>
              <w:bidi w:val="0"/>
              <w:spacing w:before="0" w:after="283"/>
              <w:jc w:val="right"/>
              <w:rPr/>
            </w:pPr>
            <w:r>
              <w:rPr/>
              <w:t>109</w:t>
            </w:r>
          </w:p>
        </w:tc>
        <w:tc>
          <w:tcPr>
            <w:tcW w:w="132" w:type="dxa"/>
            <w:tcBorders/>
            <w:vAlign w:val="center"/>
          </w:tcPr>
          <w:p>
            <w:pPr>
              <w:pStyle w:val="TableContents"/>
              <w:bidi w:val="0"/>
              <w:spacing w:before="0" w:after="283"/>
              <w:jc w:val="left"/>
              <w:rPr/>
            </w:pPr>
            <w:r>
              <w:rPr/>
            </w:r>
          </w:p>
        </w:tc>
      </w:tr>
      <w:tr>
        <w:trPr/>
        <w:tc>
          <w:tcPr>
            <w:tcW w:w="740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assets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2,017</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2,299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center"/>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center"/>
              <w:rPr/>
            </w:pPr>
            <w:r>
              <w:rPr/>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left"/>
              <w:rPr/>
            </w:pPr>
            <w:r>
              <w:rPr/>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pPr>
            <w:r>
              <w:rPr/>
              <w:t>415</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649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283"/>
              <w:jc w:val="left"/>
              <w:rPr/>
            </w:pPr>
            <w:r>
              <w:rPr/>
              <w:t>Current operating lease liability</w:t>
            </w:r>
          </w:p>
        </w:tc>
        <w:tc>
          <w:tcPr>
            <w:tcW w:w="23"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932" w:type="dxa"/>
            <w:tcBorders/>
            <w:vAlign w:val="center"/>
          </w:tcPr>
          <w:p>
            <w:pPr>
              <w:pStyle w:val="TableContents"/>
              <w:bidi w:val="0"/>
              <w:spacing w:before="0" w:after="283"/>
              <w:jc w:val="right"/>
              <w:rPr/>
            </w:pPr>
            <w:r>
              <w:rPr/>
              <w:t>168</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r>
          </w:p>
        </w:tc>
        <w:tc>
          <w:tcPr>
            <w:tcW w:w="1124" w:type="dxa"/>
            <w:tcBorders/>
            <w:vAlign w:val="center"/>
          </w:tcPr>
          <w:p>
            <w:pPr>
              <w:pStyle w:val="TableContents"/>
              <w:bidi w:val="0"/>
              <w:spacing w:before="0" w:after="283"/>
              <w:jc w:val="right"/>
              <w:rPr/>
            </w:pPr>
            <w:r>
              <w:rPr/>
              <w:t>223</w:t>
            </w:r>
          </w:p>
        </w:tc>
        <w:tc>
          <w:tcPr>
            <w:tcW w:w="132" w:type="dxa"/>
            <w:tcBorders/>
            <w:vAlign w:val="center"/>
          </w:tcPr>
          <w:p>
            <w:pPr>
              <w:pStyle w:val="TableContents"/>
              <w:bidi w:val="0"/>
              <w:spacing w:before="0" w:after="283"/>
              <w:jc w:val="left"/>
              <w:rPr/>
            </w:pPr>
            <w:r>
              <w:rPr/>
            </w:r>
          </w:p>
        </w:tc>
      </w:tr>
      <w:tr>
        <w:trPr/>
        <w:tc>
          <w:tcPr>
            <w:tcW w:w="7402" w:type="dxa"/>
            <w:tcBorders/>
            <w:shd w:fill="CCEEFF" w:val="clear"/>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Current liabilities related to discontinued operations </w:t>
            </w:r>
          </w:p>
        </w:tc>
        <w:tc>
          <w:tcPr>
            <w:tcW w:w="23" w:type="dxa"/>
            <w:tcBorders/>
            <w:shd w:fill="CCEEFF" w:val="clear"/>
            <w:vAlign w:val="center"/>
          </w:tcPr>
          <w:p>
            <w:pPr>
              <w:pStyle w:val="TableContents"/>
              <w:bidi w:val="0"/>
              <w:spacing w:before="0" w:after="283"/>
              <w:jc w:val="left"/>
              <w:rPr/>
            </w:pPr>
            <w:r>
              <w:rPr/>
            </w:r>
          </w:p>
        </w:tc>
        <w:tc>
          <w:tcPr>
            <w:tcW w:w="226" w:type="dxa"/>
            <w:tcBorders/>
            <w:shd w:fill="CCEEFF" w:val="clear"/>
            <w:vAlign w:val="center"/>
          </w:tcPr>
          <w:p>
            <w:pPr>
              <w:pStyle w:val="TableContents"/>
              <w:bidi w:val="0"/>
              <w:spacing w:before="0" w:after="283"/>
              <w:jc w:val="left"/>
              <w:rPr/>
            </w:pPr>
            <w:r>
              <w:rPr/>
            </w:r>
          </w:p>
        </w:tc>
        <w:tc>
          <w:tcPr>
            <w:tcW w:w="932"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48" w:type="dxa"/>
            <w:tcBorders/>
            <w:shd w:fill="CCEEFF" w:val="clear"/>
            <w:vAlign w:val="center"/>
          </w:tcPr>
          <w:p>
            <w:pPr>
              <w:pStyle w:val="TableContents"/>
              <w:bidi w:val="0"/>
              <w:spacing w:before="0" w:after="283"/>
              <w:jc w:val="left"/>
              <w:rPr/>
            </w:pPr>
            <w:r>
              <w:rPr/>
            </w:r>
          </w:p>
        </w:tc>
        <w:tc>
          <w:tcPr>
            <w:tcW w:w="1124" w:type="dxa"/>
            <w:tcBorders/>
            <w:shd w:fill="CCEEFF" w:val="clear"/>
            <w:vAlign w:val="center"/>
          </w:tcPr>
          <w:p>
            <w:pPr>
              <w:pStyle w:val="TableContents"/>
              <w:bidi w:val="0"/>
              <w:spacing w:before="0" w:after="283"/>
              <w:jc w:val="right"/>
              <w:rPr/>
            </w:pPr>
            <w:r>
              <w:rPr/>
              <w:t>585</w:t>
            </w:r>
          </w:p>
        </w:tc>
        <w:tc>
          <w:tcPr>
            <w:tcW w:w="132" w:type="dxa"/>
            <w:tcBorders/>
            <w:shd w:fill="CCEEFF" w:val="clear"/>
            <w:vAlign w:val="center"/>
          </w:tcPr>
          <w:p>
            <w:pPr>
              <w:pStyle w:val="TableContents"/>
              <w:bidi w:val="0"/>
              <w:spacing w:before="0" w:after="283"/>
              <w:jc w:val="left"/>
              <w:rPr/>
            </w:pPr>
            <w:r>
              <w:rPr/>
            </w:r>
          </w:p>
        </w:tc>
      </w:tr>
      <w:tr>
        <w:trPr/>
        <w:tc>
          <w:tcPr>
            <w:tcW w:w="7402" w:type="dxa"/>
            <w:tcBorders/>
            <w:vAlign w:val="center"/>
          </w:tcPr>
          <w:p>
            <w:pPr>
              <w:pStyle w:val="TableContents"/>
              <w:bidi w:val="0"/>
              <w:spacing w:before="0" w:after="0"/>
              <w:ind w:left="240" w:right="0" w:hanging="0"/>
              <w:jc w:val="left"/>
              <w:rPr/>
            </w:pPr>
            <w:r>
              <w:rPr/>
              <w:t xml:space="preserve">Total current liabilities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875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1,487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 term operating lease liability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169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Long-term liabilities related to discontinued operations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441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1,236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1,485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3,013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left"/>
              <w:rPr/>
            </w:pPr>
            <w:r>
              <w:rPr/>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left"/>
              <w:rPr/>
            </w:pPr>
            <w:r>
              <w:rPr/>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283"/>
              <w:jc w:val="left"/>
              <w:rPr/>
            </w:pPr>
            <w:r>
              <w:rPr>
                <w:rFonts w:ascii="Times New Roman;serif" w:hAnsi="Times New Roman;serif"/>
                <w:color w:val="000000"/>
                <w:sz w:val="20"/>
              </w:rPr>
              <w:t>Class B convertible preferred stock, par value $0.001, 5,100 shares authorized, — and — shares issued and outstanding, respectively</w:t>
            </w:r>
            <w:r>
              <w:rPr/>
              <w:t xml:space="preserve"> </w:t>
            </w:r>
          </w:p>
        </w:tc>
        <w:tc>
          <w:tcPr>
            <w:tcW w:w="23"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932"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r>
          </w:p>
        </w:tc>
        <w:tc>
          <w:tcPr>
            <w:tcW w:w="1124"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 150,000,000 shares authorized, 2,675,412 and 2,237,912 shares issued and outstanding, respectively</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32" w:type="dxa"/>
            <w:tcBorders/>
            <w:shd w:fill="CCEEFF" w:val="clear"/>
            <w:vAlign w:val="center"/>
          </w:tcPr>
          <w:p>
            <w:pPr>
              <w:pStyle w:val="TableContents"/>
              <w:bidi w:val="0"/>
              <w:spacing w:before="0" w:after="0"/>
              <w:ind w:left="0" w:right="0" w:hanging="0"/>
              <w:jc w:val="left"/>
              <w:rPr/>
            </w:pPr>
            <w:r>
              <w:rPr/>
            </w:r>
          </w:p>
        </w:tc>
      </w:tr>
      <w:tr>
        <w:trPr/>
        <w:tc>
          <w:tcPr>
            <w:tcW w:w="74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Additional paid-in capital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37,500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35,767 </w:t>
            </w:r>
          </w:p>
        </w:tc>
        <w:tc>
          <w:tcPr>
            <w:tcW w:w="132" w:type="dxa"/>
            <w:tcBorders/>
            <w:vAlign w:val="center"/>
          </w:tcPr>
          <w:p>
            <w:pPr>
              <w:pStyle w:val="TableContents"/>
              <w:bidi w:val="0"/>
              <w:spacing w:before="0" w:after="0"/>
              <w:ind w:left="0" w:right="0" w:hanging="0"/>
              <w:jc w:val="left"/>
              <w:rPr/>
            </w:pPr>
            <w:r>
              <w:rPr/>
            </w:r>
          </w:p>
        </w:tc>
      </w:tr>
      <w:tr>
        <w:trPr/>
        <w:tc>
          <w:tcPr>
            <w:tcW w:w="7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(340 </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pPr>
            <w:r>
              <w:rPr/>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(36,630</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pPr>
            <w:r>
              <w:rPr/>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(36,143 </w:t>
            </w:r>
          </w:p>
        </w:tc>
        <w:tc>
          <w:tcPr>
            <w:tcW w:w="1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02"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26" w:type="dxa"/>
            <w:tcBorders/>
            <w:shd w:fill="CCEEFF" w:val="clear"/>
            <w:vAlign w:val="center"/>
          </w:tcPr>
          <w:p>
            <w:pPr>
              <w:pStyle w:val="TableContents"/>
              <w:bidi w:val="0"/>
              <w:spacing w:before="0" w:after="0"/>
              <w:ind w:left="0" w:right="0" w:hanging="0"/>
              <w:jc w:val="left"/>
              <w:rPr/>
            </w:pPr>
            <w:r>
              <w:rPr/>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532</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8" w:type="dxa"/>
            <w:tcBorders/>
            <w:shd w:fill="CCEEFF" w:val="clear"/>
            <w:vAlign w:val="center"/>
          </w:tcPr>
          <w:p>
            <w:pPr>
              <w:pStyle w:val="TableContents"/>
              <w:bidi w:val="0"/>
              <w:spacing w:before="0" w:after="0"/>
              <w:ind w:left="0" w:right="0" w:hanging="0"/>
              <w:jc w:val="left"/>
              <w:rPr/>
            </w:pPr>
            <w:r>
              <w:rPr/>
            </w:r>
          </w:p>
        </w:tc>
        <w:tc>
          <w:tcPr>
            <w:tcW w:w="11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w:t>
            </w:r>
          </w:p>
        </w:tc>
        <w:tc>
          <w:tcPr>
            <w:tcW w:w="132" w:type="dxa"/>
            <w:tcBorders/>
            <w:shd w:fill="CCEEFF" w:val="clear"/>
            <w:vAlign w:val="center"/>
          </w:tcPr>
          <w:p>
            <w:pPr>
              <w:pStyle w:val="TableContents"/>
              <w:bidi w:val="0"/>
              <w:spacing w:before="0" w:after="283"/>
              <w:jc w:val="left"/>
              <w:rPr/>
            </w:pPr>
            <w:r>
              <w:rPr/>
              <w:t>)</w:t>
            </w:r>
          </w:p>
        </w:tc>
      </w:tr>
      <w:tr>
        <w:trPr/>
        <w:tc>
          <w:tcPr>
            <w:tcW w:w="7402"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and shareholders' equity </w:t>
            </w:r>
          </w:p>
        </w:tc>
        <w:tc>
          <w:tcPr>
            <w:tcW w:w="23" w:type="dxa"/>
            <w:tcBorders/>
            <w:vAlign w:val="center"/>
          </w:tcPr>
          <w:p>
            <w:pPr>
              <w:pStyle w:val="TableContents"/>
              <w:bidi w:val="0"/>
              <w:spacing w:before="0" w:after="0"/>
              <w:ind w:left="0" w:right="0" w:hanging="0"/>
              <w:jc w:val="left"/>
              <w:rPr/>
            </w:pPr>
            <w:r>
              <w:rPr/>
            </w:r>
          </w:p>
        </w:tc>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3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2,017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2,299</w:t>
            </w:r>
          </w:p>
        </w:tc>
        <w:tc>
          <w:tcPr>
            <w:tcW w:w="132" w:type="dxa"/>
            <w:tcBorders/>
            <w:vAlign w:val="center"/>
          </w:tcPr>
          <w:p>
            <w:pPr>
              <w:pStyle w:val="TableContents"/>
              <w:bidi w:val="0"/>
              <w:spacing w:before="0" w:after="0"/>
              <w:ind w:left="0" w:right="0" w:hanging="0"/>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59" w:name="PageBreakNo3"/>
            <w:bookmarkEnd w:id="59"/>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7">
        <w:bookmarkStart w:id="60" w:name="BD_G3RUEUCU2O00000000000000000000"/>
        <w:bookmarkEnd w:id="60"/>
        <w:r>
          <w:rPr>
            <w:rStyle w:val="InternetLink"/>
            <w:rFonts w:ascii="Times New Roman" w:hAnsi="Times New Roman"/>
            <w:b/>
            <w:strike w:val="false"/>
            <w:dstrike w:val="false"/>
            <w:color w:val="000000"/>
            <w:sz w:val="20"/>
            <w:u w:val="none"/>
            <w:effect w:val="none"/>
          </w:rPr>
          <w:t>UNAUDITED CONDENSED CONSOLIDATED STATEMENTS OF OPERATIONS AND</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COMPREHENSIVE LOSS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481"/>
        <w:gridCol w:w="152"/>
        <w:gridCol w:w="249"/>
        <w:gridCol w:w="1309"/>
        <w:gridCol w:w="176"/>
        <w:gridCol w:w="176"/>
        <w:gridCol w:w="249"/>
        <w:gridCol w:w="1242"/>
        <w:gridCol w:w="171"/>
      </w:tblGrid>
      <w:tr>
        <w:trPr/>
        <w:tc>
          <w:tcPr>
            <w:tcW w:w="6481" w:type="dxa"/>
            <w:tcBorders/>
            <w:vAlign w:val="center"/>
          </w:tcPr>
          <w:p>
            <w:pPr>
              <w:pStyle w:val="TableContents"/>
              <w:bidi w:val="0"/>
              <w:spacing w:before="0" w:after="0"/>
              <w:ind w:left="0" w:right="0" w:hanging="0"/>
              <w:jc w:val="left"/>
              <w:rPr/>
            </w:pPr>
            <w:r>
              <w:rPr/>
              <w:t xml:space="preserve">  </w:t>
            </w:r>
          </w:p>
        </w:tc>
        <w:tc>
          <w:tcPr>
            <w:tcW w:w="152" w:type="dxa"/>
            <w:tcBorders/>
            <w:vAlign w:val="center"/>
          </w:tcPr>
          <w:p>
            <w:pPr>
              <w:pStyle w:val="TableContents"/>
              <w:bidi w:val="0"/>
              <w:spacing w:before="0" w:after="0"/>
              <w:ind w:left="0" w:right="0" w:hanging="0"/>
              <w:jc w:val="left"/>
              <w:rPr/>
            </w:pPr>
            <w:r>
              <w:rPr/>
              <w:t xml:space="preserve">  </w:t>
            </w:r>
          </w:p>
        </w:tc>
        <w:tc>
          <w:tcPr>
            <w:tcW w:w="3401" w:type="dxa"/>
            <w:gridSpan w:val="6"/>
            <w:tcBorders/>
            <w:vAlign w:val="center"/>
          </w:tcPr>
          <w:p>
            <w:pPr>
              <w:pStyle w:val="TableContents"/>
              <w:bidi w:val="0"/>
              <w:spacing w:before="0" w:after="0"/>
              <w:ind w:left="0" w:right="0" w:hanging="0"/>
              <w:jc w:val="center"/>
              <w:rPr>
                <w:rFonts w:ascii="Times New Roman" w:hAnsi="Times New Roman"/>
                <w:b/>
                <w:sz w:val="20"/>
              </w:rPr>
            </w:pPr>
            <w:bookmarkStart w:id="61" w:name="fs_CO1JNMG7C000000000000000000000FM"/>
            <w:bookmarkEnd w:id="61"/>
            <w:r>
              <w:rPr>
                <w:rFonts w:ascii="Times New Roman" w:hAnsi="Times New Roman"/>
                <w:b/>
                <w:sz w:val="20"/>
              </w:rPr>
              <w:t>Three months ended March 31,</w:t>
            </w:r>
            <w:r>
              <w:rPr>
                <w:rFonts w:ascii="Times New Roman" w:hAnsi="Times New Roman"/>
                <w:b/>
                <w:sz w:val="20"/>
              </w:rPr>
              <w:t xml:space="preserve"> </w:t>
            </w:r>
          </w:p>
        </w:tc>
        <w:tc>
          <w:tcPr>
            <w:tcW w:w="171" w:type="dxa"/>
            <w:tcBorders/>
            <w:vAlign w:val="center"/>
          </w:tcPr>
          <w:p>
            <w:pPr>
              <w:pStyle w:val="TableContents"/>
              <w:bidi w:val="0"/>
              <w:spacing w:before="0" w:after="0"/>
              <w:ind w:left="0" w:right="0" w:hanging="0"/>
              <w:jc w:val="left"/>
              <w:rPr/>
            </w:pPr>
            <w:r>
              <w:rPr/>
              <w:t xml:space="preserve">  </w:t>
            </w:r>
          </w:p>
        </w:tc>
      </w:tr>
      <w:tr>
        <w:trPr/>
        <w:tc>
          <w:tcPr>
            <w:tcW w:w="6481" w:type="dxa"/>
            <w:tcBorders/>
            <w:vAlign w:val="center"/>
          </w:tcPr>
          <w:p>
            <w:pPr>
              <w:pStyle w:val="TableContents"/>
              <w:bidi w:val="0"/>
              <w:spacing w:before="0" w:after="0"/>
              <w:ind w:left="0" w:right="0" w:hanging="0"/>
              <w:jc w:val="left"/>
              <w:rPr/>
            </w:pPr>
            <w:r>
              <w:rPr/>
              <w:t xml:space="preserve">  </w:t>
            </w:r>
          </w:p>
        </w:tc>
        <w:tc>
          <w:tcPr>
            <w:tcW w:w="152" w:type="dxa"/>
            <w:tcBorders/>
            <w:vAlign w:val="center"/>
          </w:tcPr>
          <w:p>
            <w:pPr>
              <w:pStyle w:val="TableContents"/>
              <w:bidi w:val="0"/>
              <w:spacing w:before="0" w:after="0"/>
              <w:ind w:left="0" w:right="0" w:hanging="0"/>
              <w:jc w:val="left"/>
              <w:rPr/>
            </w:pPr>
            <w:r>
              <w:rPr/>
              <w:t xml:space="preserve">  </w:t>
            </w:r>
          </w:p>
        </w:tc>
        <w:tc>
          <w:tcPr>
            <w:tcW w:w="1558" w:type="dxa"/>
            <w:gridSpan w:val="2"/>
            <w:tcBorders/>
            <w:vAlign w:val="center"/>
          </w:tcPr>
          <w:p>
            <w:pPr>
              <w:pStyle w:val="TableContents"/>
              <w:bidi w:val="0"/>
              <w:spacing w:before="0" w:after="0"/>
              <w:ind w:left="0" w:right="0" w:hanging="0"/>
              <w:jc w:val="center"/>
              <w:rPr>
                <w:rFonts w:ascii="Times New Roman" w:hAnsi="Times New Roman"/>
                <w:b/>
                <w:sz w:val="20"/>
              </w:rPr>
            </w:pPr>
            <w:bookmarkStart w:id="62" w:name="fs_8X9IJ7ICPS00000000000000000000fs"/>
            <w:bookmarkEnd w:id="62"/>
            <w:r>
              <w:rPr>
                <w:rFonts w:ascii="Times New Roman" w:hAnsi="Times New Roman"/>
                <w:b/>
                <w:sz w:val="20"/>
              </w:rPr>
              <w:t xml:space="preserve">2026 </w:t>
            </w:r>
          </w:p>
        </w:tc>
        <w:tc>
          <w:tcPr>
            <w:tcW w:w="176"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1491" w:type="dxa"/>
            <w:gridSpan w:val="2"/>
            <w:tcBorders/>
            <w:vAlign w:val="center"/>
          </w:tcPr>
          <w:p>
            <w:pPr>
              <w:pStyle w:val="TableContents"/>
              <w:bidi w:val="0"/>
              <w:spacing w:before="0" w:after="0"/>
              <w:ind w:left="0" w:right="0" w:hanging="0"/>
              <w:jc w:val="center"/>
              <w:rPr>
                <w:rFonts w:ascii="Times New Roman" w:hAnsi="Times New Roman"/>
                <w:b/>
                <w:sz w:val="20"/>
              </w:rPr>
            </w:pPr>
            <w:bookmarkStart w:id="63" w:name="fs_3OSQW5H5GG00000000000000000000fs"/>
            <w:bookmarkEnd w:id="63"/>
            <w:r>
              <w:rPr>
                <w:rFonts w:ascii="Times New Roman" w:hAnsi="Times New Roman"/>
                <w:b/>
                <w:sz w:val="20"/>
              </w:rPr>
              <w:t xml:space="preserve">2025 </w:t>
            </w:r>
          </w:p>
        </w:tc>
        <w:tc>
          <w:tcPr>
            <w:tcW w:w="171" w:type="dxa"/>
            <w:tcBorders/>
            <w:vAlign w:val="center"/>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9" w:type="dxa"/>
            <w:tcBorders/>
            <w:shd w:fill="CCEEFF" w:val="clear"/>
            <w:vAlign w:val="bottom"/>
          </w:tcPr>
          <w:p>
            <w:pPr>
              <w:pStyle w:val="TableContents"/>
              <w:bidi w:val="0"/>
              <w:spacing w:before="0" w:after="0"/>
              <w:ind w:left="0" w:right="0" w:hanging="0"/>
              <w:jc w:val="righ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2" w:type="dxa"/>
            <w:tcBorders/>
            <w:shd w:fill="CCEEFF" w:val="clear"/>
            <w:vAlign w:val="bottom"/>
          </w:tcPr>
          <w:p>
            <w:pPr>
              <w:pStyle w:val="TableContents"/>
              <w:bidi w:val="0"/>
              <w:spacing w:before="0" w:after="0"/>
              <w:ind w:left="0" w:right="0" w:hanging="0"/>
              <w:jc w:val="right"/>
              <w:rPr/>
            </w:pPr>
            <w:r>
              <w:rPr/>
              <w:t>—</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70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Gross profit (loss)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76" w:type="dxa"/>
            <w:tcBorders/>
            <w:shd w:fill="CCEEFF" w:val="clear"/>
            <w:vAlign w:val="bottom"/>
          </w:tcPr>
          <w:p>
            <w:pPr>
              <w:pStyle w:val="TableContents"/>
              <w:bidi w:val="0"/>
              <w:spacing w:before="0" w:after="283"/>
              <w:jc w:val="left"/>
              <w:rPr/>
            </w:pPr>
            <w:r>
              <w:rPr/>
              <w:t>)</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bidi w:val="0"/>
              <w:spacing w:before="0" w:after="0"/>
              <w:ind w:left="0" w:right="0" w:hanging="0"/>
              <w:jc w:val="left"/>
              <w:rPr/>
            </w:pPr>
            <w:r>
              <w:rPr/>
              <w:t xml:space="preserv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left"/>
              <w:rPr/>
            </w:pPr>
            <w:r>
              <w:rPr/>
              <w:t xml:space="preserve">  </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pPr>
            <w:r>
              <w:rPr/>
              <w:t>—</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pPr>
            <w:r>
              <w:rPr/>
              <w:t>—</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780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799 </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780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799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pPr>
            <w:r>
              <w:rPr/>
              <w:t xml:space="preserv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left"/>
              <w:rPr/>
            </w:pPr>
            <w:r>
              <w:rPr/>
              <w:t xml:space="preserve">  </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w:t>
            </w:r>
          </w:p>
        </w:tc>
        <w:tc>
          <w:tcPr>
            <w:tcW w:w="176" w:type="dxa"/>
            <w:tcBorders/>
            <w:shd w:fill="CCEEFF" w:val="clear"/>
            <w:vAlign w:val="bottom"/>
          </w:tcPr>
          <w:p>
            <w:pPr>
              <w:pStyle w:val="TableContents"/>
              <w:bidi w:val="0"/>
              <w:spacing w:before="0" w:after="283"/>
              <w:jc w:val="left"/>
              <w:rPr/>
            </w:pPr>
            <w:r>
              <w:rPr/>
              <w:t>)</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bidi w:val="0"/>
              <w:spacing w:before="0" w:after="0"/>
              <w:ind w:left="0" w:right="0" w:hanging="0"/>
              <w:jc w:val="left"/>
              <w:rPr/>
            </w:pPr>
            <w:r>
              <w:rPr/>
              <w:t xml:space="preserv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left"/>
              <w:rPr/>
            </w:pPr>
            <w:r>
              <w:rPr/>
              <w:t xml:space="preserve">  </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283"/>
              <w:jc w:val="left"/>
              <w:rPr/>
            </w:pPr>
            <w:r>
              <w:rPr/>
              <w:t>Interest (expense)</w:t>
            </w:r>
          </w:p>
        </w:tc>
        <w:tc>
          <w:tcPr>
            <w:tcW w:w="152"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309" w:type="dxa"/>
            <w:tcBorders/>
            <w:shd w:fill="CCEEFF" w:val="clear"/>
            <w:vAlign w:val="bottom"/>
          </w:tcPr>
          <w:p>
            <w:pPr>
              <w:pStyle w:val="TableContents"/>
              <w:bidi w:val="0"/>
              <w:spacing w:before="0" w:after="283"/>
              <w:jc w:val="right"/>
              <w:rPr/>
            </w:pPr>
            <w:r>
              <w:rPr/>
              <w:t>—</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242" w:type="dxa"/>
            <w:tcBorders/>
            <w:shd w:fill="CCEEFF" w:val="clear"/>
            <w:vAlign w:val="bottom"/>
          </w:tcPr>
          <w:p>
            <w:pPr>
              <w:pStyle w:val="TableContents"/>
              <w:bidi w:val="0"/>
              <w:spacing w:before="0" w:after="283"/>
              <w:jc w:val="right"/>
              <w:rPr/>
            </w:pPr>
            <w:r>
              <w:rPr/>
              <w:t>—</w:t>
            </w:r>
          </w:p>
        </w:tc>
        <w:tc>
          <w:tcPr>
            <w:tcW w:w="171" w:type="dxa"/>
            <w:tcBorders/>
            <w:shd w:fill="CCEEFF" w:val="clear"/>
            <w:vAlign w:val="bottom"/>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net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pPr>
            <w:r>
              <w:rPr/>
              <w:t>—</w:t>
            </w:r>
          </w:p>
        </w:tc>
        <w:tc>
          <w:tcPr>
            <w:tcW w:w="176"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71"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vAlign w:val="bottom"/>
          </w:tcPr>
          <w:p>
            <w:pPr>
              <w:pStyle w:val="TableContents"/>
              <w:bidi w:val="0"/>
              <w:spacing w:before="0" w:after="0"/>
              <w:ind w:left="0" w:right="0" w:hanging="0"/>
              <w:jc w:val="left"/>
              <w:rPr/>
            </w:pPr>
            <w:r>
              <w:rPr/>
              <w:t xml:space="preserv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before income taxes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w:t>
            </w:r>
          </w:p>
        </w:tc>
        <w:tc>
          <w:tcPr>
            <w:tcW w:w="176" w:type="dxa"/>
            <w:tcBorders/>
            <w:vAlign w:val="bottom"/>
          </w:tcPr>
          <w:p>
            <w:pPr>
              <w:pStyle w:val="TableContents"/>
              <w:bidi w:val="0"/>
              <w:spacing w:before="0" w:after="283"/>
              <w:jc w:val="left"/>
              <w:rPr/>
            </w:pPr>
            <w:r>
              <w:rPr/>
              <w:t>)</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(814</w:t>
            </w:r>
          </w:p>
        </w:tc>
        <w:tc>
          <w:tcPr>
            <w:tcW w:w="171" w:type="dxa"/>
            <w:tcBorders/>
            <w:vAlign w:val="bottom"/>
          </w:tcPr>
          <w:p>
            <w:pPr>
              <w:pStyle w:val="TableContents"/>
              <w:bidi w:val="0"/>
              <w:spacing w:before="0" w:after="283"/>
              <w:jc w:val="left"/>
              <w:rPr/>
            </w:pPr>
            <w:r>
              <w:rPr/>
              <w:t>)</w:t>
            </w:r>
          </w:p>
        </w:tc>
      </w:tr>
      <w:tr>
        <w:trPr/>
        <w:tc>
          <w:tcPr>
            <w:tcW w:w="6481" w:type="dxa"/>
            <w:tcBorders/>
            <w:shd w:fill="CCEEFF" w:val="clear"/>
            <w:vAlign w:val="bottom"/>
          </w:tcPr>
          <w:p>
            <w:pPr>
              <w:pStyle w:val="TableContents"/>
              <w:bidi w:val="0"/>
              <w:spacing w:before="0" w:after="0"/>
              <w:ind w:left="0" w:right="0" w:hanging="0"/>
              <w:jc w:val="left"/>
              <w:rPr/>
            </w:pPr>
            <w:r>
              <w:rPr/>
              <w:t xml:space="preserv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income taxes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pPr>
            <w:r>
              <w:rPr/>
              <w:t>—</w:t>
            </w:r>
          </w:p>
        </w:tc>
        <w:tc>
          <w:tcPr>
            <w:tcW w:w="176"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pPr>
            <w:r>
              <w:rPr/>
              <w:t>—</w:t>
            </w:r>
          </w:p>
        </w:tc>
        <w:tc>
          <w:tcPr>
            <w:tcW w:w="171"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vAlign w:val="bottom"/>
          </w:tcPr>
          <w:p>
            <w:pPr>
              <w:pStyle w:val="TableContents"/>
              <w:bidi w:val="0"/>
              <w:spacing w:before="0" w:after="0"/>
              <w:ind w:left="0" w:right="0" w:hanging="0"/>
              <w:jc w:val="left"/>
              <w:rPr/>
            </w:pPr>
            <w:r>
              <w:rPr/>
              <w:t xml:space="preserv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pPr>
            <w:r>
              <w:rPr/>
              <w:t>Loss from continuing operations</w:t>
            </w:r>
          </w:p>
        </w:tc>
        <w:tc>
          <w:tcPr>
            <w:tcW w:w="152" w:type="dxa"/>
            <w:tcBorders/>
            <w:vAlign w:val="bottom"/>
          </w:tcPr>
          <w:p>
            <w:pPr>
              <w:pStyle w:val="TableContents"/>
              <w:bidi w:val="0"/>
              <w:spacing w:before="0" w:after="283"/>
              <w:ind w:left="0" w:right="0" w:hanging="0"/>
              <w:jc w:val="left"/>
              <w:rPr/>
            </w:pPr>
            <w:r>
              <w:rPr/>
            </w:r>
          </w:p>
        </w:tc>
        <w:tc>
          <w:tcPr>
            <w:tcW w:w="249" w:type="dxa"/>
            <w:tcBorders/>
            <w:vAlign w:val="bottom"/>
          </w:tcPr>
          <w:p>
            <w:pPr>
              <w:pStyle w:val="TableContents"/>
              <w:bidi w:val="0"/>
              <w:spacing w:before="0" w:after="283"/>
              <w:ind w:left="0" w:right="0" w:hanging="0"/>
              <w:jc w:val="left"/>
              <w:rPr/>
            </w:pPr>
            <w:r>
              <w:rPr/>
            </w:r>
          </w:p>
        </w:tc>
        <w:tc>
          <w:tcPr>
            <w:tcW w:w="1309" w:type="dxa"/>
            <w:tcBorders/>
            <w:vAlign w:val="bottom"/>
          </w:tcPr>
          <w:p>
            <w:pPr>
              <w:pStyle w:val="TableContents"/>
              <w:bidi w:val="0"/>
              <w:spacing w:before="0" w:after="0"/>
              <w:ind w:left="0" w:right="0" w:hanging="0"/>
              <w:jc w:val="right"/>
              <w:rPr/>
            </w:pPr>
            <w:r>
              <w:rPr/>
              <w:t>(850</w:t>
            </w:r>
          </w:p>
        </w:tc>
        <w:tc>
          <w:tcPr>
            <w:tcW w:w="176" w:type="dxa"/>
            <w:tcBorders/>
            <w:vAlign w:val="bottom"/>
          </w:tcPr>
          <w:p>
            <w:pPr>
              <w:pStyle w:val="TableContents"/>
              <w:bidi w:val="0"/>
              <w:spacing w:before="0" w:after="0"/>
              <w:ind w:left="0" w:right="0" w:hanging="0"/>
              <w:jc w:val="left"/>
              <w:rPr/>
            </w:pPr>
            <w:r>
              <w:rPr/>
              <w:t>)</w:t>
            </w:r>
          </w:p>
        </w:tc>
        <w:tc>
          <w:tcPr>
            <w:tcW w:w="176" w:type="dxa"/>
            <w:tcBorders/>
            <w:vAlign w:val="bottom"/>
          </w:tcPr>
          <w:p>
            <w:pPr>
              <w:pStyle w:val="TableContents"/>
              <w:bidi w:val="0"/>
              <w:spacing w:before="0" w:after="283"/>
              <w:ind w:left="0" w:right="0" w:hanging="0"/>
              <w:jc w:val="left"/>
              <w:rPr/>
            </w:pPr>
            <w:r>
              <w:rPr/>
            </w:r>
          </w:p>
        </w:tc>
        <w:tc>
          <w:tcPr>
            <w:tcW w:w="249" w:type="dxa"/>
            <w:tcBorders/>
            <w:vAlign w:val="bottom"/>
          </w:tcPr>
          <w:p>
            <w:pPr>
              <w:pStyle w:val="TableContents"/>
              <w:bidi w:val="0"/>
              <w:spacing w:before="0" w:after="283"/>
              <w:ind w:left="0" w:right="0" w:hanging="0"/>
              <w:jc w:val="left"/>
              <w:rPr/>
            </w:pPr>
            <w:r>
              <w:rPr/>
            </w:r>
          </w:p>
        </w:tc>
        <w:tc>
          <w:tcPr>
            <w:tcW w:w="1242" w:type="dxa"/>
            <w:tcBorders/>
            <w:vAlign w:val="bottom"/>
          </w:tcPr>
          <w:p>
            <w:pPr>
              <w:pStyle w:val="TableContents"/>
              <w:bidi w:val="0"/>
              <w:spacing w:before="0" w:after="0"/>
              <w:ind w:left="0" w:right="0" w:hanging="0"/>
              <w:jc w:val="right"/>
              <w:rPr/>
            </w:pPr>
            <w:r>
              <w:rPr/>
              <w:t>(814</w:t>
            </w:r>
          </w:p>
        </w:tc>
        <w:tc>
          <w:tcPr>
            <w:tcW w:w="171" w:type="dxa"/>
            <w:tcBorders/>
            <w:vAlign w:val="bottom"/>
          </w:tcPr>
          <w:p>
            <w:pPr>
              <w:pStyle w:val="TableContents"/>
              <w:bidi w:val="0"/>
              <w:spacing w:before="0" w:after="0"/>
              <w:ind w:left="0" w:right="0" w:hanging="0"/>
              <w:jc w:val="left"/>
              <w:rPr/>
            </w:pPr>
            <w:r>
              <w:rPr/>
              <w:t>)</w:t>
            </w:r>
          </w:p>
        </w:tc>
      </w:tr>
      <w:tr>
        <w:trPr/>
        <w:tc>
          <w:tcPr>
            <w:tcW w:w="6481" w:type="dxa"/>
            <w:tcBorders/>
            <w:shd w:fill="CCEEFF" w:val="clear"/>
            <w:vAlign w:val="bottom"/>
          </w:tcPr>
          <w:p>
            <w:pPr>
              <w:pStyle w:val="TableContents"/>
              <w:bidi w:val="0"/>
              <w:spacing w:before="0" w:after="283"/>
              <w:ind w:left="0" w:right="0" w:hanging="0"/>
              <w:jc w:val="left"/>
              <w:rPr/>
            </w:pPr>
            <w:r>
              <w:rPr/>
            </w:r>
          </w:p>
        </w:tc>
        <w:tc>
          <w:tcPr>
            <w:tcW w:w="152" w:type="dxa"/>
            <w:tcBorders/>
            <w:shd w:fill="CCEEFF" w:val="clear"/>
            <w:vAlign w:val="bottom"/>
          </w:tcPr>
          <w:p>
            <w:pPr>
              <w:pStyle w:val="TableContents"/>
              <w:bidi w:val="0"/>
              <w:spacing w:before="0" w:after="283"/>
              <w:ind w:left="0" w:right="0" w:hanging="0"/>
              <w:jc w:val="left"/>
              <w:rPr/>
            </w:pPr>
            <w:r>
              <w:rPr/>
            </w:r>
          </w:p>
        </w:tc>
        <w:tc>
          <w:tcPr>
            <w:tcW w:w="249" w:type="dxa"/>
            <w:tcBorders/>
            <w:shd w:fill="CCEEFF" w:val="clear"/>
            <w:vAlign w:val="bottom"/>
          </w:tcPr>
          <w:p>
            <w:pPr>
              <w:pStyle w:val="TableContents"/>
              <w:bidi w:val="0"/>
              <w:spacing w:before="0" w:after="283"/>
              <w:ind w:left="0" w:right="0" w:hanging="0"/>
              <w:jc w:val="left"/>
              <w:rPr/>
            </w:pPr>
            <w:r>
              <w:rPr/>
            </w:r>
          </w:p>
        </w:tc>
        <w:tc>
          <w:tcPr>
            <w:tcW w:w="1309" w:type="dxa"/>
            <w:tcBorders/>
            <w:shd w:fill="CCEEFF" w:val="clear"/>
            <w:vAlign w:val="bottom"/>
          </w:tcPr>
          <w:p>
            <w:pPr>
              <w:pStyle w:val="TableContents"/>
              <w:bidi w:val="0"/>
              <w:spacing w:before="0" w:after="283"/>
              <w:ind w:left="0" w:right="0" w:hanging="0"/>
              <w:jc w:val="left"/>
              <w:rPr/>
            </w:pPr>
            <w:r>
              <w:rPr/>
            </w:r>
          </w:p>
        </w:tc>
        <w:tc>
          <w:tcPr>
            <w:tcW w:w="176" w:type="dxa"/>
            <w:tcBorders/>
            <w:shd w:fill="CCEEFF" w:val="clear"/>
            <w:vAlign w:val="bottom"/>
          </w:tcPr>
          <w:p>
            <w:pPr>
              <w:pStyle w:val="TableContents"/>
              <w:bidi w:val="0"/>
              <w:spacing w:before="0" w:after="283"/>
              <w:ind w:left="0" w:right="0" w:hanging="0"/>
              <w:jc w:val="left"/>
              <w:rPr/>
            </w:pPr>
            <w:r>
              <w:rPr/>
            </w:r>
          </w:p>
        </w:tc>
        <w:tc>
          <w:tcPr>
            <w:tcW w:w="176" w:type="dxa"/>
            <w:tcBorders/>
            <w:shd w:fill="CCEEFF" w:val="clear"/>
            <w:vAlign w:val="bottom"/>
          </w:tcPr>
          <w:p>
            <w:pPr>
              <w:pStyle w:val="TableContents"/>
              <w:bidi w:val="0"/>
              <w:spacing w:before="0" w:after="283"/>
              <w:ind w:left="0" w:right="0" w:hanging="0"/>
              <w:jc w:val="left"/>
              <w:rPr/>
            </w:pPr>
            <w:r>
              <w:rPr/>
            </w:r>
          </w:p>
        </w:tc>
        <w:tc>
          <w:tcPr>
            <w:tcW w:w="249" w:type="dxa"/>
            <w:tcBorders/>
            <w:shd w:fill="CCEEFF" w:val="clear"/>
            <w:vAlign w:val="bottom"/>
          </w:tcPr>
          <w:p>
            <w:pPr>
              <w:pStyle w:val="TableContents"/>
              <w:bidi w:val="0"/>
              <w:spacing w:before="0" w:after="283"/>
              <w:ind w:left="0" w:right="0" w:hanging="0"/>
              <w:jc w:val="left"/>
              <w:rPr/>
            </w:pPr>
            <w:r>
              <w:rPr/>
            </w:r>
          </w:p>
        </w:tc>
        <w:tc>
          <w:tcPr>
            <w:tcW w:w="1242" w:type="dxa"/>
            <w:tcBorders/>
            <w:shd w:fill="CCEEFF" w:val="clear"/>
            <w:vAlign w:val="bottom"/>
          </w:tcPr>
          <w:p>
            <w:pPr>
              <w:pStyle w:val="TableContents"/>
              <w:bidi w:val="0"/>
              <w:spacing w:before="0" w:after="283"/>
              <w:ind w:left="0" w:right="0" w:hanging="0"/>
              <w:jc w:val="left"/>
              <w:rPr/>
            </w:pPr>
            <w:r>
              <w:rPr/>
            </w:r>
          </w:p>
        </w:tc>
        <w:tc>
          <w:tcPr>
            <w:tcW w:w="171" w:type="dxa"/>
            <w:tcBorders/>
            <w:shd w:fill="CCEEFF" w:val="clear"/>
            <w:vAlign w:val="bottom"/>
          </w:tcPr>
          <w:p>
            <w:pPr>
              <w:pStyle w:val="TableContents"/>
              <w:bidi w:val="0"/>
              <w:spacing w:before="0" w:after="283"/>
              <w:ind w:left="0" w:right="0" w:hanging="0"/>
              <w:jc w:val="left"/>
              <w:rPr/>
            </w:pPr>
            <w:r>
              <w:rPr/>
            </w:r>
          </w:p>
        </w:tc>
      </w:tr>
      <w:tr>
        <w:trPr/>
        <w:tc>
          <w:tcPr>
            <w:tcW w:w="6481" w:type="dxa"/>
            <w:tcBorders/>
            <w:vAlign w:val="bottom"/>
          </w:tcPr>
          <w:p>
            <w:pPr>
              <w:pStyle w:val="TableContents"/>
              <w:bidi w:val="0"/>
              <w:spacing w:before="0" w:after="0"/>
              <w:ind w:left="0" w:right="0" w:hanging="0"/>
              <w:jc w:val="left"/>
              <w:rPr/>
            </w:pPr>
            <w:r>
              <w:rPr/>
              <w:t>Income (loss) from discontinued operations, net of tax</w:t>
            </w:r>
          </w:p>
        </w:tc>
        <w:tc>
          <w:tcPr>
            <w:tcW w:w="152" w:type="dxa"/>
            <w:tcBorders/>
            <w:vAlign w:val="bottom"/>
          </w:tcPr>
          <w:p>
            <w:pPr>
              <w:pStyle w:val="TableContents"/>
              <w:bidi w:val="0"/>
              <w:spacing w:before="0" w:after="283"/>
              <w:ind w:left="0" w:right="0" w:hanging="0"/>
              <w:jc w:val="left"/>
              <w:rPr/>
            </w:pPr>
            <w:r>
              <w:rPr/>
            </w:r>
          </w:p>
        </w:tc>
        <w:tc>
          <w:tcPr>
            <w:tcW w:w="249" w:type="dxa"/>
            <w:tcBorders/>
            <w:vAlign w:val="bottom"/>
          </w:tcPr>
          <w:p>
            <w:pPr>
              <w:pStyle w:val="TableContents"/>
              <w:bidi w:val="0"/>
              <w:spacing w:before="0" w:after="283"/>
              <w:ind w:left="0" w:right="0" w:hanging="0"/>
              <w:jc w:val="left"/>
              <w:rPr/>
            </w:pPr>
            <w:r>
              <w:rPr/>
            </w:r>
          </w:p>
        </w:tc>
        <w:tc>
          <w:tcPr>
            <w:tcW w:w="1309" w:type="dxa"/>
            <w:tcBorders/>
            <w:vAlign w:val="bottom"/>
          </w:tcPr>
          <w:p>
            <w:pPr>
              <w:pStyle w:val="TableContents"/>
              <w:bidi w:val="0"/>
              <w:spacing w:before="0" w:after="0"/>
              <w:ind w:left="0" w:right="0" w:hanging="0"/>
              <w:jc w:val="right"/>
              <w:rPr/>
            </w:pPr>
            <w:r>
              <w:rPr/>
              <w:t>363</w:t>
            </w:r>
          </w:p>
        </w:tc>
        <w:tc>
          <w:tcPr>
            <w:tcW w:w="176" w:type="dxa"/>
            <w:tcBorders/>
            <w:vAlign w:val="bottom"/>
          </w:tcPr>
          <w:p>
            <w:pPr>
              <w:pStyle w:val="TableContents"/>
              <w:bidi w:val="0"/>
              <w:spacing w:before="0" w:after="283"/>
              <w:ind w:left="0" w:right="0" w:hanging="0"/>
              <w:jc w:val="left"/>
              <w:rPr>
                <w:sz w:val="4"/>
                <w:szCs w:val="4"/>
              </w:rPr>
            </w:pPr>
            <w:r>
              <w:rPr>
                <w:sz w:val="4"/>
                <w:szCs w:val="4"/>
              </w:rPr>
            </w:r>
          </w:p>
        </w:tc>
        <w:tc>
          <w:tcPr>
            <w:tcW w:w="176" w:type="dxa"/>
            <w:tcBorders/>
            <w:vAlign w:val="bottom"/>
          </w:tcPr>
          <w:p>
            <w:pPr>
              <w:pStyle w:val="TableContents"/>
              <w:bidi w:val="0"/>
              <w:spacing w:before="0" w:after="283"/>
              <w:ind w:left="0" w:right="0" w:hanging="0"/>
              <w:jc w:val="left"/>
              <w:rPr/>
            </w:pPr>
            <w:r>
              <w:rPr/>
            </w:r>
          </w:p>
        </w:tc>
        <w:tc>
          <w:tcPr>
            <w:tcW w:w="249" w:type="dxa"/>
            <w:tcBorders/>
            <w:vAlign w:val="bottom"/>
          </w:tcPr>
          <w:p>
            <w:pPr>
              <w:pStyle w:val="TableContents"/>
              <w:bidi w:val="0"/>
              <w:spacing w:before="0" w:after="283"/>
              <w:ind w:left="0" w:right="0" w:hanging="0"/>
              <w:jc w:val="left"/>
              <w:rPr/>
            </w:pPr>
            <w:r>
              <w:rPr/>
            </w:r>
          </w:p>
        </w:tc>
        <w:tc>
          <w:tcPr>
            <w:tcW w:w="1242" w:type="dxa"/>
            <w:tcBorders/>
            <w:vAlign w:val="bottom"/>
          </w:tcPr>
          <w:p>
            <w:pPr>
              <w:pStyle w:val="TableContents"/>
              <w:bidi w:val="0"/>
              <w:spacing w:before="0" w:after="0"/>
              <w:ind w:left="0" w:right="0" w:hanging="0"/>
              <w:jc w:val="right"/>
              <w:rPr/>
            </w:pPr>
            <w:r>
              <w:rPr/>
              <w:t>(2,020</w:t>
            </w:r>
          </w:p>
        </w:tc>
        <w:tc>
          <w:tcPr>
            <w:tcW w:w="171" w:type="dxa"/>
            <w:tcBorders/>
            <w:vAlign w:val="bottom"/>
          </w:tcPr>
          <w:p>
            <w:pPr>
              <w:pStyle w:val="TableContents"/>
              <w:bidi w:val="0"/>
              <w:spacing w:before="0" w:after="0"/>
              <w:ind w:left="0" w:right="0" w:hanging="0"/>
              <w:jc w:val="left"/>
              <w:rPr/>
            </w:pPr>
            <w:r>
              <w:rPr/>
              <w:t>)</w:t>
            </w:r>
          </w:p>
        </w:tc>
      </w:tr>
      <w:tr>
        <w:trPr/>
        <w:tc>
          <w:tcPr>
            <w:tcW w:w="6481" w:type="dxa"/>
            <w:tcBorders/>
            <w:shd w:fill="CCEEFF" w:val="clear"/>
            <w:vAlign w:val="bottom"/>
          </w:tcPr>
          <w:p>
            <w:pPr>
              <w:pStyle w:val="TableContents"/>
              <w:bidi w:val="0"/>
              <w:spacing w:before="0" w:after="283"/>
              <w:ind w:left="0" w:right="0" w:hanging="0"/>
              <w:jc w:val="left"/>
              <w:rPr/>
            </w:pPr>
            <w:r>
              <w:rPr/>
            </w:r>
          </w:p>
        </w:tc>
        <w:tc>
          <w:tcPr>
            <w:tcW w:w="152" w:type="dxa"/>
            <w:tcBorders/>
            <w:shd w:fill="CCEEFF" w:val="clear"/>
            <w:vAlign w:val="bottom"/>
          </w:tcPr>
          <w:p>
            <w:pPr>
              <w:pStyle w:val="TableContents"/>
              <w:bidi w:val="0"/>
              <w:spacing w:before="0" w:after="283"/>
              <w:ind w:left="0" w:right="0" w:hanging="0"/>
              <w:jc w:val="left"/>
              <w:rPr/>
            </w:pPr>
            <w:r>
              <w:rPr/>
            </w:r>
          </w:p>
        </w:tc>
        <w:tc>
          <w:tcPr>
            <w:tcW w:w="249" w:type="dxa"/>
            <w:tcBorders/>
            <w:shd w:fill="CCEEFF" w:val="clear"/>
            <w:vAlign w:val="bottom"/>
          </w:tcPr>
          <w:p>
            <w:pPr>
              <w:pStyle w:val="TableContents"/>
              <w:bidi w:val="0"/>
              <w:spacing w:before="0" w:after="283"/>
              <w:ind w:left="0" w:right="0" w:hanging="0"/>
              <w:jc w:val="left"/>
              <w:rPr/>
            </w:pPr>
            <w:r>
              <w:rPr/>
            </w:r>
          </w:p>
        </w:tc>
        <w:tc>
          <w:tcPr>
            <w:tcW w:w="1309" w:type="dxa"/>
            <w:tcBorders/>
            <w:shd w:fill="CCEEFF" w:val="clear"/>
            <w:vAlign w:val="bottom"/>
          </w:tcPr>
          <w:p>
            <w:pPr>
              <w:pStyle w:val="TableContents"/>
              <w:bidi w:val="0"/>
              <w:spacing w:before="0" w:after="283"/>
              <w:ind w:left="0" w:right="0" w:hanging="0"/>
              <w:jc w:val="left"/>
              <w:rPr/>
            </w:pPr>
            <w:r>
              <w:rPr/>
            </w:r>
          </w:p>
        </w:tc>
        <w:tc>
          <w:tcPr>
            <w:tcW w:w="176" w:type="dxa"/>
            <w:tcBorders/>
            <w:shd w:fill="CCEEFF" w:val="clear"/>
            <w:vAlign w:val="bottom"/>
          </w:tcPr>
          <w:p>
            <w:pPr>
              <w:pStyle w:val="TableContents"/>
              <w:bidi w:val="0"/>
              <w:spacing w:before="0" w:after="283"/>
              <w:ind w:left="0" w:right="0" w:hanging="0"/>
              <w:jc w:val="left"/>
              <w:rPr/>
            </w:pPr>
            <w:r>
              <w:rPr/>
            </w:r>
          </w:p>
        </w:tc>
        <w:tc>
          <w:tcPr>
            <w:tcW w:w="176" w:type="dxa"/>
            <w:tcBorders/>
            <w:shd w:fill="CCEEFF" w:val="clear"/>
            <w:vAlign w:val="bottom"/>
          </w:tcPr>
          <w:p>
            <w:pPr>
              <w:pStyle w:val="TableContents"/>
              <w:bidi w:val="0"/>
              <w:spacing w:before="0" w:after="283"/>
              <w:ind w:left="0" w:right="0" w:hanging="0"/>
              <w:jc w:val="left"/>
              <w:rPr/>
            </w:pPr>
            <w:r>
              <w:rPr/>
            </w:r>
          </w:p>
        </w:tc>
        <w:tc>
          <w:tcPr>
            <w:tcW w:w="249" w:type="dxa"/>
            <w:tcBorders/>
            <w:shd w:fill="CCEEFF" w:val="clear"/>
            <w:vAlign w:val="bottom"/>
          </w:tcPr>
          <w:p>
            <w:pPr>
              <w:pStyle w:val="TableContents"/>
              <w:bidi w:val="0"/>
              <w:spacing w:before="0" w:after="283"/>
              <w:ind w:left="0" w:right="0" w:hanging="0"/>
              <w:jc w:val="left"/>
              <w:rPr/>
            </w:pPr>
            <w:r>
              <w:rPr/>
            </w:r>
          </w:p>
        </w:tc>
        <w:tc>
          <w:tcPr>
            <w:tcW w:w="1242" w:type="dxa"/>
            <w:tcBorders/>
            <w:shd w:fill="CCEEFF" w:val="clear"/>
            <w:vAlign w:val="bottom"/>
          </w:tcPr>
          <w:p>
            <w:pPr>
              <w:pStyle w:val="TableContents"/>
              <w:bidi w:val="0"/>
              <w:spacing w:before="0" w:after="283"/>
              <w:ind w:left="0" w:right="0" w:hanging="0"/>
              <w:jc w:val="left"/>
              <w:rPr/>
            </w:pPr>
            <w:r>
              <w:rPr/>
            </w:r>
          </w:p>
        </w:tc>
        <w:tc>
          <w:tcPr>
            <w:tcW w:w="171" w:type="dxa"/>
            <w:tcBorders/>
            <w:shd w:fill="CCEEFF" w:val="clear"/>
            <w:vAlign w:val="bottom"/>
          </w:tcPr>
          <w:p>
            <w:pPr>
              <w:pStyle w:val="TableContents"/>
              <w:bidi w:val="0"/>
              <w:spacing w:before="0" w:after="283"/>
              <w:ind w:left="0" w:right="0" w:hanging="0"/>
              <w:jc w:val="left"/>
              <w:rPr/>
            </w:pPr>
            <w:r>
              <w:rPr/>
            </w:r>
          </w:p>
        </w:tc>
      </w:tr>
      <w:tr>
        <w:trPr/>
        <w:tc>
          <w:tcPr>
            <w:tcW w:w="6481"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52" w:type="dxa"/>
            <w:tcBorders/>
            <w:vAlign w:val="bottom"/>
          </w:tcPr>
          <w:p>
            <w:pPr>
              <w:pStyle w:val="TableContents"/>
              <w:pBdr/>
              <w:bidi w:val="0"/>
              <w:spacing w:before="0" w:after="0"/>
              <w:ind w:left="0" w:right="0" w:hanging="0"/>
              <w:jc w:val="left"/>
              <w:rPr/>
            </w:pPr>
            <w:r>
              <w:rPr/>
              <w:t xml:space="preserve">  </w:t>
            </w:r>
          </w:p>
        </w:tc>
        <w:tc>
          <w:tcPr>
            <w:tcW w:w="24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9"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(487</w:t>
            </w:r>
          </w:p>
        </w:tc>
        <w:tc>
          <w:tcPr>
            <w:tcW w:w="176" w:type="dxa"/>
            <w:tcBorders/>
            <w:vAlign w:val="bottom"/>
          </w:tcPr>
          <w:p>
            <w:pPr>
              <w:pStyle w:val="TableContents"/>
              <w:bidi w:val="0"/>
              <w:spacing w:before="0" w:after="0"/>
              <w:ind w:left="0" w:right="0" w:hanging="0"/>
              <w:jc w:val="left"/>
              <w:rPr/>
            </w:pPr>
            <w:r>
              <w:rPr/>
              <w:t>)</w:t>
            </w:r>
          </w:p>
        </w:tc>
        <w:tc>
          <w:tcPr>
            <w:tcW w:w="176" w:type="dxa"/>
            <w:tcBorders/>
            <w:vAlign w:val="bottom"/>
          </w:tcPr>
          <w:p>
            <w:pPr>
              <w:pStyle w:val="TableContents"/>
              <w:pBdr/>
              <w:bidi w:val="0"/>
              <w:spacing w:before="0" w:after="0"/>
              <w:ind w:left="0" w:right="0" w:hanging="0"/>
              <w:jc w:val="left"/>
              <w:rPr/>
            </w:pPr>
            <w:r>
              <w:rPr/>
              <w:t xml:space="preserve">  </w:t>
            </w:r>
          </w:p>
        </w:tc>
        <w:tc>
          <w:tcPr>
            <w:tcW w:w="24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2"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(2,834</w:t>
            </w:r>
          </w:p>
        </w:tc>
        <w:tc>
          <w:tcPr>
            <w:tcW w:w="171" w:type="dxa"/>
            <w:tcBorders/>
            <w:vAlign w:val="bottom"/>
          </w:tcPr>
          <w:p>
            <w:pPr>
              <w:pStyle w:val="TableContents"/>
              <w:bidi w:val="0"/>
              <w:spacing w:before="0" w:after="0"/>
              <w:jc w:val="left"/>
              <w:rPr/>
            </w:pPr>
            <w:r>
              <w:rPr/>
              <w:t>)</w:t>
            </w:r>
          </w:p>
        </w:tc>
      </w:tr>
      <w:tr>
        <w:trPr/>
        <w:tc>
          <w:tcPr>
            <w:tcW w:w="6481" w:type="dxa"/>
            <w:tcBorders/>
            <w:shd w:fill="CCEEFF" w:val="clear"/>
            <w:vAlign w:val="bottom"/>
          </w:tcPr>
          <w:p>
            <w:pPr>
              <w:pStyle w:val="TableContents"/>
              <w:bidi w:val="0"/>
              <w:spacing w:before="0" w:after="0"/>
              <w:ind w:left="0" w:right="0" w:hanging="0"/>
              <w:jc w:val="left"/>
              <w:rPr/>
            </w:pPr>
            <w:r>
              <w:rPr/>
              <w:t xml:space="preserv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1,649,904</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2,754,160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1,649,904</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0" w:right="0" w:hanging="0"/>
              <w:jc w:val="left"/>
              <w:rPr/>
            </w:pPr>
            <w:r>
              <w:rPr/>
              <w:t xml:space="preserv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309"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t xml:space="preserve">  </w:t>
            </w:r>
          </w:p>
        </w:tc>
        <w:tc>
          <w:tcPr>
            <w:tcW w:w="1242" w:type="dxa"/>
            <w:tcBorders/>
            <w:vAlign w:val="bottom"/>
          </w:tcPr>
          <w:p>
            <w:pPr>
              <w:pStyle w:val="TableContents"/>
              <w:bidi w:val="0"/>
              <w:spacing w:before="0" w:after="0"/>
              <w:ind w:left="0" w:right="0" w:hanging="0"/>
              <w:jc w:val="left"/>
              <w:rPr/>
            </w:pPr>
            <w:r>
              <w:rPr/>
              <w:t xml:space="preserve">  </w:t>
            </w:r>
          </w:p>
        </w:tc>
        <w:tc>
          <w:tcPr>
            <w:tcW w:w="171" w:type="dxa"/>
            <w:tcBorders/>
            <w:vAlign w:val="bottom"/>
          </w:tcPr>
          <w:p>
            <w:pPr>
              <w:pStyle w:val="TableContents"/>
              <w:bidi w:val="0"/>
              <w:spacing w:before="0" w:after="0"/>
              <w:ind w:left="0" w:right="0" w:hanging="0"/>
              <w:jc w:val="left"/>
              <w:rPr/>
            </w:pPr>
            <w:r>
              <w:rPr/>
              <w:t xml:space="preserve">  </w:t>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share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r>
          </w:p>
        </w:tc>
        <w:tc>
          <w:tcPr>
            <w:tcW w:w="1309" w:type="dxa"/>
            <w:tcBorders/>
            <w:shd w:fill="CCEEFF" w:val="clear"/>
            <w:vAlign w:val="bottom"/>
          </w:tcPr>
          <w:p>
            <w:pPr>
              <w:pStyle w:val="TableContents"/>
              <w:bidi w:val="0"/>
              <w:spacing w:before="0" w:after="0"/>
              <w:ind w:left="0" w:right="0" w:hanging="0"/>
              <w:jc w:val="right"/>
              <w:rPr/>
            </w:pPr>
            <w:r>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r>
          </w:p>
        </w:tc>
        <w:tc>
          <w:tcPr>
            <w:tcW w:w="1242" w:type="dxa"/>
            <w:tcBorders/>
            <w:shd w:fill="CCEEFF" w:val="clear"/>
            <w:vAlign w:val="bottom"/>
          </w:tcPr>
          <w:p>
            <w:pPr>
              <w:pStyle w:val="TableContents"/>
              <w:bidi w:val="0"/>
              <w:spacing w:before="0" w:after="0"/>
              <w:ind w:left="0" w:right="0" w:hanging="0"/>
              <w:jc w:val="right"/>
              <w:rPr/>
            </w:pPr>
            <w:r>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283"/>
              <w:jc w:val="left"/>
              <w:rPr/>
            </w:pPr>
            <w:r>
              <w:rPr/>
              <w:t xml:space="preserve">    </w:t>
            </w:r>
            <w:r>
              <w:rPr/>
              <w:t>From continuing operations</w:t>
            </w:r>
          </w:p>
        </w:tc>
        <w:tc>
          <w:tcPr>
            <w:tcW w:w="152"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(0.36</w:t>
            </w:r>
          </w:p>
        </w:tc>
        <w:tc>
          <w:tcPr>
            <w:tcW w:w="176" w:type="dxa"/>
            <w:tcBorders/>
            <w:vAlign w:val="bottom"/>
          </w:tcPr>
          <w:p>
            <w:pPr>
              <w:pStyle w:val="TableContents"/>
              <w:bidi w:val="0"/>
              <w:spacing w:before="0" w:after="283"/>
              <w:jc w:val="left"/>
              <w:rPr/>
            </w:pPr>
            <w:r>
              <w:rPr/>
              <w:t>)</w:t>
            </w:r>
          </w:p>
        </w:tc>
        <w:tc>
          <w:tcPr>
            <w:tcW w:w="176"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(0.49</w:t>
            </w:r>
          </w:p>
        </w:tc>
        <w:tc>
          <w:tcPr>
            <w:tcW w:w="171" w:type="dxa"/>
            <w:tcBorders/>
            <w:vAlign w:val="bottom"/>
          </w:tcPr>
          <w:p>
            <w:pPr>
              <w:pStyle w:val="TableContents"/>
              <w:bidi w:val="0"/>
              <w:spacing w:before="0" w:after="283"/>
              <w:jc w:val="left"/>
              <w:rPr/>
            </w:pPr>
            <w:r>
              <w:rPr/>
              <w:t>)</w:t>
            </w:r>
          </w:p>
        </w:tc>
      </w:tr>
      <w:tr>
        <w:trPr/>
        <w:tc>
          <w:tcPr>
            <w:tcW w:w="6481" w:type="dxa"/>
            <w:tcBorders/>
            <w:shd w:fill="CCEEFF" w:val="clear"/>
            <w:vAlign w:val="bottom"/>
          </w:tcPr>
          <w:p>
            <w:pPr>
              <w:pStyle w:val="TableContents"/>
              <w:bidi w:val="0"/>
              <w:spacing w:before="0" w:after="283"/>
              <w:jc w:val="left"/>
              <w:rPr/>
            </w:pPr>
            <w:r>
              <w:rPr/>
              <w:t xml:space="preserve">    </w:t>
            </w:r>
            <w:r>
              <w:rPr/>
              <w:t>From discontinued operations</w:t>
            </w:r>
          </w:p>
        </w:tc>
        <w:tc>
          <w:tcPr>
            <w:tcW w:w="152"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309" w:type="dxa"/>
            <w:tcBorders/>
            <w:shd w:fill="CCEEFF" w:val="clear"/>
            <w:vAlign w:val="bottom"/>
          </w:tcPr>
          <w:p>
            <w:pPr>
              <w:pStyle w:val="TableContents"/>
              <w:bidi w:val="0"/>
              <w:spacing w:before="0" w:after="283"/>
              <w:jc w:val="right"/>
              <w:rPr/>
            </w:pPr>
            <w:r>
              <w:rPr/>
              <w:t>0.15</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242" w:type="dxa"/>
            <w:tcBorders/>
            <w:shd w:fill="CCEEFF" w:val="clear"/>
            <w:vAlign w:val="bottom"/>
          </w:tcPr>
          <w:p>
            <w:pPr>
              <w:pStyle w:val="TableContents"/>
              <w:bidi w:val="0"/>
              <w:spacing w:before="0" w:after="283"/>
              <w:jc w:val="right"/>
              <w:rPr/>
            </w:pPr>
            <w:r>
              <w:rPr/>
              <w:t>(1.22</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bidi w:val="0"/>
              <w:spacing w:before="0" w:after="283"/>
              <w:jc w:val="left"/>
              <w:rPr/>
            </w:pPr>
            <w:r>
              <w:rPr/>
              <w:t>Total</w:t>
            </w:r>
          </w:p>
        </w:tc>
        <w:tc>
          <w:tcPr>
            <w:tcW w:w="152"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309" w:type="dxa"/>
            <w:tcBorders/>
            <w:vAlign w:val="bottom"/>
          </w:tcPr>
          <w:p>
            <w:pPr>
              <w:pStyle w:val="TableContents"/>
              <w:bidi w:val="0"/>
              <w:spacing w:before="0" w:after="283"/>
              <w:jc w:val="right"/>
              <w:rPr/>
            </w:pPr>
            <w:r>
              <w:rPr/>
              <w:t>(0.21</w:t>
            </w:r>
          </w:p>
        </w:tc>
        <w:tc>
          <w:tcPr>
            <w:tcW w:w="176" w:type="dxa"/>
            <w:tcBorders/>
            <w:vAlign w:val="bottom"/>
          </w:tcPr>
          <w:p>
            <w:pPr>
              <w:pStyle w:val="TableContents"/>
              <w:bidi w:val="0"/>
              <w:spacing w:before="0" w:after="283"/>
              <w:jc w:val="left"/>
              <w:rPr/>
            </w:pPr>
            <w:r>
              <w:rPr/>
              <w:t>)</w:t>
            </w:r>
          </w:p>
        </w:tc>
        <w:tc>
          <w:tcPr>
            <w:tcW w:w="176"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242" w:type="dxa"/>
            <w:tcBorders/>
            <w:vAlign w:val="bottom"/>
          </w:tcPr>
          <w:p>
            <w:pPr>
              <w:pStyle w:val="TableContents"/>
              <w:bidi w:val="0"/>
              <w:spacing w:before="0" w:after="283"/>
              <w:jc w:val="right"/>
              <w:rPr/>
            </w:pPr>
            <w:r>
              <w:rPr/>
              <w:t>(1.71</w:t>
            </w:r>
          </w:p>
        </w:tc>
        <w:tc>
          <w:tcPr>
            <w:tcW w:w="171" w:type="dxa"/>
            <w:tcBorders/>
            <w:vAlign w:val="bottom"/>
          </w:tcPr>
          <w:p>
            <w:pPr>
              <w:pStyle w:val="TableContents"/>
              <w:bidi w:val="0"/>
              <w:spacing w:before="0" w:after="283"/>
              <w:jc w:val="left"/>
              <w:rPr/>
            </w:pPr>
            <w:r>
              <w:rPr/>
              <w:t>)</w:t>
            </w:r>
          </w:p>
        </w:tc>
      </w:tr>
      <w:tr>
        <w:trPr/>
        <w:tc>
          <w:tcPr>
            <w:tcW w:w="6481" w:type="dxa"/>
            <w:tcBorders/>
            <w:shd w:fill="CCEEFF" w:val="clear"/>
            <w:vAlign w:val="bottom"/>
          </w:tcPr>
          <w:p>
            <w:pPr>
              <w:pStyle w:val="TableContents"/>
              <w:bidi w:val="0"/>
              <w:spacing w:before="0" w:after="283"/>
              <w:jc w:val="left"/>
              <w:rPr/>
            </w:pPr>
            <w:r>
              <w:rPr/>
            </w:r>
          </w:p>
        </w:tc>
        <w:tc>
          <w:tcPr>
            <w:tcW w:w="152"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309" w:type="dxa"/>
            <w:tcBorders/>
            <w:shd w:fill="CCEEFF" w:val="clear"/>
            <w:vAlign w:val="bottom"/>
          </w:tcPr>
          <w:p>
            <w:pPr>
              <w:pStyle w:val="TableContents"/>
              <w:bidi w:val="0"/>
              <w:spacing w:before="0" w:after="283"/>
              <w:jc w:val="left"/>
              <w:rPr/>
            </w:pPr>
            <w:r>
              <w:rPr/>
            </w:r>
          </w:p>
        </w:tc>
        <w:tc>
          <w:tcPr>
            <w:tcW w:w="176" w:type="dxa"/>
            <w:tcBorders/>
            <w:shd w:fill="CCEEFF" w:val="clear"/>
            <w:vAlign w:val="bottom"/>
          </w:tcPr>
          <w:p>
            <w:pPr>
              <w:pStyle w:val="TableContents"/>
              <w:bidi w:val="0"/>
              <w:spacing w:before="0" w:after="283"/>
              <w:jc w:val="left"/>
              <w:rPr/>
            </w:pPr>
            <w:r>
              <w:rPr/>
            </w:r>
          </w:p>
        </w:tc>
        <w:tc>
          <w:tcPr>
            <w:tcW w:w="176"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r>
          </w:p>
        </w:tc>
        <w:tc>
          <w:tcPr>
            <w:tcW w:w="1242" w:type="dxa"/>
            <w:tcBorders/>
            <w:shd w:fill="CCEEFF" w:val="clear"/>
            <w:vAlign w:val="bottom"/>
          </w:tcPr>
          <w:p>
            <w:pPr>
              <w:pStyle w:val="TableContents"/>
              <w:bidi w:val="0"/>
              <w:spacing w:before="0" w:after="283"/>
              <w:jc w:val="left"/>
              <w:rPr/>
            </w:pPr>
            <w:r>
              <w:rPr/>
            </w:r>
          </w:p>
        </w:tc>
        <w:tc>
          <w:tcPr>
            <w:tcW w:w="171" w:type="dxa"/>
            <w:tcBorders/>
            <w:shd w:fill="CCEEFF" w:val="clear"/>
            <w:vAlign w:val="bottom"/>
          </w:tcPr>
          <w:p>
            <w:pPr>
              <w:pStyle w:val="TableContents"/>
              <w:bidi w:val="0"/>
              <w:spacing w:before="0" w:after="283"/>
              <w:jc w:val="left"/>
              <w:rPr/>
            </w:pPr>
            <w:r>
              <w:rPr/>
            </w:r>
          </w:p>
        </w:tc>
      </w:tr>
      <w:tr>
        <w:trPr/>
        <w:tc>
          <w:tcPr>
            <w:tcW w:w="6481" w:type="dxa"/>
            <w:tcBorders/>
            <w:vAlign w:val="bottom"/>
          </w:tcPr>
          <w:p>
            <w:pPr>
              <w:pStyle w:val="TableContents"/>
              <w:widowControl/>
              <w:bidi w:val="0"/>
              <w:spacing w:before="0" w:after="0"/>
              <w:ind w:left="0" w:right="0" w:hanging="0"/>
              <w:jc w:val="left"/>
              <w:rPr>
                <w:rFonts w:ascii="Times New Roman" w:hAnsi="Times New Roman"/>
                <w:sz w:val="20"/>
              </w:rPr>
            </w:pPr>
            <w:r>
              <w:rPr>
                <w:rFonts w:ascii="Times New Roman" w:hAnsi="Times New Roman"/>
                <w:sz w:val="20"/>
              </w:rPr>
              <w:t>Diluted </w:t>
            </w:r>
            <w:r>
              <w:rPr>
                <w:rFonts w:ascii="Times New Roman" w:hAnsi="Times New Roman"/>
                <w:b w:val="false"/>
                <w:i w:val="false"/>
                <w:caps w:val="false"/>
                <w:smallCaps w:val="false"/>
                <w:color w:val="000000"/>
                <w:spacing w:val="0"/>
                <w:sz w:val="20"/>
              </w:rPr>
              <w:t>income (loss)</w:t>
            </w:r>
            <w:r>
              <w:rPr>
                <w:rFonts w:ascii="Times New Roman" w:hAnsi="Times New Roman"/>
                <w:sz w:val="20"/>
              </w:rPr>
              <w:t xml:space="preserve"> per share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r>
          </w:p>
        </w:tc>
        <w:tc>
          <w:tcPr>
            <w:tcW w:w="1309" w:type="dxa"/>
            <w:tcBorders/>
            <w:vAlign w:val="bottom"/>
          </w:tcPr>
          <w:p>
            <w:pPr>
              <w:pStyle w:val="TableContents"/>
              <w:bidi w:val="0"/>
              <w:spacing w:before="0" w:after="0"/>
              <w:ind w:left="0" w:right="0" w:hanging="0"/>
              <w:jc w:val="left"/>
              <w:rPr/>
            </w:pPr>
            <w:r>
              <w:rPr/>
            </w:r>
          </w:p>
        </w:tc>
        <w:tc>
          <w:tcPr>
            <w:tcW w:w="176"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pPr>
            <w:r>
              <w:rPr/>
            </w:r>
          </w:p>
        </w:tc>
        <w:tc>
          <w:tcPr>
            <w:tcW w:w="1242" w:type="dxa"/>
            <w:tcBorders/>
            <w:vAlign w:val="bottom"/>
          </w:tcPr>
          <w:p>
            <w:pPr>
              <w:pStyle w:val="TableContents"/>
              <w:bidi w:val="0"/>
              <w:spacing w:before="0" w:after="0"/>
              <w:ind w:left="0" w:right="0" w:hanging="0"/>
              <w:jc w:val="left"/>
              <w:rPr/>
            </w:pPr>
            <w:r>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6481" w:type="dxa"/>
            <w:tcBorders/>
            <w:shd w:fill="CCEEFF" w:val="clear"/>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continuing operations</w:t>
            </w:r>
          </w:p>
        </w:tc>
        <w:tc>
          <w:tcPr>
            <w:tcW w:w="152"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(0.31</w:t>
            </w:r>
          </w:p>
        </w:tc>
        <w:tc>
          <w:tcPr>
            <w:tcW w:w="176" w:type="dxa"/>
            <w:tcBorders/>
            <w:shd w:fill="CCEEFF" w:val="clear"/>
            <w:vAlign w:val="bottom"/>
          </w:tcPr>
          <w:p>
            <w:pPr>
              <w:pStyle w:val="TableContents"/>
              <w:bidi w:val="0"/>
              <w:spacing w:before="0" w:after="283"/>
              <w:jc w:val="left"/>
              <w:rPr/>
            </w:pPr>
            <w:r>
              <w:rPr/>
              <w:t>)</w:t>
            </w:r>
          </w:p>
        </w:tc>
        <w:tc>
          <w:tcPr>
            <w:tcW w:w="176" w:type="dxa"/>
            <w:tcBorders/>
            <w:shd w:fill="CCEEFF" w:val="clear"/>
            <w:vAlign w:val="bottom"/>
          </w:tcPr>
          <w:p>
            <w:pPr>
              <w:pStyle w:val="TableContents"/>
              <w:bidi w:val="0"/>
              <w:spacing w:before="0" w:after="283"/>
              <w:jc w:val="left"/>
              <w:rPr/>
            </w:pPr>
            <w:r>
              <w:rPr/>
            </w:r>
          </w:p>
        </w:tc>
        <w:tc>
          <w:tcPr>
            <w:tcW w:w="249"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(0.49</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discontinued operations</w:t>
            </w:r>
          </w:p>
        </w:tc>
        <w:tc>
          <w:tcPr>
            <w:tcW w:w="152"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309" w:type="dxa"/>
            <w:tcBorders/>
            <w:vAlign w:val="bottom"/>
          </w:tcPr>
          <w:p>
            <w:pPr>
              <w:pStyle w:val="TableContents"/>
              <w:bidi w:val="0"/>
              <w:spacing w:before="0" w:after="283"/>
              <w:jc w:val="right"/>
              <w:rPr/>
            </w:pPr>
            <w:r>
              <w:rPr/>
              <w:t>0.13</w:t>
            </w:r>
          </w:p>
        </w:tc>
        <w:tc>
          <w:tcPr>
            <w:tcW w:w="176"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242" w:type="dxa"/>
            <w:tcBorders/>
            <w:vAlign w:val="bottom"/>
          </w:tcPr>
          <w:p>
            <w:pPr>
              <w:pStyle w:val="TableContents"/>
              <w:bidi w:val="0"/>
              <w:spacing w:before="0" w:after="283"/>
              <w:jc w:val="right"/>
              <w:rPr/>
            </w:pPr>
            <w:r>
              <w:rPr/>
              <w:t>(1.22</w:t>
            </w:r>
          </w:p>
        </w:tc>
        <w:tc>
          <w:tcPr>
            <w:tcW w:w="171" w:type="dxa"/>
            <w:tcBorders/>
            <w:vAlign w:val="bottom"/>
          </w:tcPr>
          <w:p>
            <w:pPr>
              <w:pStyle w:val="TableContents"/>
              <w:bidi w:val="0"/>
              <w:spacing w:before="0" w:after="283"/>
              <w:jc w:val="left"/>
              <w:rPr/>
            </w:pPr>
            <w:r>
              <w:rPr/>
              <w:t>)</w:t>
            </w:r>
          </w:p>
        </w:tc>
      </w:tr>
      <w:tr>
        <w:trPr/>
        <w:tc>
          <w:tcPr>
            <w:tcW w:w="6481" w:type="dxa"/>
            <w:tcBorders/>
            <w:shd w:fill="CCEEFF" w:val="clear"/>
            <w:vAlign w:val="bottom"/>
          </w:tcPr>
          <w:p>
            <w:pPr>
              <w:pStyle w:val="TableContents"/>
              <w:bidi w:val="0"/>
              <w:spacing w:before="0" w:after="0"/>
              <w:ind w:left="0" w:right="0" w:hanging="0"/>
              <w:jc w:val="left"/>
              <w:rPr/>
            </w:pPr>
            <w:r>
              <w:rPr/>
              <w:t>Total</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p>
        </w:tc>
        <w:tc>
          <w:tcPr>
            <w:tcW w:w="176" w:type="dxa"/>
            <w:tcBorders/>
            <w:shd w:fill="CCEEFF" w:val="clear"/>
            <w:vAlign w:val="bottom"/>
          </w:tcPr>
          <w:p>
            <w:pPr>
              <w:pStyle w:val="TableContents"/>
              <w:bidi w:val="0"/>
              <w:spacing w:before="0" w:after="283"/>
              <w:jc w:val="left"/>
              <w:rPr/>
            </w:pPr>
            <w:r>
              <w:rPr/>
              <w:t>)</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bidi w:val="0"/>
              <w:spacing w:before="0" w:after="283"/>
              <w:jc w:val="left"/>
              <w:rPr/>
            </w:pPr>
            <w:r>
              <w:rPr/>
            </w:r>
          </w:p>
        </w:tc>
        <w:tc>
          <w:tcPr>
            <w:tcW w:w="152"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309" w:type="dxa"/>
            <w:tcBorders/>
            <w:vAlign w:val="bottom"/>
          </w:tcPr>
          <w:p>
            <w:pPr>
              <w:pStyle w:val="TableContents"/>
              <w:bidi w:val="0"/>
              <w:spacing w:before="0" w:after="283"/>
              <w:jc w:val="left"/>
              <w:rPr/>
            </w:pPr>
            <w:r>
              <w:rPr/>
            </w:r>
          </w:p>
        </w:tc>
        <w:tc>
          <w:tcPr>
            <w:tcW w:w="176" w:type="dxa"/>
            <w:tcBorders/>
            <w:vAlign w:val="bottom"/>
          </w:tcPr>
          <w:p>
            <w:pPr>
              <w:pStyle w:val="TableContents"/>
              <w:bidi w:val="0"/>
              <w:spacing w:before="0" w:after="283"/>
              <w:jc w:val="left"/>
              <w:rPr/>
            </w:pPr>
            <w:r>
              <w:rPr/>
            </w:r>
          </w:p>
        </w:tc>
        <w:tc>
          <w:tcPr>
            <w:tcW w:w="176" w:type="dxa"/>
            <w:tcBorders/>
            <w:vAlign w:val="bottom"/>
          </w:tcPr>
          <w:p>
            <w:pPr>
              <w:pStyle w:val="TableContents"/>
              <w:bidi w:val="0"/>
              <w:spacing w:before="0" w:after="283"/>
              <w:jc w:val="left"/>
              <w:rPr/>
            </w:pPr>
            <w:r>
              <w:rPr/>
            </w:r>
          </w:p>
        </w:tc>
        <w:tc>
          <w:tcPr>
            <w:tcW w:w="249" w:type="dxa"/>
            <w:tcBorders/>
            <w:vAlign w:val="bottom"/>
          </w:tcPr>
          <w:p>
            <w:pPr>
              <w:pStyle w:val="TableContents"/>
              <w:bidi w:val="0"/>
              <w:spacing w:before="0" w:after="283"/>
              <w:jc w:val="left"/>
              <w:rPr/>
            </w:pPr>
            <w:r>
              <w:rPr/>
            </w:r>
          </w:p>
        </w:tc>
        <w:tc>
          <w:tcPr>
            <w:tcW w:w="1242" w:type="dxa"/>
            <w:tcBorders/>
            <w:vAlign w:val="bottom"/>
          </w:tcPr>
          <w:p>
            <w:pPr>
              <w:pStyle w:val="TableContents"/>
              <w:bidi w:val="0"/>
              <w:spacing w:before="0" w:after="283"/>
              <w:jc w:val="left"/>
              <w:rPr/>
            </w:pPr>
            <w:r>
              <w:rPr/>
            </w:r>
          </w:p>
        </w:tc>
        <w:tc>
          <w:tcPr>
            <w:tcW w:w="171" w:type="dxa"/>
            <w:tcBorders/>
            <w:vAlign w:val="bottom"/>
          </w:tcPr>
          <w:p>
            <w:pPr>
              <w:pStyle w:val="TableContents"/>
              <w:bidi w:val="0"/>
              <w:spacing w:before="0" w:after="283"/>
              <w:jc w:val="left"/>
              <w:rPr/>
            </w:pPr>
            <w:r>
              <w:rPr/>
            </w:r>
          </w:p>
        </w:tc>
      </w:tr>
      <w:tr>
        <w:trPr/>
        <w:tc>
          <w:tcPr>
            <w:tcW w:w="648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left"/>
              <w:rPr/>
            </w:pPr>
            <w:r>
              <w:rPr/>
              <w:t xml:space="preserve">  </w:t>
            </w:r>
          </w:p>
        </w:tc>
        <w:tc>
          <w:tcPr>
            <w:tcW w:w="171" w:type="dxa"/>
            <w:tcBorders/>
            <w:shd w:fill="CCEEFF" w:val="clear"/>
            <w:vAlign w:val="bottom"/>
          </w:tcPr>
          <w:p>
            <w:pPr>
              <w:pStyle w:val="TableContents"/>
              <w:bidi w:val="0"/>
              <w:spacing w:before="0" w:after="0"/>
              <w:ind w:left="0" w:right="0" w:hanging="0"/>
              <w:jc w:val="left"/>
              <w:rPr/>
            </w:pPr>
            <w:r>
              <w:rPr/>
              <w:t xml:space="preserve">  </w:t>
            </w:r>
          </w:p>
        </w:tc>
      </w:tr>
      <w:tr>
        <w:trPr/>
        <w:tc>
          <w:tcPr>
            <w:tcW w:w="6481"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Net loss </w:t>
            </w:r>
          </w:p>
        </w:tc>
        <w:tc>
          <w:tcPr>
            <w:tcW w:w="152"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w:t>
            </w:r>
          </w:p>
        </w:tc>
        <w:tc>
          <w:tcPr>
            <w:tcW w:w="176" w:type="dxa"/>
            <w:tcBorders/>
            <w:vAlign w:val="bottom"/>
          </w:tcPr>
          <w:p>
            <w:pPr>
              <w:pStyle w:val="TableContents"/>
              <w:bidi w:val="0"/>
              <w:spacing w:before="0" w:after="283"/>
              <w:jc w:val="left"/>
              <w:rPr/>
            </w:pPr>
            <w:r>
              <w:rPr/>
              <w:t>)</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(2,834</w:t>
            </w:r>
          </w:p>
        </w:tc>
        <w:tc>
          <w:tcPr>
            <w:tcW w:w="171" w:type="dxa"/>
            <w:tcBorders/>
            <w:vAlign w:val="bottom"/>
          </w:tcPr>
          <w:p>
            <w:pPr>
              <w:pStyle w:val="TableContents"/>
              <w:bidi w:val="0"/>
              <w:spacing w:before="0" w:after="283"/>
              <w:jc w:val="left"/>
              <w:rPr/>
            </w:pPr>
            <w:r>
              <w:rPr/>
              <w:t>)</w:t>
            </w:r>
          </w:p>
        </w:tc>
      </w:tr>
      <w:tr>
        <w:trPr/>
        <w:tc>
          <w:tcPr>
            <w:tcW w:w="6481"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52"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309" w:type="dxa"/>
            <w:tcBorders/>
            <w:shd w:fill="CCEEFF" w:val="clear"/>
            <w:vAlign w:val="bottom"/>
          </w:tcPr>
          <w:p>
            <w:pPr>
              <w:pStyle w:val="TableContents"/>
              <w:bidi w:val="0"/>
              <w:spacing w:before="0" w:after="0"/>
              <w:ind w:left="0" w:right="0" w:hanging="0"/>
              <w:jc w:val="right"/>
              <w:rPr>
                <w:rFonts w:ascii="Times New Roman" w:hAnsi="Times New Roman"/>
              </w:rPr>
            </w:pPr>
            <w:r>
              <w:rPr>
                <w:rFonts w:ascii="Times New Roman" w:hAnsi="Times New Roman"/>
              </w:rPr>
              <w:t>(10</w:t>
            </w:r>
          </w:p>
        </w:tc>
        <w:tc>
          <w:tcPr>
            <w:tcW w:w="176" w:type="dxa"/>
            <w:tcBorders/>
            <w:shd w:fill="CCEEFF" w:val="clear"/>
            <w:vAlign w:val="bottom"/>
          </w:tcPr>
          <w:p>
            <w:pPr>
              <w:pStyle w:val="TableContents"/>
              <w:bidi w:val="0"/>
              <w:spacing w:before="0" w:after="283"/>
              <w:jc w:val="left"/>
              <w:rPr/>
            </w:pPr>
            <w:r>
              <w:rPr/>
              <w:t>)</w:t>
            </w:r>
          </w:p>
        </w:tc>
        <w:tc>
          <w:tcPr>
            <w:tcW w:w="176" w:type="dxa"/>
            <w:tcBorders/>
            <w:shd w:fill="CCEEFF" w:val="clear"/>
            <w:vAlign w:val="bottom"/>
          </w:tcPr>
          <w:p>
            <w:pPr>
              <w:pStyle w:val="TableContents"/>
              <w:bidi w:val="0"/>
              <w:spacing w:before="0" w:after="0"/>
              <w:ind w:left="0" w:right="0" w:hanging="0"/>
              <w:jc w:val="left"/>
              <w:rPr/>
            </w:pPr>
            <w:r>
              <w:rPr/>
              <w:t xml:space="preserve">  </w:t>
            </w:r>
          </w:p>
        </w:tc>
        <w:tc>
          <w:tcPr>
            <w:tcW w:w="249" w:type="dxa"/>
            <w:tcBorders/>
            <w:shd w:fill="CCEEFF" w:val="clear"/>
            <w:vAlign w:val="bottom"/>
          </w:tcPr>
          <w:p>
            <w:pPr>
              <w:pStyle w:val="TableContents"/>
              <w:bidi w:val="0"/>
              <w:spacing w:before="0" w:after="0"/>
              <w:ind w:left="0" w:right="0" w:hanging="0"/>
              <w:jc w:val="left"/>
              <w:rPr/>
            </w:pPr>
            <w:r>
              <w:rPr/>
              <w:t xml:space="preserve">  </w:t>
            </w:r>
          </w:p>
        </w:tc>
        <w:tc>
          <w:tcPr>
            <w:tcW w:w="124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171" w:type="dxa"/>
            <w:tcBorders/>
            <w:shd w:fill="CCEEFF" w:val="clear"/>
            <w:vAlign w:val="bottom"/>
          </w:tcPr>
          <w:p>
            <w:pPr>
              <w:pStyle w:val="TableContents"/>
              <w:bidi w:val="0"/>
              <w:spacing w:before="0" w:after="283"/>
              <w:jc w:val="left"/>
              <w:rPr/>
            </w:pPr>
            <w:r>
              <w:rPr/>
              <w:t>)</w:t>
            </w:r>
          </w:p>
        </w:tc>
      </w:tr>
      <w:tr>
        <w:trPr/>
        <w:tc>
          <w:tcPr>
            <w:tcW w:w="648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52" w:type="dxa"/>
            <w:tcBorders/>
            <w:vAlign w:val="bottom"/>
          </w:tcPr>
          <w:p>
            <w:pPr>
              <w:pStyle w:val="TableContents"/>
              <w:bidi w:val="0"/>
              <w:spacing w:lineRule="auto" w:line="288"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w:t>
            </w:r>
          </w:p>
        </w:tc>
        <w:tc>
          <w:tcPr>
            <w:tcW w:w="176" w:type="dxa"/>
            <w:tcBorders/>
            <w:vAlign w:val="bottom"/>
          </w:tcPr>
          <w:p>
            <w:pPr>
              <w:pStyle w:val="TableContents"/>
              <w:bidi w:val="0"/>
              <w:spacing w:before="0" w:after="283"/>
              <w:jc w:val="left"/>
              <w:rPr/>
            </w:pPr>
            <w:r>
              <w:rPr/>
              <w:t>)</w:t>
            </w:r>
          </w:p>
        </w:tc>
        <w:tc>
          <w:tcPr>
            <w:tcW w:w="176" w:type="dxa"/>
            <w:tcBorders/>
            <w:vAlign w:val="bottom"/>
          </w:tcPr>
          <w:p>
            <w:pPr>
              <w:pStyle w:val="TableContents"/>
              <w:bidi w:val="0"/>
              <w:spacing w:before="0" w:after="0"/>
              <w:ind w:left="0" w:right="0" w:hanging="0"/>
              <w:jc w:val="left"/>
              <w:rPr/>
            </w:pPr>
            <w:r>
              <w:rPr/>
              <w:t xml:space="preserve">  </w:t>
            </w:r>
          </w:p>
        </w:tc>
        <w:tc>
          <w:tcPr>
            <w:tcW w:w="24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(2,847</w:t>
            </w:r>
          </w:p>
        </w:tc>
        <w:tc>
          <w:tcPr>
            <w:tcW w:w="171" w:type="dxa"/>
            <w:tcBorders/>
            <w:vAlign w:val="bottom"/>
          </w:tcPr>
          <w:p>
            <w:pPr>
              <w:pStyle w:val="TableContents"/>
              <w:bidi w:val="0"/>
              <w:spacing w:before="0" w:after="283"/>
              <w:jc w:val="left"/>
              <w:rPr/>
            </w:pPr>
            <w:r>
              <w:rPr/>
              <w:t>)</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64" w:name="PageBreakNo4"/>
            <w:bookmarkEnd w:id="64"/>
            <w:r>
              <w:rPr>
                <w:sz w:val="20"/>
              </w:rPr>
              <w:t>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24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8">
        <w:bookmarkStart w:id="65" w:name="BE_OCDKM4QLA800000000000000000000"/>
        <w:bookmarkEnd w:id="65"/>
        <w:r>
          <w:rPr>
            <w:rStyle w:val="InternetLink"/>
            <w:rFonts w:ascii="Times New Roman" w:hAnsi="Times New Roman"/>
            <w:b/>
            <w:strike w:val="false"/>
            <w:dstrike w:val="false"/>
            <w:color w:val="000000"/>
            <w:sz w:val="20"/>
            <w:u w:val="none"/>
            <w:effect w:val="none"/>
          </w:rPr>
          <w:t>UNAUDITED CONDENSED CONSOLIDATED STATEMENTS OF CASH FLOWS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922"/>
        <w:gridCol w:w="27"/>
        <w:gridCol w:w="337"/>
        <w:gridCol w:w="1110"/>
        <w:gridCol w:w="188"/>
        <w:gridCol w:w="45"/>
        <w:gridCol w:w="337"/>
        <w:gridCol w:w="1110"/>
        <w:gridCol w:w="129"/>
      </w:tblGrid>
      <w:tr>
        <w:trPr/>
        <w:tc>
          <w:tcPr>
            <w:tcW w:w="6922" w:type="dxa"/>
            <w:tcBorders/>
            <w:vAlign w:val="center"/>
          </w:tcPr>
          <w:p>
            <w:pPr>
              <w:pStyle w:val="TableContents"/>
              <w:bidi w:val="0"/>
              <w:spacing w:before="0" w:after="0"/>
              <w:ind w:left="0" w:right="0" w:hanging="0"/>
              <w:jc w:val="left"/>
              <w:rPr/>
            </w:pPr>
            <w:r>
              <w:rPr/>
            </w:r>
          </w:p>
        </w:tc>
        <w:tc>
          <w:tcPr>
            <w:tcW w:w="27" w:type="dxa"/>
            <w:tcBorders/>
            <w:vAlign w:val="center"/>
          </w:tcPr>
          <w:p>
            <w:pPr>
              <w:pStyle w:val="TableContents"/>
              <w:bidi w:val="0"/>
              <w:spacing w:before="0" w:after="0"/>
              <w:ind w:left="0" w:right="0" w:hanging="0"/>
              <w:jc w:val="left"/>
              <w:rPr/>
            </w:pPr>
            <w:r>
              <w:rPr/>
            </w:r>
          </w:p>
        </w:tc>
        <w:tc>
          <w:tcPr>
            <w:tcW w:w="3127" w:type="dxa"/>
            <w:gridSpan w:val="6"/>
            <w:tcBorders/>
            <w:vAlign w:val="center"/>
          </w:tcPr>
          <w:p>
            <w:pPr>
              <w:pStyle w:val="TableContents"/>
              <w:bidi w:val="0"/>
              <w:spacing w:before="0" w:after="0"/>
              <w:ind w:left="0" w:right="0" w:hanging="0"/>
              <w:jc w:val="center"/>
              <w:rPr>
                <w:rFonts w:ascii="Times New Roman" w:hAnsi="Times New Roman"/>
                <w:b/>
                <w:sz w:val="20"/>
              </w:rPr>
            </w:pPr>
            <w:bookmarkStart w:id="66" w:name="fs_M0PBW2JU4G00000000000000000000FM"/>
            <w:bookmarkStart w:id="67" w:name="fs_5SPG37G29C00000000000000000000FM"/>
            <w:bookmarkEnd w:id="66"/>
            <w:bookmarkEnd w:id="67"/>
            <w:r>
              <w:rPr>
                <w:rFonts w:ascii="Times New Roman" w:hAnsi="Times New Roman"/>
                <w:b/>
                <w:sz w:val="20"/>
              </w:rPr>
              <w:t>Three months ended March 31,</w:t>
            </w:r>
            <w:r>
              <w:rPr>
                <w:rFonts w:ascii="Times New Roman" w:hAnsi="Times New Roman"/>
                <w:b/>
                <w:sz w:val="20"/>
              </w:rPr>
              <w:t xml:space="preserve"> </w:t>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vAlign w:val="center"/>
          </w:tcPr>
          <w:p>
            <w:pPr>
              <w:pStyle w:val="TableContents"/>
              <w:bidi w:val="0"/>
              <w:spacing w:before="0" w:after="0"/>
              <w:ind w:left="0" w:right="0" w:hanging="0"/>
              <w:jc w:val="left"/>
              <w:rPr/>
            </w:pPr>
            <w:r>
              <w:rPr/>
            </w:r>
          </w:p>
        </w:tc>
        <w:tc>
          <w:tcPr>
            <w:tcW w:w="27" w:type="dxa"/>
            <w:tcBorders/>
            <w:vAlign w:val="center"/>
          </w:tcPr>
          <w:p>
            <w:pPr>
              <w:pStyle w:val="TableContents"/>
              <w:bidi w:val="0"/>
              <w:spacing w:before="0" w:after="0"/>
              <w:ind w:left="0" w:right="0" w:hanging="0"/>
              <w:jc w:val="left"/>
              <w:rPr/>
            </w:pPr>
            <w:r>
              <w:rPr/>
            </w:r>
          </w:p>
        </w:tc>
        <w:tc>
          <w:tcPr>
            <w:tcW w:w="1447" w:type="dxa"/>
            <w:gridSpan w:val="2"/>
            <w:tcBorders/>
            <w:vAlign w:val="center"/>
          </w:tcPr>
          <w:p>
            <w:pPr>
              <w:pStyle w:val="TableContents"/>
              <w:bidi w:val="0"/>
              <w:spacing w:before="0" w:after="0"/>
              <w:ind w:left="0" w:right="0" w:hanging="0"/>
              <w:jc w:val="center"/>
              <w:rPr>
                <w:rFonts w:ascii="Times New Roman" w:hAnsi="Times New Roman"/>
                <w:b/>
                <w:sz w:val="20"/>
              </w:rPr>
            </w:pPr>
            <w:bookmarkStart w:id="68" w:name="fs_TW459CF58W00000000000000000000fs"/>
            <w:bookmarkEnd w:id="68"/>
            <w:r>
              <w:rPr>
                <w:rFonts w:ascii="Times New Roman" w:hAnsi="Times New Roman"/>
                <w:b/>
                <w:sz w:val="20"/>
              </w:rPr>
              <w:t xml:space="preserve">2026 </w:t>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1447" w:type="dxa"/>
            <w:gridSpan w:val="2"/>
            <w:tcBorders/>
            <w:vAlign w:val="center"/>
          </w:tcPr>
          <w:p>
            <w:pPr>
              <w:pStyle w:val="TableContents"/>
              <w:bidi w:val="0"/>
              <w:spacing w:before="0" w:after="0"/>
              <w:ind w:left="0" w:right="0" w:hanging="0"/>
              <w:jc w:val="center"/>
              <w:rPr>
                <w:rFonts w:ascii="Times New Roman" w:hAnsi="Times New Roman"/>
                <w:b/>
                <w:sz w:val="20"/>
              </w:rPr>
            </w:pPr>
            <w:bookmarkStart w:id="69" w:name="fs_0PNK0G9Q9S00000000000000000000fs"/>
            <w:bookmarkEnd w:id="69"/>
            <w:r>
              <w:rPr>
                <w:rFonts w:ascii="Times New Roman" w:hAnsi="Times New Roman"/>
                <w:b/>
                <w:sz w:val="20"/>
              </w:rPr>
              <w:t xml:space="preserve">2025 </w:t>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left"/>
              <w:rPr/>
            </w:pPr>
            <w:r>
              <w:rPr/>
            </w:r>
          </w:p>
        </w:tc>
        <w:tc>
          <w:tcPr>
            <w:tcW w:w="188" w:type="dxa"/>
            <w:tcBorders/>
            <w:shd w:fill="CCEEFF" w:val="clear"/>
            <w:vAlign w:val="center"/>
          </w:tcPr>
          <w:p>
            <w:pPr>
              <w:pStyle w:val="TableContents"/>
              <w:pBdr/>
              <w:bidi w:val="0"/>
              <w:spacing w:before="0" w:after="0"/>
              <w:ind w:left="0" w:right="0" w:hanging="0"/>
              <w:jc w:val="left"/>
              <w:rPr/>
            </w:pPr>
            <w:r>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left"/>
              <w:rPr/>
            </w:pPr>
            <w:r>
              <w:rPr/>
            </w:r>
          </w:p>
        </w:tc>
        <w:tc>
          <w:tcPr>
            <w:tcW w:w="129" w:type="dxa"/>
            <w:tcBorders/>
            <w:shd w:fill="CCEEFF" w:val="clear"/>
            <w:vAlign w:val="center"/>
          </w:tcPr>
          <w:p>
            <w:pPr>
              <w:pStyle w:val="TableContents"/>
              <w:pBdr/>
              <w:bidi w:val="0"/>
              <w:spacing w:before="0" w:after="0"/>
              <w:ind w:left="0" w:right="0" w:hanging="0"/>
              <w:jc w:val="left"/>
              <w:rPr/>
            </w:pPr>
            <w:r>
              <w:rPr/>
            </w:r>
          </w:p>
        </w:tc>
      </w:tr>
      <w:tr>
        <w:trPr/>
        <w:tc>
          <w:tcPr>
            <w:tcW w:w="69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w:t>
            </w:r>
          </w:p>
        </w:tc>
        <w:tc>
          <w:tcPr>
            <w:tcW w:w="188"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(2,834</w:t>
            </w:r>
          </w:p>
        </w:tc>
        <w:tc>
          <w:tcPr>
            <w:tcW w:w="129" w:type="dxa"/>
            <w:tcBorders/>
            <w:vAlign w:val="center"/>
          </w:tcPr>
          <w:p>
            <w:pPr>
              <w:pStyle w:val="TableContents"/>
              <w:bidi w:val="0"/>
              <w:spacing w:before="0" w:after="0"/>
              <w:jc w:val="left"/>
              <w:rPr/>
            </w:pPr>
            <w:r>
              <w:rPr/>
              <w:t>)</w:t>
            </w:r>
          </w:p>
        </w:tc>
      </w:tr>
      <w:tr>
        <w:trPr/>
        <w:tc>
          <w:tcPr>
            <w:tcW w:w="6922"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Adjustments to reconcile net loss to net cash used in operating activities:</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left"/>
              <w:rPr/>
            </w:pPr>
            <w:r>
              <w:rPr/>
            </w:r>
          </w:p>
        </w:tc>
        <w:tc>
          <w:tcPr>
            <w:tcW w:w="188" w:type="dxa"/>
            <w:tcBorders/>
            <w:shd w:fill="CCEEFF" w:val="clear"/>
            <w:vAlign w:val="center"/>
          </w:tcPr>
          <w:p>
            <w:pPr>
              <w:pStyle w:val="TableContents"/>
              <w:bidi w:val="0"/>
              <w:spacing w:before="0" w:after="283"/>
              <w:ind w:left="0" w:right="0" w:hanging="0"/>
              <w:jc w:val="left"/>
              <w:rPr/>
            </w:pPr>
            <w:r>
              <w:rPr/>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jc w:val="left"/>
              <w:rPr/>
            </w:pPr>
            <w:r>
              <w:rPr/>
            </w:r>
          </w:p>
        </w:tc>
      </w:tr>
      <w:tr>
        <w:trPr/>
        <w:tc>
          <w:tcPr>
            <w:tcW w:w="6922" w:type="dxa"/>
            <w:tcBorders/>
            <w:vAlign w:val="center"/>
          </w:tcPr>
          <w:p>
            <w:pPr>
              <w:pStyle w:val="TableContents"/>
              <w:bidi w:val="0"/>
              <w:spacing w:before="0" w:after="283"/>
              <w:ind w:left="0" w:right="0" w:hanging="0"/>
              <w:jc w:val="left"/>
              <w:rPr/>
            </w:pPr>
            <w:r>
              <w:rPr>
                <w:rFonts w:ascii="Times New Roman;serif" w:hAnsi="Times New Roman;serif"/>
                <w:color w:val="000000"/>
                <w:sz w:val="20"/>
              </w:rPr>
              <w:t>Amortization of right-of-use assets</w:t>
            </w:r>
            <w:r>
              <w:rPr/>
              <w:t xml:space="preserve"> </w:t>
            </w:r>
          </w:p>
        </w:tc>
        <w:tc>
          <w:tcPr>
            <w:tcW w:w="27"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173</w:t>
            </w:r>
          </w:p>
        </w:tc>
        <w:tc>
          <w:tcPr>
            <w:tcW w:w="188" w:type="dxa"/>
            <w:tcBorders/>
            <w:vAlign w:val="center"/>
          </w:tcPr>
          <w:p>
            <w:pPr>
              <w:pStyle w:val="TableContents"/>
              <w:bidi w:val="0"/>
              <w:spacing w:before="0" w:after="283"/>
              <w:ind w:left="0" w:right="0" w:hanging="0"/>
              <w:jc w:val="left"/>
              <w:rPr/>
            </w:pPr>
            <w:r>
              <w:rPr/>
            </w:r>
          </w:p>
        </w:tc>
        <w:tc>
          <w:tcPr>
            <w:tcW w:w="45"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78</w:t>
            </w:r>
          </w:p>
        </w:tc>
        <w:tc>
          <w:tcPr>
            <w:tcW w:w="129" w:type="dxa"/>
            <w:tcBorders/>
            <w:vAlign w:val="center"/>
          </w:tcPr>
          <w:p>
            <w:pPr>
              <w:pStyle w:val="TableContents"/>
              <w:bidi w:val="0"/>
              <w:spacing w:before="0" w:after="283"/>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pPr>
            <w:r>
              <w:rPr/>
              <w:t xml:space="preserve">— </w:t>
            </w:r>
          </w:p>
        </w:tc>
        <w:tc>
          <w:tcPr>
            <w:tcW w:w="188" w:type="dxa"/>
            <w:tcBorders/>
            <w:shd w:fill="CCEEFF" w:val="clear"/>
            <w:vAlign w:val="center"/>
          </w:tcPr>
          <w:p>
            <w:pPr>
              <w:pStyle w:val="TableContents"/>
              <w:pBdr/>
              <w:bidi w:val="0"/>
              <w:spacing w:before="0" w:after="0"/>
              <w:ind w:left="0" w:right="0" w:hanging="0"/>
              <w:jc w:val="left"/>
              <w:rPr/>
            </w:pPr>
            <w:r>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129" w:type="dxa"/>
            <w:tcBorders/>
            <w:shd w:fill="CCEEFF" w:val="clear"/>
            <w:vAlign w:val="center"/>
          </w:tcPr>
          <w:p>
            <w:pPr>
              <w:pStyle w:val="TableContents"/>
              <w:pBdr/>
              <w:bidi w:val="0"/>
              <w:spacing w:before="0" w:after="0"/>
              <w:ind w:left="0" w:right="0" w:hanging="0"/>
              <w:jc w:val="left"/>
              <w:rPr/>
            </w:pPr>
            <w:r>
              <w:rPr/>
            </w:r>
          </w:p>
        </w:tc>
      </w:tr>
      <w:tr>
        <w:trPr/>
        <w:tc>
          <w:tcPr>
            <w:tcW w:w="69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283"/>
              <w:ind w:left="0" w:right="0" w:hanging="0"/>
              <w:jc w:val="left"/>
              <w:rPr/>
            </w:pPr>
            <w:r>
              <w:rPr/>
              <w:t>Inventories</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20</w:t>
            </w:r>
          </w:p>
        </w:tc>
        <w:tc>
          <w:tcPr>
            <w:tcW w:w="188" w:type="dxa"/>
            <w:tcBorders/>
            <w:shd w:fill="CCEEFF" w:val="clear"/>
            <w:vAlign w:val="center"/>
          </w:tcPr>
          <w:p>
            <w:pPr>
              <w:pStyle w:val="TableContents"/>
              <w:bidi w:val="0"/>
              <w:spacing w:before="0" w:after="283"/>
              <w:ind w:left="0" w:right="0" w:hanging="0"/>
              <w:jc w:val="left"/>
              <w:rPr/>
            </w:pPr>
            <w:r>
              <w:rPr/>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w:t>
            </w:r>
          </w:p>
        </w:tc>
        <w:tc>
          <w:tcPr>
            <w:tcW w:w="129" w:type="dxa"/>
            <w:tcBorders/>
            <w:shd w:fill="CCEEFF" w:val="clear"/>
            <w:vAlign w:val="center"/>
          </w:tcPr>
          <w:p>
            <w:pPr>
              <w:pStyle w:val="TableContents"/>
              <w:bidi w:val="0"/>
              <w:spacing w:before="0" w:after="283"/>
              <w:jc w:val="left"/>
              <w:rPr/>
            </w:pPr>
            <w:r>
              <w:rPr/>
            </w:r>
          </w:p>
        </w:tc>
      </w:tr>
      <w:tr>
        <w:trPr/>
        <w:tc>
          <w:tcPr>
            <w:tcW w:w="6922"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Prepaid expenses and other assets</w:t>
            </w:r>
          </w:p>
        </w:tc>
        <w:tc>
          <w:tcPr>
            <w:tcW w:w="27"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(10</w:t>
            </w:r>
          </w:p>
        </w:tc>
        <w:tc>
          <w:tcPr>
            <w:tcW w:w="188"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w:t>
            </w:r>
          </w:p>
        </w:tc>
        <w:tc>
          <w:tcPr>
            <w:tcW w:w="129"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18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w:t>
            </w:r>
          </w:p>
        </w:tc>
        <w:tc>
          <w:tcPr>
            <w:tcW w:w="129" w:type="dxa"/>
            <w:tcBorders/>
            <w:shd w:fill="CCEEFF" w:val="clear"/>
            <w:vAlign w:val="center"/>
          </w:tcPr>
          <w:p>
            <w:pPr>
              <w:pStyle w:val="TableContents"/>
              <w:bidi w:val="0"/>
              <w:spacing w:before="0" w:after="283"/>
              <w:jc w:val="left"/>
              <w:rPr>
                <w:sz w:val="4"/>
                <w:szCs w:val="4"/>
              </w:rPr>
            </w:pPr>
            <w:r>
              <w:rPr>
                <w:sz w:val="4"/>
                <w:szCs w:val="4"/>
              </w:rPr>
            </w:r>
          </w:p>
        </w:tc>
      </w:tr>
      <w:tr>
        <w:trPr/>
        <w:tc>
          <w:tcPr>
            <w:tcW w:w="69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p>
        </w:tc>
        <w:tc>
          <w:tcPr>
            <w:tcW w:w="188"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29" w:type="dxa"/>
            <w:tcBorders/>
            <w:vAlign w:val="center"/>
          </w:tcPr>
          <w:p>
            <w:pPr>
              <w:pStyle w:val="TableContents"/>
              <w:bidi w:val="0"/>
              <w:spacing w:before="0" w:after="0"/>
              <w:jc w:val="left"/>
              <w:rPr/>
            </w:pPr>
            <w:r>
              <w:rPr/>
              <w:t>)</w:t>
            </w:r>
          </w:p>
        </w:tc>
      </w:tr>
      <w:tr>
        <w:trPr/>
        <w:tc>
          <w:tcPr>
            <w:tcW w:w="6922" w:type="dxa"/>
            <w:tcBorders/>
            <w:shd w:fill="CCEEFF" w:val="clear"/>
            <w:vAlign w:val="center"/>
          </w:tcPr>
          <w:p>
            <w:pPr>
              <w:pStyle w:val="TableContents"/>
              <w:bidi w:val="0"/>
              <w:spacing w:before="0" w:after="283"/>
              <w:ind w:left="0" w:right="0" w:hanging="0"/>
              <w:jc w:val="left"/>
              <w:rPr/>
            </w:pPr>
            <w:r>
              <w:rPr>
                <w:rFonts w:ascii="Times New Roman;serif" w:hAnsi="Times New Roman;serif"/>
                <w:color w:val="000000"/>
                <w:sz w:val="20"/>
              </w:rPr>
              <w:t>Operating lease liabilities</w:t>
            </w:r>
            <w:r>
              <w:rPr/>
              <w:t xml:space="preserve"> </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(176</w:t>
            </w:r>
          </w:p>
        </w:tc>
        <w:tc>
          <w:tcPr>
            <w:tcW w:w="18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(80</w:t>
            </w:r>
          </w:p>
        </w:tc>
        <w:tc>
          <w:tcPr>
            <w:tcW w:w="129" w:type="dxa"/>
            <w:tcBorders/>
            <w:shd w:fill="CCEEFF" w:val="clear"/>
            <w:vAlign w:val="center"/>
          </w:tcPr>
          <w:p>
            <w:pPr>
              <w:pStyle w:val="TableContents"/>
              <w:bidi w:val="0"/>
              <w:spacing w:before="0" w:after="0"/>
              <w:jc w:val="left"/>
              <w:rPr/>
            </w:pPr>
            <w:r>
              <w:rPr/>
              <w:t>)</w:t>
            </w:r>
          </w:p>
        </w:tc>
      </w:tr>
      <w:tr>
        <w:trPr/>
        <w:tc>
          <w:tcPr>
            <w:tcW w:w="6922"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used in operating activities, continuing operations </w:t>
            </w:r>
          </w:p>
        </w:tc>
        <w:tc>
          <w:tcPr>
            <w:tcW w:w="27" w:type="dxa"/>
            <w:tcBorders/>
            <w:vAlign w:val="center"/>
          </w:tcPr>
          <w:p>
            <w:pPr>
              <w:pStyle w:val="TableContents"/>
              <w:pBdr/>
              <w:bidi w:val="0"/>
              <w:spacing w:before="0" w:after="0"/>
              <w:ind w:left="0" w:right="0" w:hanging="0"/>
              <w:jc w:val="left"/>
              <w:rPr/>
            </w:pPr>
            <w:r>
              <w:rPr/>
            </w:r>
          </w:p>
        </w:tc>
        <w:tc>
          <w:tcPr>
            <w:tcW w:w="337" w:type="dxa"/>
            <w:tcBorders>
              <w:top w:val="single" w:sz="8" w:space="0" w:color="000000"/>
            </w:tcBorders>
            <w:tcMar>
              <w:top w:w="28" w:type="dxa"/>
            </w:tcMar>
            <w:vAlign w:val="center"/>
          </w:tcPr>
          <w:p>
            <w:pPr>
              <w:pStyle w:val="TableContents"/>
              <w:pBdr/>
              <w:bidi w:val="0"/>
              <w:spacing w:before="0" w:after="0"/>
              <w:ind w:left="0" w:right="0" w:hanging="0"/>
              <w:jc w:val="left"/>
              <w:rPr/>
            </w:pPr>
            <w:r>
              <w:rPr/>
            </w:r>
          </w:p>
        </w:tc>
        <w:tc>
          <w:tcPr>
            <w:tcW w:w="1110" w:type="dxa"/>
            <w:tcBorders>
              <w:top w:val="single" w:sz="8" w:space="0" w:color="000000"/>
            </w:tcBorders>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(680</w:t>
            </w:r>
          </w:p>
        </w:tc>
        <w:tc>
          <w:tcPr>
            <w:tcW w:w="188"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pBdr/>
              <w:bidi w:val="0"/>
              <w:spacing w:before="0" w:after="0"/>
              <w:ind w:left="0" w:right="0" w:hanging="0"/>
              <w:jc w:val="left"/>
              <w:rPr/>
            </w:pPr>
            <w:r>
              <w:rPr/>
            </w:r>
          </w:p>
        </w:tc>
        <w:tc>
          <w:tcPr>
            <w:tcW w:w="337" w:type="dxa"/>
            <w:tcBorders>
              <w:top w:val="single" w:sz="8" w:space="0" w:color="000000"/>
            </w:tcBorders>
            <w:tcMar>
              <w:top w:w="28" w:type="dxa"/>
            </w:tcMar>
            <w:vAlign w:val="center"/>
          </w:tcPr>
          <w:p>
            <w:pPr>
              <w:pStyle w:val="TableContents"/>
              <w:pBdr/>
              <w:bidi w:val="0"/>
              <w:spacing w:before="0" w:after="0"/>
              <w:ind w:left="0" w:right="0" w:hanging="0"/>
              <w:jc w:val="left"/>
              <w:rPr/>
            </w:pPr>
            <w:r>
              <w:rPr/>
            </w:r>
          </w:p>
        </w:tc>
        <w:tc>
          <w:tcPr>
            <w:tcW w:w="1110" w:type="dxa"/>
            <w:tcBorders>
              <w:top w:val="single" w:sz="8" w:space="0" w:color="000000"/>
            </w:tcBorders>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(2,644</w:t>
            </w:r>
          </w:p>
        </w:tc>
        <w:tc>
          <w:tcPr>
            <w:tcW w:w="129" w:type="dxa"/>
            <w:tcBorders/>
            <w:vAlign w:val="center"/>
          </w:tcPr>
          <w:p>
            <w:pPr>
              <w:pStyle w:val="TableContents"/>
              <w:bidi w:val="0"/>
              <w:spacing w:before="0" w:after="0"/>
              <w:jc w:val="left"/>
              <w:rPr/>
            </w:pPr>
            <w:r>
              <w:rPr/>
              <w:t>)</w:t>
            </w:r>
          </w:p>
        </w:tc>
      </w:tr>
      <w:tr>
        <w:trPr/>
        <w:tc>
          <w:tcPr>
            <w:tcW w:w="6922"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operating activities, discontinued operations</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(733</w:t>
            </w:r>
          </w:p>
        </w:tc>
        <w:tc>
          <w:tcPr>
            <w:tcW w:w="18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1,212</w:t>
            </w:r>
          </w:p>
        </w:tc>
        <w:tc>
          <w:tcPr>
            <w:tcW w:w="129" w:type="dxa"/>
            <w:tcBorders/>
            <w:shd w:fill="CCEEFF" w:val="clear"/>
            <w:vAlign w:val="center"/>
          </w:tcPr>
          <w:p>
            <w:pPr>
              <w:pStyle w:val="TableContents"/>
              <w:bidi w:val="0"/>
              <w:spacing w:before="0" w:after="283"/>
              <w:jc w:val="left"/>
              <w:rPr>
                <w:sz w:val="4"/>
                <w:szCs w:val="4"/>
              </w:rPr>
            </w:pPr>
            <w:r>
              <w:rPr>
                <w:sz w:val="4"/>
                <w:szCs w:val="4"/>
              </w:rPr>
            </w:r>
          </w:p>
        </w:tc>
      </w:tr>
      <w:tr>
        <w:trPr/>
        <w:tc>
          <w:tcPr>
            <w:tcW w:w="6922" w:type="dxa"/>
            <w:tcBorders/>
            <w:vAlign w:val="center"/>
          </w:tcPr>
          <w:p>
            <w:pPr>
              <w:pStyle w:val="TableContents"/>
              <w:bidi w:val="0"/>
              <w:spacing w:before="0" w:after="283"/>
              <w:ind w:left="0" w:right="0" w:hanging="0"/>
              <w:jc w:val="left"/>
              <w:rPr/>
            </w:pPr>
            <w:r>
              <w:rPr/>
            </w:r>
          </w:p>
        </w:tc>
        <w:tc>
          <w:tcPr>
            <w:tcW w:w="27"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left"/>
              <w:rPr/>
            </w:pPr>
            <w:r>
              <w:rPr/>
            </w:r>
          </w:p>
        </w:tc>
        <w:tc>
          <w:tcPr>
            <w:tcW w:w="188" w:type="dxa"/>
            <w:tcBorders/>
            <w:vAlign w:val="center"/>
          </w:tcPr>
          <w:p>
            <w:pPr>
              <w:pStyle w:val="TableContents"/>
              <w:bidi w:val="0"/>
              <w:spacing w:before="0" w:after="283"/>
              <w:ind w:left="0" w:right="0" w:hanging="0"/>
              <w:jc w:val="left"/>
              <w:rPr/>
            </w:pPr>
            <w:r>
              <w:rPr/>
            </w:r>
          </w:p>
        </w:tc>
        <w:tc>
          <w:tcPr>
            <w:tcW w:w="45"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left"/>
              <w:rPr/>
            </w:pPr>
            <w:r>
              <w:rPr/>
            </w:r>
          </w:p>
        </w:tc>
        <w:tc>
          <w:tcPr>
            <w:tcW w:w="129" w:type="dxa"/>
            <w:tcBorders/>
            <w:vAlign w:val="center"/>
          </w:tcPr>
          <w:p>
            <w:pPr>
              <w:pStyle w:val="TableContents"/>
              <w:bidi w:val="0"/>
              <w:spacing w:before="0" w:after="283"/>
              <w:jc w:val="left"/>
              <w:rPr/>
            </w:pPr>
            <w:r>
              <w:rPr/>
            </w:r>
          </w:p>
        </w:tc>
      </w:tr>
      <w:tr>
        <w:trPr/>
        <w:tc>
          <w:tcPr>
            <w:tcW w:w="6922"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Cash flows from investing activities:</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left"/>
              <w:rPr/>
            </w:pPr>
            <w:r>
              <w:rPr/>
            </w:r>
          </w:p>
        </w:tc>
        <w:tc>
          <w:tcPr>
            <w:tcW w:w="188" w:type="dxa"/>
            <w:tcBorders/>
            <w:shd w:fill="CCEEFF" w:val="clear"/>
            <w:vAlign w:val="center"/>
          </w:tcPr>
          <w:p>
            <w:pPr>
              <w:pStyle w:val="TableContents"/>
              <w:bidi w:val="0"/>
              <w:spacing w:before="0" w:after="283"/>
              <w:ind w:left="0" w:right="0" w:hanging="0"/>
              <w:jc w:val="left"/>
              <w:rPr/>
            </w:pPr>
            <w:r>
              <w:rPr/>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left"/>
              <w:rPr/>
            </w:pPr>
            <w:r>
              <w:rPr/>
            </w:r>
          </w:p>
        </w:tc>
        <w:tc>
          <w:tcPr>
            <w:tcW w:w="129" w:type="dxa"/>
            <w:tcBorders/>
            <w:shd w:fill="CCEEFF" w:val="clear"/>
            <w:vAlign w:val="center"/>
          </w:tcPr>
          <w:p>
            <w:pPr>
              <w:pStyle w:val="TableContents"/>
              <w:bidi w:val="0"/>
              <w:spacing w:before="0" w:after="283"/>
              <w:jc w:val="left"/>
              <w:rPr/>
            </w:pPr>
            <w:r>
              <w:rPr/>
            </w:r>
          </w:p>
        </w:tc>
      </w:tr>
      <w:tr>
        <w:trPr/>
        <w:tc>
          <w:tcPr>
            <w:tcW w:w="6922"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provided by investing activities, continuing operations </w:t>
            </w:r>
          </w:p>
        </w:tc>
        <w:tc>
          <w:tcPr>
            <w:tcW w:w="27"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w:t>
            </w:r>
          </w:p>
        </w:tc>
        <w:tc>
          <w:tcPr>
            <w:tcW w:w="188" w:type="dxa"/>
            <w:tcBorders/>
            <w:vAlign w:val="center"/>
          </w:tcPr>
          <w:p>
            <w:pPr>
              <w:pStyle w:val="TableContents"/>
              <w:bidi w:val="0"/>
              <w:spacing w:before="0" w:after="283"/>
              <w:ind w:left="0" w:right="0" w:hanging="0"/>
              <w:jc w:val="left"/>
              <w:rPr>
                <w:sz w:val="4"/>
                <w:szCs w:val="4"/>
              </w:rPr>
            </w:pPr>
            <w:r>
              <w:rPr>
                <w:sz w:val="4"/>
                <w:szCs w:val="4"/>
              </w:rPr>
            </w:r>
          </w:p>
        </w:tc>
        <w:tc>
          <w:tcPr>
            <w:tcW w:w="45"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w:t>
            </w:r>
          </w:p>
        </w:tc>
        <w:tc>
          <w:tcPr>
            <w:tcW w:w="129"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Cash used in investing activities, discontinued operations </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w:t>
            </w:r>
          </w:p>
        </w:tc>
        <w:tc>
          <w:tcPr>
            <w:tcW w:w="188" w:type="dxa"/>
            <w:tcBorders/>
            <w:shd w:fill="CCEEFF" w:val="clear"/>
            <w:vAlign w:val="center"/>
          </w:tcPr>
          <w:p>
            <w:pPr>
              <w:pStyle w:val="TableContents"/>
              <w:bidi w:val="0"/>
              <w:spacing w:before="0" w:after="283"/>
              <w:ind w:left="0" w:right="0" w:hanging="0"/>
              <w:jc w:val="left"/>
              <w:rPr/>
            </w:pPr>
            <w:r>
              <w:rPr/>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(18</w:t>
            </w:r>
          </w:p>
        </w:tc>
        <w:tc>
          <w:tcPr>
            <w:tcW w:w="129" w:type="dxa"/>
            <w:tcBorders/>
            <w:shd w:fill="CCEEFF" w:val="clear"/>
            <w:vAlign w:val="center"/>
          </w:tcPr>
          <w:p>
            <w:pPr>
              <w:pStyle w:val="TableContents"/>
              <w:bidi w:val="0"/>
              <w:spacing w:before="0" w:after="0"/>
              <w:jc w:val="left"/>
              <w:rPr/>
            </w:pPr>
            <w:r>
              <w:rPr/>
              <w:t>)</w:t>
            </w:r>
          </w:p>
        </w:tc>
      </w:tr>
      <w:tr>
        <w:trPr/>
        <w:tc>
          <w:tcPr>
            <w:tcW w:w="6922" w:type="dxa"/>
            <w:tcBorders/>
            <w:vAlign w:val="center"/>
          </w:tcPr>
          <w:p>
            <w:pPr>
              <w:pStyle w:val="TableContents"/>
              <w:bidi w:val="0"/>
              <w:spacing w:before="0" w:after="0"/>
              <w:ind w:left="0" w:right="0" w:hanging="0"/>
              <w:jc w:val="left"/>
              <w:rPr/>
            </w:pPr>
            <w:r>
              <w:rPr/>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left"/>
              <w:rPr/>
            </w:pPr>
            <w:r>
              <w:rPr/>
            </w:r>
          </w:p>
        </w:tc>
        <w:tc>
          <w:tcPr>
            <w:tcW w:w="188" w:type="dxa"/>
            <w:tcBorders/>
            <w:shd w:fill="CCEEFF" w:val="clear"/>
            <w:vAlign w:val="center"/>
          </w:tcPr>
          <w:p>
            <w:pPr>
              <w:pStyle w:val="TableContents"/>
              <w:pBdr/>
              <w:bidi w:val="0"/>
              <w:spacing w:before="0" w:after="0"/>
              <w:ind w:left="0" w:right="0" w:hanging="0"/>
              <w:jc w:val="left"/>
              <w:rPr/>
            </w:pPr>
            <w:r>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left"/>
              <w:rPr/>
            </w:pPr>
            <w:r>
              <w:rPr/>
            </w:r>
          </w:p>
        </w:tc>
        <w:tc>
          <w:tcPr>
            <w:tcW w:w="129" w:type="dxa"/>
            <w:tcBorders/>
            <w:shd w:fill="CCEEFF" w:val="clear"/>
            <w:vAlign w:val="center"/>
          </w:tcPr>
          <w:p>
            <w:pPr>
              <w:pStyle w:val="TableContents"/>
              <w:pBdr/>
              <w:bidi w:val="0"/>
              <w:spacing w:before="0" w:after="0"/>
              <w:ind w:left="0" w:right="0" w:hanging="0"/>
              <w:jc w:val="left"/>
              <w:rPr/>
            </w:pPr>
            <w:r>
              <w:rPr/>
            </w:r>
          </w:p>
        </w:tc>
      </w:tr>
      <w:tr>
        <w:trPr/>
        <w:tc>
          <w:tcPr>
            <w:tcW w:w="6922"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Proceeds from sale of stock </w:t>
            </w:r>
          </w:p>
        </w:tc>
        <w:tc>
          <w:tcPr>
            <w:tcW w:w="27"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1,750</w:t>
            </w:r>
          </w:p>
        </w:tc>
        <w:tc>
          <w:tcPr>
            <w:tcW w:w="188" w:type="dxa"/>
            <w:tcBorders/>
            <w:vAlign w:val="center"/>
          </w:tcPr>
          <w:p>
            <w:pPr>
              <w:pStyle w:val="TableContents"/>
              <w:bidi w:val="0"/>
              <w:spacing w:before="0" w:after="283"/>
              <w:ind w:left="0" w:right="0" w:hanging="0"/>
              <w:jc w:val="left"/>
              <w:rPr/>
            </w:pPr>
            <w:r>
              <w:rPr/>
            </w:r>
          </w:p>
        </w:tc>
        <w:tc>
          <w:tcPr>
            <w:tcW w:w="45" w:type="dxa"/>
            <w:tcBorders/>
            <w:vAlign w:val="center"/>
          </w:tcPr>
          <w:p>
            <w:pPr>
              <w:pStyle w:val="TableContents"/>
              <w:bidi w:val="0"/>
              <w:spacing w:before="0" w:after="283"/>
              <w:ind w:left="0" w:right="0" w:hanging="0"/>
              <w:jc w:val="left"/>
              <w:rPr/>
            </w:pPr>
            <w:r>
              <w:rPr/>
            </w:r>
          </w:p>
        </w:tc>
        <w:tc>
          <w:tcPr>
            <w:tcW w:w="337" w:type="dxa"/>
            <w:tcBorders/>
            <w:vAlign w:val="center"/>
          </w:tcPr>
          <w:p>
            <w:pPr>
              <w:pStyle w:val="TableContents"/>
              <w:bidi w:val="0"/>
              <w:spacing w:before="0" w:after="283"/>
              <w:jc w:val="left"/>
              <w:rPr/>
            </w:pPr>
            <w:r>
              <w:rPr/>
            </w:r>
          </w:p>
        </w:tc>
        <w:tc>
          <w:tcPr>
            <w:tcW w:w="1110" w:type="dxa"/>
            <w:tcBorders/>
            <w:vAlign w:val="center"/>
          </w:tcPr>
          <w:p>
            <w:pPr>
              <w:pStyle w:val="TableContents"/>
              <w:bidi w:val="0"/>
              <w:spacing w:before="0" w:after="283"/>
              <w:ind w:left="0" w:right="0" w:hanging="0"/>
              <w:jc w:val="right"/>
              <w:rPr/>
            </w:pPr>
            <w:r>
              <w:rPr/>
              <w:t>1,000</w:t>
            </w:r>
          </w:p>
        </w:tc>
        <w:tc>
          <w:tcPr>
            <w:tcW w:w="129"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CCEEFF" w:val="clear"/>
            <w:vAlign w:val="center"/>
          </w:tcPr>
          <w:p>
            <w:pPr>
              <w:pStyle w:val="TableContents"/>
              <w:bidi w:val="0"/>
              <w:spacing w:before="0" w:after="283"/>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Purchases of outstanding warrants </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r>
          </w:p>
        </w:tc>
        <w:tc>
          <w:tcPr>
            <w:tcW w:w="1110" w:type="dxa"/>
            <w:tcBorders>
              <w:bottom w:val="single" w:sz="8" w:space="0" w:color="000000"/>
            </w:tcBorders>
            <w:shd w:fill="CCEEFF" w:val="clear"/>
            <w:tcMar>
              <w:bottom w:w="28" w:type="dxa"/>
            </w:tcMar>
            <w:vAlign w:val="center"/>
          </w:tcPr>
          <w:p>
            <w:pPr>
              <w:pStyle w:val="TableContents"/>
              <w:bidi w:val="0"/>
              <w:spacing w:before="0" w:after="283"/>
              <w:ind w:left="0" w:right="0" w:hanging="0"/>
              <w:jc w:val="right"/>
              <w:rPr/>
            </w:pPr>
            <w:r>
              <w:rPr/>
              <w:t>(22</w:t>
            </w:r>
          </w:p>
        </w:tc>
        <w:tc>
          <w:tcPr>
            <w:tcW w:w="18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r>
          </w:p>
        </w:tc>
        <w:tc>
          <w:tcPr>
            <w:tcW w:w="1110" w:type="dxa"/>
            <w:tcBorders>
              <w:bottom w:val="single" w:sz="8"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9" w:type="dxa"/>
            <w:tcBorders/>
            <w:shd w:fill="CCEEFF" w:val="clear"/>
            <w:vAlign w:val="center"/>
          </w:tcPr>
          <w:p>
            <w:pPr>
              <w:pStyle w:val="TableContents"/>
              <w:bidi w:val="0"/>
              <w:spacing w:before="0" w:after="283"/>
              <w:jc w:val="left"/>
              <w:rPr/>
            </w:pPr>
            <w:r>
              <w:rPr/>
            </w:r>
          </w:p>
        </w:tc>
      </w:tr>
      <w:tr>
        <w:trPr/>
        <w:tc>
          <w:tcPr>
            <w:tcW w:w="6922"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provided by financing activities, continuing operations </w:t>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1,728</w:t>
            </w:r>
          </w:p>
        </w:tc>
        <w:tc>
          <w:tcPr>
            <w:tcW w:w="188" w:type="dxa"/>
            <w:tcBorders/>
            <w:vAlign w:val="center"/>
          </w:tcPr>
          <w:p>
            <w:pPr>
              <w:pStyle w:val="TableContents"/>
              <w:bidi w:val="0"/>
              <w:spacing w:before="0" w:after="283"/>
              <w:ind w:left="0" w:right="0" w:hanging="0"/>
              <w:jc w:val="left"/>
              <w:rPr>
                <w:sz w:val="4"/>
                <w:szCs w:val="4"/>
              </w:rPr>
            </w:pPr>
            <w:r>
              <w:rPr>
                <w:sz w:val="4"/>
                <w:szCs w:val="4"/>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29" w:type="dxa"/>
            <w:tcBorders/>
            <w:vAlign w:val="center"/>
          </w:tcPr>
          <w:p>
            <w:pPr>
              <w:pStyle w:val="TableContents"/>
              <w:bidi w:val="0"/>
              <w:spacing w:before="0" w:after="283"/>
              <w:jc w:val="left"/>
              <w:rPr>
                <w:sz w:val="4"/>
                <w:szCs w:val="4"/>
              </w:rPr>
            </w:pPr>
            <w:r>
              <w:rPr>
                <w:sz w:val="4"/>
                <w:szCs w:val="4"/>
              </w:rPr>
            </w:r>
          </w:p>
        </w:tc>
      </w:tr>
      <w:tr>
        <w:trPr/>
        <w:tc>
          <w:tcPr>
            <w:tcW w:w="6922"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Cash provided by financing activities, discontinued operations</w:t>
            </w:r>
            <w:r>
              <w:rPr>
                <w:rFonts w:ascii="times new roman;times" w:hAnsi="times new roman;times"/>
                <w:b w:val="false"/>
                <w:i w:val="false"/>
                <w:caps w:val="false"/>
                <w:smallCaps w:val="false"/>
                <w:color w:val="000000"/>
                <w:spacing w:val="0"/>
                <w:sz w:val="20"/>
              </w:rPr>
              <w:t xml:space="preserve"> </w:t>
            </w:r>
          </w:p>
        </w:tc>
        <w:tc>
          <w:tcPr>
            <w:tcW w:w="27"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w:t>
            </w:r>
          </w:p>
        </w:tc>
        <w:tc>
          <w:tcPr>
            <w:tcW w:w="188" w:type="dxa"/>
            <w:tcBorders/>
            <w:shd w:fill="CCEEFF" w:val="clear"/>
            <w:vAlign w:val="center"/>
          </w:tcPr>
          <w:p>
            <w:pPr>
              <w:pStyle w:val="TableContents"/>
              <w:bidi w:val="0"/>
              <w:spacing w:before="0" w:after="283"/>
              <w:ind w:left="0" w:right="0" w:hanging="0"/>
              <w:jc w:val="left"/>
              <w:rPr/>
            </w:pPr>
            <w:r>
              <w:rPr/>
            </w:r>
          </w:p>
        </w:tc>
        <w:tc>
          <w:tcPr>
            <w:tcW w:w="45" w:type="dxa"/>
            <w:tcBorders/>
            <w:shd w:fill="CCEEFF" w:val="clear"/>
            <w:vAlign w:val="center"/>
          </w:tcPr>
          <w:p>
            <w:pPr>
              <w:pStyle w:val="TableContents"/>
              <w:bidi w:val="0"/>
              <w:spacing w:before="0" w:after="283"/>
              <w:ind w:left="0" w:right="0" w:hanging="0"/>
              <w:jc w:val="left"/>
              <w:rPr/>
            </w:pPr>
            <w:r>
              <w:rPr/>
            </w:r>
          </w:p>
        </w:tc>
        <w:tc>
          <w:tcPr>
            <w:tcW w:w="337" w:type="dxa"/>
            <w:tcBorders/>
            <w:shd w:fill="CCEEFF" w:val="clear"/>
            <w:vAlign w:val="center"/>
          </w:tcPr>
          <w:p>
            <w:pPr>
              <w:pStyle w:val="TableContents"/>
              <w:bidi w:val="0"/>
              <w:spacing w:before="0" w:after="283"/>
              <w:jc w:val="left"/>
              <w:rPr/>
            </w:pPr>
            <w:r>
              <w:rPr/>
            </w:r>
          </w:p>
        </w:tc>
        <w:tc>
          <w:tcPr>
            <w:tcW w:w="1110" w:type="dxa"/>
            <w:tcBorders/>
            <w:shd w:fill="CCEEFF" w:val="clear"/>
            <w:vAlign w:val="center"/>
          </w:tcPr>
          <w:p>
            <w:pPr>
              <w:pStyle w:val="TableContents"/>
              <w:bidi w:val="0"/>
              <w:spacing w:before="0" w:after="283"/>
              <w:ind w:left="0" w:right="0" w:hanging="0"/>
              <w:jc w:val="right"/>
              <w:rPr/>
            </w:pPr>
            <w:r>
              <w:rPr/>
              <w:t>7</w:t>
            </w:r>
          </w:p>
        </w:tc>
        <w:tc>
          <w:tcPr>
            <w:tcW w:w="129" w:type="dxa"/>
            <w:tcBorders/>
            <w:shd w:fill="CCEEFF" w:val="clear"/>
            <w:vAlign w:val="center"/>
          </w:tcPr>
          <w:p>
            <w:pPr>
              <w:pStyle w:val="TableContents"/>
              <w:bidi w:val="0"/>
              <w:spacing w:before="0" w:after="283"/>
              <w:jc w:val="left"/>
              <w:rPr/>
            </w:pPr>
            <w:r>
              <w:rPr/>
            </w:r>
          </w:p>
        </w:tc>
      </w:tr>
      <w:tr>
        <w:trPr/>
        <w:tc>
          <w:tcPr>
            <w:tcW w:w="6922" w:type="dxa"/>
            <w:tcBorders/>
            <w:vAlign w:val="center"/>
          </w:tcPr>
          <w:p>
            <w:pPr>
              <w:pStyle w:val="TableContents"/>
              <w:bidi w:val="0"/>
              <w:spacing w:before="0" w:after="0"/>
              <w:ind w:left="0" w:right="0" w:hanging="0"/>
              <w:jc w:val="left"/>
              <w:rPr/>
            </w:pPr>
            <w:r>
              <w:rPr/>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8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129" w:type="dxa"/>
            <w:tcBorders/>
            <w:shd w:fill="CCEEFF" w:val="clear"/>
            <w:vAlign w:val="center"/>
          </w:tcPr>
          <w:p>
            <w:pPr>
              <w:pStyle w:val="TableContents"/>
              <w:bidi w:val="0"/>
              <w:spacing w:before="0" w:after="0"/>
              <w:jc w:val="left"/>
              <w:rPr/>
            </w:pPr>
            <w:r>
              <w:rPr/>
              <w:t>)</w:t>
            </w:r>
          </w:p>
        </w:tc>
      </w:tr>
      <w:tr>
        <w:trPr/>
        <w:tc>
          <w:tcPr>
            <w:tcW w:w="6922" w:type="dxa"/>
            <w:tcBorders/>
            <w:vAlign w:val="center"/>
          </w:tcPr>
          <w:p>
            <w:pPr>
              <w:pStyle w:val="TableContents"/>
              <w:bidi w:val="0"/>
              <w:spacing w:before="0" w:after="0"/>
              <w:ind w:left="0" w:right="0" w:hanging="0"/>
              <w:jc w:val="left"/>
              <w:rPr/>
            </w:pPr>
            <w:r>
              <w:rPr/>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left"/>
              <w:rPr/>
            </w:pPr>
            <w:r>
              <w:rPr/>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increase (decrease) in cash and cash equivalents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w:t>
            </w:r>
          </w:p>
        </w:tc>
        <w:tc>
          <w:tcPr>
            <w:tcW w:w="18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pPr>
            <w:r>
              <w:rPr/>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w:t>
            </w:r>
          </w:p>
        </w:tc>
        <w:tc>
          <w:tcPr>
            <w:tcW w:w="129" w:type="dxa"/>
            <w:tcBorders/>
            <w:shd w:fill="CCEEFF" w:val="clear"/>
            <w:vAlign w:val="center"/>
          </w:tcPr>
          <w:p>
            <w:pPr>
              <w:pStyle w:val="TableContents"/>
              <w:bidi w:val="0"/>
              <w:spacing w:before="0" w:after="0"/>
              <w:jc w:val="left"/>
              <w:rPr/>
            </w:pPr>
            <w:r>
              <w:rPr/>
              <w:t>)</w:t>
            </w:r>
          </w:p>
        </w:tc>
      </w:tr>
      <w:tr>
        <w:trPr/>
        <w:tc>
          <w:tcPr>
            <w:tcW w:w="692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beginning of the period </w:t>
            </w:r>
          </w:p>
        </w:tc>
        <w:tc>
          <w:tcPr>
            <w:tcW w:w="27"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739 </w:t>
            </w:r>
          </w:p>
        </w:tc>
        <w:tc>
          <w:tcPr>
            <w:tcW w:w="188" w:type="dxa"/>
            <w:tcBorders/>
            <w:vAlign w:val="center"/>
          </w:tcPr>
          <w:p>
            <w:pPr>
              <w:pStyle w:val="TableContents"/>
              <w:pBdr/>
              <w:bidi w:val="0"/>
              <w:spacing w:before="0" w:after="0"/>
              <w:ind w:left="0" w:right="0" w:hanging="0"/>
              <w:jc w:val="left"/>
              <w:rPr/>
            </w:pPr>
            <w:r>
              <w:rPr/>
            </w:r>
          </w:p>
        </w:tc>
        <w:tc>
          <w:tcPr>
            <w:tcW w:w="45" w:type="dxa"/>
            <w:tcBorders/>
            <w:vAlign w:val="center"/>
          </w:tcPr>
          <w:p>
            <w:pPr>
              <w:pStyle w:val="TableContents"/>
              <w:pBdr/>
              <w:bidi w:val="0"/>
              <w:spacing w:before="0" w:after="0"/>
              <w:ind w:left="0" w:right="0" w:hanging="0"/>
              <w:jc w:val="left"/>
              <w:rPr/>
            </w:pPr>
            <w:r>
              <w:rPr/>
            </w:r>
          </w:p>
        </w:tc>
        <w:tc>
          <w:tcPr>
            <w:tcW w:w="337" w:type="dxa"/>
            <w:tcBorders/>
            <w:vAlign w:val="center"/>
          </w:tcPr>
          <w:p>
            <w:pPr>
              <w:pStyle w:val="TableContents"/>
              <w:pBdr/>
              <w:bidi w:val="0"/>
              <w:spacing w:before="0" w:after="0"/>
              <w:ind w:left="0" w:right="0" w:hanging="0"/>
              <w:jc w:val="left"/>
              <w:rPr/>
            </w:pPr>
            <w:r>
              <w:rPr/>
            </w:r>
          </w:p>
        </w:tc>
        <w:tc>
          <w:tcPr>
            <w:tcW w:w="111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29" w:type="dxa"/>
            <w:tcBorders/>
            <w:vAlign w:val="center"/>
          </w:tcPr>
          <w:p>
            <w:pPr>
              <w:pStyle w:val="TableContents"/>
              <w:pBdr/>
              <w:bidi w:val="0"/>
              <w:spacing w:before="0" w:after="0"/>
              <w:ind w:left="0" w:right="0" w:hanging="0"/>
              <w:jc w:val="left"/>
              <w:rPr/>
            </w:pPr>
            <w:r>
              <w:rPr/>
            </w:r>
          </w:p>
        </w:tc>
      </w:tr>
      <w:tr>
        <w:trPr/>
        <w:tc>
          <w:tcPr>
            <w:tcW w:w="69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end of the period </w:t>
            </w:r>
          </w:p>
        </w:tc>
        <w:tc>
          <w:tcPr>
            <w:tcW w:w="27"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1,053</w:t>
            </w:r>
          </w:p>
        </w:tc>
        <w:tc>
          <w:tcPr>
            <w:tcW w:w="18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5" w:type="dxa"/>
            <w:tcBorders/>
            <w:shd w:fill="CCEEFF" w:val="clear"/>
            <w:vAlign w:val="center"/>
          </w:tcPr>
          <w:p>
            <w:pPr>
              <w:pStyle w:val="TableContents"/>
              <w:pBdr/>
              <w:bidi w:val="0"/>
              <w:spacing w:before="0" w:after="0"/>
              <w:ind w:left="0" w:right="0" w:hanging="0"/>
              <w:jc w:val="left"/>
              <w:rPr/>
            </w:pPr>
            <w:r>
              <w:rPr/>
            </w:r>
          </w:p>
        </w:tc>
        <w:tc>
          <w:tcPr>
            <w:tcW w:w="33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961</w:t>
            </w:r>
          </w:p>
        </w:tc>
        <w:tc>
          <w:tcPr>
            <w:tcW w:w="129" w:type="dxa"/>
            <w:tcBorders/>
            <w:shd w:fill="CCEEFF" w:val="clear"/>
            <w:vAlign w:val="center"/>
          </w:tcPr>
          <w:p>
            <w:pPr>
              <w:pStyle w:val="TableContents"/>
              <w:pBdr/>
              <w:bidi w:val="0"/>
              <w:spacing w:before="0" w:after="0"/>
              <w:ind w:left="0" w:right="0" w:hanging="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bidi w:val="0"/>
        <w:spacing w:lineRule="auto" w:line="288" w:before="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0" w:name="PageBreakNo5"/>
            <w:bookmarkEnd w:id="70"/>
            <w:r>
              <w:rPr>
                <w:sz w:val="20"/>
              </w:rPr>
              <w:t>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is a summary of supplemental cash flow information: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14"/>
        <w:gridCol w:w="47"/>
        <w:gridCol w:w="1206"/>
        <w:gridCol w:w="886"/>
        <w:gridCol w:w="162"/>
        <w:gridCol w:w="163"/>
        <w:gridCol w:w="1205"/>
        <w:gridCol w:w="1844"/>
        <w:gridCol w:w="78"/>
      </w:tblGrid>
      <w:tr>
        <w:trPr/>
        <w:tc>
          <w:tcPr>
            <w:tcW w:w="4614" w:type="dxa"/>
            <w:tcBorders/>
            <w:vAlign w:val="center"/>
          </w:tcPr>
          <w:p>
            <w:pPr>
              <w:pStyle w:val="TableContents"/>
              <w:bidi w:val="0"/>
              <w:spacing w:before="0" w:after="0"/>
              <w:ind w:left="0" w:right="0" w:hanging="0"/>
              <w:jc w:val="left"/>
              <w:rPr/>
            </w:pPr>
            <w:r>
              <w:rPr/>
            </w:r>
          </w:p>
        </w:tc>
        <w:tc>
          <w:tcPr>
            <w:tcW w:w="47" w:type="dxa"/>
            <w:tcBorders/>
            <w:vAlign w:val="center"/>
          </w:tcPr>
          <w:p>
            <w:pPr>
              <w:pStyle w:val="TableContents"/>
              <w:bidi w:val="0"/>
              <w:spacing w:before="0" w:after="0"/>
              <w:ind w:left="0" w:right="0" w:hanging="0"/>
              <w:jc w:val="left"/>
              <w:rPr/>
            </w:pPr>
            <w:r>
              <w:rPr/>
            </w:r>
          </w:p>
        </w:tc>
        <w:tc>
          <w:tcPr>
            <w:tcW w:w="5466" w:type="dxa"/>
            <w:gridSpan w:val="6"/>
            <w:tcBorders/>
            <w:vAlign w:val="center"/>
          </w:tcPr>
          <w:p>
            <w:pPr>
              <w:pStyle w:val="TableContents"/>
              <w:bidi w:val="0"/>
              <w:spacing w:before="0" w:after="0"/>
              <w:ind w:left="0" w:right="0" w:hanging="0"/>
              <w:jc w:val="center"/>
              <w:rPr>
                <w:rFonts w:ascii="Times New Roman" w:hAnsi="Times New Roman"/>
                <w:b/>
                <w:sz w:val="20"/>
              </w:rPr>
            </w:pPr>
            <w:bookmarkStart w:id="71" w:name="fs_8YC9OFYZ4G00000000000000000000FM"/>
            <w:bookmarkEnd w:id="71"/>
            <w:r>
              <w:rPr>
                <w:rFonts w:ascii="Times New Roman" w:hAnsi="Times New Roman"/>
                <w:b/>
                <w:sz w:val="20"/>
              </w:rPr>
              <w:t xml:space="preserve">Three months ended March 31, </w:t>
            </w:r>
          </w:p>
        </w:tc>
        <w:tc>
          <w:tcPr>
            <w:tcW w:w="78" w:type="dxa"/>
            <w:tcBorders/>
            <w:vAlign w:val="center"/>
          </w:tcPr>
          <w:p>
            <w:pPr>
              <w:pStyle w:val="TableContents"/>
              <w:bidi w:val="0"/>
              <w:spacing w:before="0" w:after="0"/>
              <w:ind w:left="0" w:right="0" w:hanging="0"/>
              <w:jc w:val="left"/>
              <w:rPr/>
            </w:pPr>
            <w:r>
              <w:rPr/>
            </w:r>
          </w:p>
        </w:tc>
      </w:tr>
      <w:tr>
        <w:trPr/>
        <w:tc>
          <w:tcPr>
            <w:tcW w:w="4614" w:type="dxa"/>
            <w:tcBorders/>
            <w:vAlign w:val="center"/>
          </w:tcPr>
          <w:p>
            <w:pPr>
              <w:pStyle w:val="TableContents"/>
              <w:bidi w:val="0"/>
              <w:spacing w:before="0" w:after="0"/>
              <w:ind w:left="0" w:right="0" w:hanging="0"/>
              <w:jc w:val="left"/>
              <w:rPr/>
            </w:pPr>
            <w:r>
              <w:rPr/>
            </w:r>
          </w:p>
        </w:tc>
        <w:tc>
          <w:tcPr>
            <w:tcW w:w="47" w:type="dxa"/>
            <w:tcBorders/>
            <w:vAlign w:val="center"/>
          </w:tcPr>
          <w:p>
            <w:pPr>
              <w:pStyle w:val="TableContents"/>
              <w:bidi w:val="0"/>
              <w:spacing w:before="0" w:after="0"/>
              <w:ind w:left="0" w:right="0" w:hanging="0"/>
              <w:jc w:val="left"/>
              <w:rPr/>
            </w:pPr>
            <w:r>
              <w:rPr/>
            </w:r>
          </w:p>
        </w:tc>
        <w:tc>
          <w:tcPr>
            <w:tcW w:w="2092" w:type="dxa"/>
            <w:gridSpan w:val="2"/>
            <w:tcBorders/>
            <w:vAlign w:val="center"/>
          </w:tcPr>
          <w:p>
            <w:pPr>
              <w:pStyle w:val="TableContents"/>
              <w:bidi w:val="0"/>
              <w:spacing w:before="0" w:after="0"/>
              <w:ind w:left="0" w:right="0" w:hanging="0"/>
              <w:jc w:val="center"/>
              <w:rPr>
                <w:rFonts w:ascii="Times New Roman" w:hAnsi="Times New Roman"/>
                <w:b/>
                <w:sz w:val="20"/>
              </w:rPr>
            </w:pPr>
            <w:bookmarkStart w:id="72" w:name="fs_DXY77T54CW00000000000000000000fs"/>
            <w:bookmarkEnd w:id="72"/>
            <w:r>
              <w:rPr>
                <w:rFonts w:ascii="Times New Roman" w:hAnsi="Times New Roman"/>
                <w:b/>
                <w:sz w:val="20"/>
              </w:rPr>
              <w:t xml:space="preserve">2026 </w:t>
            </w:r>
          </w:p>
        </w:tc>
        <w:tc>
          <w:tcPr>
            <w:tcW w:w="162" w:type="dxa"/>
            <w:tcBorders/>
            <w:vAlign w:val="center"/>
          </w:tcPr>
          <w:p>
            <w:pPr>
              <w:pStyle w:val="TableContents"/>
              <w:bidi w:val="0"/>
              <w:spacing w:before="0" w:after="0"/>
              <w:ind w:left="0" w:right="0" w:hanging="0"/>
              <w:jc w:val="left"/>
              <w:rPr/>
            </w:pPr>
            <w:r>
              <w:rPr/>
            </w:r>
          </w:p>
        </w:tc>
        <w:tc>
          <w:tcPr>
            <w:tcW w:w="163" w:type="dxa"/>
            <w:tcBorders/>
            <w:vAlign w:val="center"/>
          </w:tcPr>
          <w:p>
            <w:pPr>
              <w:pStyle w:val="TableContents"/>
              <w:bidi w:val="0"/>
              <w:spacing w:before="0" w:after="0"/>
              <w:ind w:left="0" w:right="0" w:hanging="0"/>
              <w:jc w:val="left"/>
              <w:rPr/>
            </w:pPr>
            <w:r>
              <w:rPr/>
            </w:r>
          </w:p>
        </w:tc>
        <w:tc>
          <w:tcPr>
            <w:tcW w:w="3049" w:type="dxa"/>
            <w:gridSpan w:val="2"/>
            <w:tcBorders/>
            <w:vAlign w:val="center"/>
          </w:tcPr>
          <w:p>
            <w:pPr>
              <w:pStyle w:val="TableContents"/>
              <w:bidi w:val="0"/>
              <w:spacing w:before="0" w:after="0"/>
              <w:ind w:left="0" w:right="0" w:hanging="0"/>
              <w:jc w:val="center"/>
              <w:rPr>
                <w:rFonts w:ascii="Times New Roman" w:hAnsi="Times New Roman"/>
                <w:b/>
                <w:sz w:val="20"/>
              </w:rPr>
            </w:pPr>
            <w:bookmarkStart w:id="73" w:name="fs_LAXI2WFYRK00000000000000000000fs"/>
            <w:bookmarkEnd w:id="73"/>
            <w:r>
              <w:rPr>
                <w:rFonts w:ascii="Times New Roman" w:hAnsi="Times New Roman"/>
                <w:b/>
                <w:sz w:val="20"/>
              </w:rPr>
              <w:t xml:space="preserve">2025 </w:t>
            </w:r>
          </w:p>
        </w:tc>
        <w:tc>
          <w:tcPr>
            <w:tcW w:w="78" w:type="dxa"/>
            <w:tcBorders/>
            <w:vAlign w:val="center"/>
          </w:tcPr>
          <w:p>
            <w:pPr>
              <w:pStyle w:val="TableContents"/>
              <w:bidi w:val="0"/>
              <w:spacing w:before="0" w:after="0"/>
              <w:ind w:left="0" w:right="0" w:hanging="0"/>
              <w:jc w:val="left"/>
              <w:rPr/>
            </w:pPr>
            <w:r>
              <w:rPr/>
            </w:r>
          </w:p>
        </w:tc>
      </w:tr>
      <w:tr>
        <w:trPr/>
        <w:tc>
          <w:tcPr>
            <w:tcW w:w="46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47" w:type="dxa"/>
            <w:tcBorders/>
            <w:shd w:fill="CCEEFF" w:val="clear"/>
            <w:vAlign w:val="center"/>
          </w:tcPr>
          <w:p>
            <w:pPr>
              <w:pStyle w:val="TableContents"/>
              <w:bidi w:val="0"/>
              <w:spacing w:before="0" w:after="0"/>
              <w:ind w:left="0" w:right="0" w:hanging="0"/>
              <w:jc w:val="left"/>
              <w:rPr/>
            </w:pPr>
            <w:r>
              <w:rPr/>
            </w:r>
          </w:p>
        </w:tc>
        <w:tc>
          <w:tcPr>
            <w:tcW w:w="1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0"/>
              <w:ind w:left="0" w:right="0" w:hanging="0"/>
              <w:jc w:val="left"/>
              <w:rPr/>
            </w:pPr>
            <w:r>
              <w:rPr/>
            </w:r>
          </w:p>
        </w:tc>
        <w:tc>
          <w:tcPr>
            <w:tcW w:w="1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844" w:type="dxa"/>
            <w:tcBorders/>
            <w:shd w:fill="CCEEFF" w:val="clear"/>
            <w:vAlign w:val="center"/>
          </w:tcPr>
          <w:p>
            <w:pPr>
              <w:pStyle w:val="TableContents"/>
              <w:bidi w:val="0"/>
              <w:spacing w:before="0" w:after="0"/>
              <w:ind w:left="0" w:right="0" w:hanging="0"/>
              <w:jc w:val="right"/>
              <w:rPr/>
            </w:pPr>
            <w:r>
              <w:rPr/>
              <w:t>—</w:t>
            </w:r>
          </w:p>
        </w:tc>
        <w:tc>
          <w:tcPr>
            <w:tcW w:w="7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4" w:name="PageBreakNo6"/>
            <w:bookmarkEnd w:id="74"/>
            <w:r>
              <w:rPr>
                <w:sz w:val="20"/>
              </w:rPr>
              <w:t>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9">
        <w:bookmarkStart w:id="75" w:name="BF_IMSU8UN3GG00000000000000000000"/>
        <w:bookmarkEnd w:id="75"/>
        <w:r>
          <w:rPr>
            <w:rStyle w:val="InternetLink"/>
            <w:rFonts w:ascii="Times New Roman" w:hAnsi="Times New Roman"/>
            <w:b/>
            <w:strike w:val="false"/>
            <w:dstrike w:val="false"/>
            <w:color w:val="000000"/>
            <w:sz w:val="20"/>
            <w:u w:val="none"/>
            <w:effect w:val="none"/>
          </w:rPr>
          <w:t>UNAUDITED NOTES TO CONDENSED CONSOLIDATED FINANCIAL STATEMENTS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w:t>
      </w:r>
      <w:r>
        <w:rPr>
          <w:rFonts w:ascii="Times New Roman" w:hAnsi="Times New Roman"/>
          <w:b/>
          <w:sz w:val="20"/>
        </w:rPr>
        <w:t>. Business Description, Basis of Presentation and 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Inc., together with its subsidiaries (collectively, “ClearOne” or the “Company”), was a global market competitor providing conferencing, collaboration, and AV streaming solutions supporting voice and visual communications. Following the October 24, 2025 disposition of certain intellectual property, product inventory, and non-exclusive rights to customer data to Biamp Systems, LLC, the Company no longer manufactures or sells products and maintains only limited continuing operations consisting of warranty and technical support for legacy products, collecting accounts receivable and recovering prepaid assets, public-company compliance, and evaluation of strategic alternatives. See discussion of going concern and discontinued operations below.</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Going Concern: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accompanying consolidated financial statements have been prepared assuming the Company will continue as a going concern. The Company has incurred significant losses, has negative cash flows from operations, and its continuing operations are limited and not expected to generate revenue at levels sufficient to fund ongoing costs. These conditions, together with the mandatory redemption obligation for the Class A Redeemable Preferred Stock (triggered by the closing of the Asset Sale on October 24, 2025), raise substantial doubt about the Company’s ability to continue as a going concern within </w:t>
      </w:r>
      <w:bookmarkStart w:id="76" w:name="fs_6TH4HNW3WG00000000000000000000fs"/>
      <w:bookmarkEnd w:id="76"/>
      <w:r>
        <w:rPr>
          <w:rFonts w:ascii="times new roman;times" w:hAnsi="times new roman;times"/>
          <w:sz w:val="20"/>
        </w:rPr>
        <w:t xml:space="preserve">one year after the issuance date of these financial statements. Management is actively evaluating strategic alternatives intended to enhance stockholder value and improve liquidity. These alternatives may include </w:t>
      </w:r>
      <w:bookmarkStart w:id="77" w:name="fs_SMRLVUQ6F400000000000000000000fs"/>
      <w:bookmarkEnd w:id="77"/>
      <w:r>
        <w:rPr>
          <w:rFonts w:ascii="times new roman;times" w:hAnsi="times new roman;times"/>
          <w:sz w:val="20"/>
        </w:rPr>
        <w:t>one or more special transactions or other actions that maximize value for stockholders. The consolidated financial statements do not include any adjustments that might result from the outcome of this uncertainty.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fiscal year for ClearOne is the </w:t>
      </w:r>
      <w:bookmarkStart w:id="78" w:name="fs_AQUKFNWM6O00000000000000000000fs"/>
      <w:bookmarkEnd w:id="78"/>
      <w:r>
        <w:rPr>
          <w:rFonts w:ascii="times new roman;times" w:hAnsi="times new roman;times"/>
          <w:sz w:val="20"/>
        </w:rPr>
        <w:t>twelve months ending on December 31. The condensed consolidated financial statements include the accounts of ClearOne and its subsidiaries. All significant inter-company accounts and transactions have been eliminated.</w:t>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9" w:name="PageBreakNo7"/>
            <w:bookmarkEnd w:id="79"/>
            <w:r>
              <w:rPr>
                <w:sz w:val="20"/>
              </w:rPr>
              <w:t>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October 24, 2025, the Company completed the sale of certain intellectual property, product inventory, and non-exclusive rights to customer data (the “Asset Sale”). The disposal represented a strategic shift that has had a major effect on the Company’s operations and financial results. Accordingly, the related operating results are presented as discontinued operations in accordance with ASC 205-20 for all periods presented. Prior-period amounts in the unaudited condensed consolidated statements of operations and cash flows have been recast to conform to this presentation. See Note 2 — Discontinued Operations and Assets Held for Sale for additional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2026 and December 31, 2025, the results of operations for the three months ended March 31, 2026 and </w:t>
      </w:r>
      <w:bookmarkStart w:id="80" w:name="fs_QJ1RRK3FLC00000000000000000000fs"/>
      <w:bookmarkEnd w:id="80"/>
      <w:r>
        <w:rPr>
          <w:rFonts w:ascii="times new roman;times" w:hAnsi="times new roman;times"/>
          <w:sz w:val="20"/>
        </w:rPr>
        <w:t xml:space="preserve">2025, and the cash flows for the three months ended March 31, 2026 and </w:t>
      </w:r>
      <w:bookmarkStart w:id="81" w:name="fs_HLI7WFN54G00000000000000000000fs"/>
      <w:bookmarkEnd w:id="81"/>
      <w:r>
        <w:rPr>
          <w:rFonts w:ascii="times new roman;times" w:hAnsi="times new roman;times"/>
          <w:sz w:val="20"/>
        </w:rPr>
        <w:t xml:space="preserve">2025. The results of operations for the three months ended March 31, 2026 and </w:t>
      </w:r>
      <w:bookmarkStart w:id="82" w:name="fs_6RUD1L7QIO00000000000000000000fs"/>
      <w:bookmarkEnd w:id="82"/>
      <w:r>
        <w:rPr>
          <w:rFonts w:ascii="times new roman;times" w:hAnsi="times new roman;times"/>
          <w:sz w:val="20"/>
        </w:rPr>
        <w:t>2025 are not necessarily indicative of the results for a full-year period. These interim unaudited condensed consolidated financial statements should be read in conjunction with the financial statements included in our Annual Report on Form 10-K for the year ended December 31, 2025 filed with the SEC.</w:t>
      </w:r>
    </w:p>
    <w:p>
      <w:pPr>
        <w:pStyle w:val="TextBody"/>
        <w:bidi w:val="0"/>
        <w:spacing w:lineRule="atLeast" w:line="240"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April 22, 2026 (subsequent to the balance sheet date), the Company completed its reincorporation from Delaware to Nevada by conversion pursuant to the Plan of Conversion approved by stockholders on March 12, 2026. The Company is now a Nevada corporation, and all references to the Company’s governing law and stockholder rights in these financial statements should be read in light of Nevada law. See Note </w:t>
      </w:r>
      <w:bookmarkStart w:id="83" w:name="fs_8F0ACWXOAO00000000000000000000fs"/>
      <w:bookmarkEnd w:id="83"/>
      <w:r>
        <w:rPr>
          <w:rFonts w:ascii="times new roman;times" w:hAnsi="times new roman;times"/>
          <w:sz w:val="20"/>
        </w:rPr>
        <w:t>15 — Subsequent Events for additional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rPr>
      </w:pPr>
      <w:r>
        <w:rPr>
          <w:rFonts w:ascii="times new roman;times" w:hAnsi="times new roman;times"/>
          <w:b/>
          <w:i/>
          <w:sz w:val="20"/>
        </w:rPr>
        <w:t>Reverse Stock Split:</w:t>
      </w:r>
      <w:r>
        <w:rPr>
          <w:rFonts w:ascii="times new roman;times" w:hAnsi="times new roman;times"/>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completed a 1-for-15 reverse stock split of the Company's issued and outstanding common stock, par value $0.001 per share, effective at </w:t>
      </w:r>
      <w:bookmarkStart w:id="84" w:name="fs_EQJ52BVAHS00000000000000000000fs"/>
      <w:bookmarkEnd w:id="84"/>
      <w:r>
        <w:rPr>
          <w:rFonts w:ascii="times new roman;times" w:hAnsi="times new roman;times"/>
          <w:sz w:val="20"/>
        </w:rPr>
        <w:t>5:</w:t>
      </w:r>
      <w:bookmarkStart w:id="85" w:name="fs_J0B2E1U6M800000000000000000000fs"/>
      <w:bookmarkEnd w:id="85"/>
      <w:r>
        <w:rPr>
          <w:rFonts w:ascii="times new roman;times" w:hAnsi="times new roman;times"/>
          <w:sz w:val="20"/>
        </w:rPr>
        <w:t xml:space="preserve">00 p.m. Eastern Time on June 9, 2025. The common stock began trading on a split-adjusted basis on the Nasdaq Capital Market on June 10, 2025, under the symbol "CLRO" and a new CUSIP number of </w:t>
      </w:r>
      <w:bookmarkStart w:id="86" w:name="fs_HBU4ZKVSQO00000000000000000000fs"/>
      <w:bookmarkEnd w:id="86"/>
      <w:r>
        <w:rPr>
          <w:rFonts w:ascii="times new roman;times" w:hAnsi="times new roman;times"/>
          <w:sz w:val="20"/>
        </w:rPr>
        <w:t>18506U</w:t>
      </w:r>
      <w:bookmarkStart w:id="87" w:name="fs_7WDDBM1L6800000000000000000000fs"/>
      <w:bookmarkEnd w:id="87"/>
      <w:r>
        <w:rPr>
          <w:rFonts w:ascii="times new roman;times" w:hAnsi="times new roman;times"/>
          <w:sz w:val="20"/>
        </w:rPr>
        <w:t xml:space="preserve">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88" w:name="fs_3HC7QF4NCW00000000000000000000FM"/>
      <w:bookmarkEnd w:id="88"/>
      <w:r>
        <w:rPr>
          <w:rFonts w:ascii="times new roman;times" w:hAnsi="times new roman;times"/>
          <w:sz w:val="20"/>
        </w:rPr>
        <w:t xml:space="preserve">one share, with no fractional shares issued (any fractional interests were rounded up to the next whole share). The reverse stock split did not change the par value of the common stock or the authorized number of shares but reduced the number of issued and outstanding shares from approximately 26.0 million to approximately 1.7 million, with proportional adjustments to outstanding stock options, warrants, and shares reserved under equity incentive plans. For additional details, refer to the Company's Current Report on Form 8-K filed with the SEC on June 2, 2025, including the press release attached as Exhibit </w:t>
      </w:r>
      <w:bookmarkStart w:id="89" w:name="fs_R1BTIF01FK00000000000000000000fs"/>
      <w:bookmarkEnd w:id="89"/>
      <w:r>
        <w:rPr>
          <w:rFonts w:ascii="times new roman;times" w:hAnsi="times new roman;times"/>
          <w:sz w:val="20"/>
        </w:rPr>
        <w:t xml:space="preserve">99.1 thereto.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share and per-share amounts in these condensed consolidated financial statements and related notes have been retroactively adjusted to reflect the reverse stock split for all periods presented.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rPr>
      </w:pPr>
      <w:r>
        <w:rPr>
          <w:rFonts w:ascii="times new roman;times" w:hAnsi="times new roman;times"/>
          <w:b/>
          <w:i/>
          <w:sz w:val="20"/>
        </w:rPr>
        <w:t>Restricted Cash</w:t>
      </w:r>
      <w:r>
        <w:rPr>
          <w:rFonts w:ascii="times new roman;times" w:hAnsi="times new roman;times"/>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includes restricted cash with cash and cash equivalents when reconciling the beginning-of-period and end-of-period total amounts shown on the statement of cash flows, in accordance with ASU </w:t>
      </w:r>
      <w:bookmarkStart w:id="90" w:name="fs_ARI8HUZK6800000000000000000000fs"/>
      <w:bookmarkEnd w:id="90"/>
      <w:r>
        <w:rPr>
          <w:rFonts w:ascii="times new roman;times" w:hAnsi="times new roman;times"/>
          <w:sz w:val="20"/>
        </w:rPr>
        <w:t>2016-</w:t>
      </w:r>
      <w:bookmarkStart w:id="91" w:name="fs_RXJ37KDSUO00000000000000000000fs"/>
      <w:bookmarkEnd w:id="91"/>
      <w:r>
        <w:rPr>
          <w:rFonts w:ascii="times new roman;times" w:hAnsi="times new roman;times"/>
          <w:sz w:val="20"/>
        </w:rPr>
        <w:t>18.</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March 31, 2026, restricted cash totaled $297 and consisted entirely of remaining proceeds from the $3,000 convertible note issued to First Finance Ltd. on June 20, 2025 (compared to $0 as of March 31, 2025). These funds are subject to enforceable contractual restrictions under Schedule </w:t>
      </w:r>
      <w:bookmarkStart w:id="92" w:name="fs_C18CFBVMKG00000000000000000000fs"/>
      <w:bookmarkEnd w:id="92"/>
      <w:r>
        <w:rPr>
          <w:rFonts w:ascii="times new roman;times" w:hAnsi="times new roman;times"/>
          <w:sz w:val="20"/>
        </w:rPr>
        <w:t>8.5 of the related Note Purchase Agreement, which requires disbursement only upon achievement of specified milestones for uses such as advisory fees, warrant holder payments, legal and audit expenses, staff costs, foreign subsidiary shutdown costs, and severance/PTO payments. The funds are held in a segregated account and are released only upon meeting these milestones. During the three months ended March 31, 2026, $222 was disbursed in accordance with the agreement, resulting in the ending restricted cash balance of $297. The Company expects the remaining restricted cash to be fully disbursed by December 2026 as milestones are achieved.</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contrast, the proceeds received from the March 2, 2026 Securities Purchase Agreement with First Finance Ltd. (totaling $1,750) are not subject to the same contractual disbursement restrictions. Following stockholder approval of the Company’s reincorporation on March 12, 2026, these proceeds became available for general corporate purposes and are therefore classified within Cash and cash equivalents on the balance sheet. Restricted cash is presented as a current asset on the balance sheet and is included in the total cash, cash equivalents, and restricted cash amounts presented in the statement of cash flows. Changes in restricted cash are not reported as separate cash flow activities but are disclosed in this note.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93" w:name="PageBreakNo8"/>
            <w:bookmarkEnd w:id="93"/>
            <w:r>
              <w:rPr>
                <w:sz w:val="20"/>
              </w:rPr>
              <w:t>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Product warranties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The Company provides assurance-type warranties on previously sold products and records a liability for the estimated cost to repair or replace products under warranty at the time of sale in accordance with ASC </w:t>
      </w:r>
      <w:bookmarkStart w:id="94" w:name="fs_4ZCM3TZYTC00000000000000000000fs"/>
      <w:bookmarkEnd w:id="94"/>
      <w:r>
        <w:rPr>
          <w:rFonts w:ascii="times new roman;times" w:hAnsi="times new roman;times"/>
          <w:b w:val="false"/>
          <w:color w:val="000000"/>
          <w:spacing w:val="0"/>
          <w:sz w:val="20"/>
        </w:rPr>
        <w:t>460. The liability is based on historical claim experience, the nature of the underlying products, current information on repair costs and expected failure rates. The Company reviews warranty estimates each period and records adjustments to the liability when facts and circumstances indicate changes in expected claims or costs.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significant accounting policies were described in Note </w:t>
      </w:r>
      <w:bookmarkStart w:id="95" w:name="fs_DB0510MHYO00000000000000000000fs"/>
      <w:bookmarkEnd w:id="95"/>
      <w:r>
        <w:rPr>
          <w:rFonts w:ascii="Times New Roman" w:hAnsi="Times New Roman"/>
          <w:sz w:val="20"/>
        </w:rPr>
        <w:t xml:space="preserve">1 to the audited consolidated financial statements included in the Company’s annual report on Form 10-K for the year ended </w:t>
      </w:r>
      <w:bookmarkStart w:id="96" w:name="fs_BZLMTPSKCG00000000000000000000FM"/>
      <w:bookmarkEnd w:id="96"/>
      <w:r>
        <w:rPr>
          <w:rFonts w:ascii="Times New Roman" w:hAnsi="Times New Roman"/>
          <w:sz w:val="20"/>
        </w:rPr>
        <w:t>December 31, 2025. There have been no changes to these policies during the quarter ended </w:t>
      </w:r>
      <w:bookmarkStart w:id="97" w:name="fs_7AIKCCPYOW00000000000000000000FM"/>
      <w:bookmarkEnd w:id="97"/>
      <w:r>
        <w:rPr>
          <w:rFonts w:ascii="Times New Roman" w:hAnsi="Times New Roman"/>
          <w:sz w:val="20"/>
        </w:rPr>
        <w:t xml:space="preserve">March 31, 2026 that are of significance or potential significance to the Company, other than presentation of discontinued operations as described above and in Note </w:t>
      </w:r>
      <w:bookmarkStart w:id="98" w:name="fs_VH09IXNLPS00000000000000000000fs"/>
      <w:bookmarkEnd w:id="98"/>
      <w:r>
        <w:rPr>
          <w:rFonts w:ascii="Times New Roman" w:hAnsi="Times New Roman"/>
          <w:sz w:val="20"/>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 xml:space="preserve">ASU </w:t>
      </w:r>
      <w:bookmarkStart w:id="99" w:name="fs_4FIX5VYOUO00000000000000000000fs"/>
      <w:bookmarkEnd w:id="99"/>
      <w:r>
        <w:rPr>
          <w:rFonts w:ascii="times new roman;times" w:hAnsi="times new roman;times"/>
          <w:i/>
          <w:color w:val="000000"/>
          <w:sz w:val="20"/>
        </w:rPr>
        <w:t>2024-</w:t>
      </w:r>
      <w:bookmarkStart w:id="100" w:name="fs_S5MYQA81S000000000000000000000fs"/>
      <w:bookmarkEnd w:id="100"/>
      <w:r>
        <w:rPr>
          <w:rFonts w:ascii="times new roman;times" w:hAnsi="times new roman;times"/>
          <w:i/>
          <w:color w:val="000000"/>
          <w:sz w:val="20"/>
        </w:rPr>
        <w:t xml:space="preserve">03, Income Statement—Reporting Comprehensive Income (Topic </w:t>
      </w:r>
      <w:bookmarkStart w:id="101" w:name="fs_NKPS31OKQO00000000000000000000fs"/>
      <w:bookmarkEnd w:id="101"/>
      <w:r>
        <w:rPr>
          <w:rFonts w:ascii="times new roman;times" w:hAnsi="times new roman;times"/>
          <w:i/>
          <w:color w:val="000000"/>
          <w:sz w:val="20"/>
        </w:rPr>
        <w:t>220): Disaggregation of Income Statement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 November 2024, the FASB issued ASU No. </w:t>
      </w:r>
      <w:bookmarkStart w:id="102" w:name="fs_N4DPY30SU800000000000000000000fs"/>
      <w:bookmarkEnd w:id="102"/>
      <w:r>
        <w:rPr>
          <w:rFonts w:ascii="times new roman;times" w:hAnsi="times new roman;times"/>
          <w:sz w:val="20"/>
        </w:rPr>
        <w:t>2024-</w:t>
      </w:r>
      <w:bookmarkStart w:id="103" w:name="fs_Q2I5U0UP4G00000000000000000000fs"/>
      <w:bookmarkEnd w:id="103"/>
      <w:r>
        <w:rPr>
          <w:rFonts w:ascii="times new roman;times" w:hAnsi="times new roman;times"/>
          <w:sz w:val="20"/>
        </w:rPr>
        <w:t xml:space="preserve">03, "Income Statement—Reporting Comprehensive Income (Topic </w:t>
      </w:r>
      <w:bookmarkStart w:id="104" w:name="fs_F1N2QREHJ400000000000000000000fs"/>
      <w:bookmarkEnd w:id="104"/>
      <w:r>
        <w:rPr>
          <w:rFonts w:ascii="times new roman;times" w:hAnsi="times new roman;times"/>
          <w:sz w:val="20"/>
        </w:rPr>
        <w:t xml:space="preserve">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w:t>
      </w:r>
      <w:bookmarkStart w:id="105" w:name="fs_3QVS54GJ7K00000000000000000000FM"/>
      <w:bookmarkEnd w:id="105"/>
      <w:r>
        <w:rPr>
          <w:rFonts w:ascii="times new roman;times" w:hAnsi="times new roman;times"/>
          <w:sz w:val="20"/>
        </w:rPr>
        <w:t xml:space="preserve">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w:t>
      </w:r>
      <w:bookmarkStart w:id="106" w:name="fs_4YP6D1ZZPS00000000000000000000fs"/>
      <w:bookmarkEnd w:id="106"/>
      <w:r>
        <w:rPr>
          <w:rFonts w:ascii="times new roman;times" w:hAnsi="times new roman;times"/>
          <w:sz w:val="20"/>
        </w:rPr>
        <w:t>2024-</w:t>
      </w:r>
      <w:bookmarkStart w:id="107" w:name="fs_L6OCPNI44W00000000000000000000fs"/>
      <w:bookmarkEnd w:id="107"/>
      <w:r>
        <w:rPr>
          <w:rFonts w:ascii="times new roman;times" w:hAnsi="times new roman;times"/>
          <w:sz w:val="20"/>
        </w:rPr>
        <w:t xml:space="preserve">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w:t>
      </w:r>
      <w:bookmarkStart w:id="108" w:name="fs_ZOOSHKMQFK00000000000000000000fs"/>
      <w:bookmarkEnd w:id="108"/>
      <w:r>
        <w:rPr>
          <w:rFonts w:ascii="times new roman;times" w:hAnsi="times new roman;times"/>
          <w:sz w:val="20"/>
        </w:rPr>
        <w:t>2025-</w:t>
      </w:r>
      <w:bookmarkStart w:id="109" w:name="fs_YYUZ8DSR9C00000000000000000000fs"/>
      <w:bookmarkEnd w:id="109"/>
      <w:r>
        <w:rPr>
          <w:rFonts w:ascii="times new roman;times" w:hAnsi="times new roman;times"/>
          <w:sz w:val="20"/>
        </w:rPr>
        <w:t xml:space="preserve">01 clarified that interim period disclosures are not required until annual periods beginning after December 15, 2027. The Company is in the process of evaluating the impact of ASU </w:t>
      </w:r>
      <w:bookmarkStart w:id="110" w:name="fs_GL0PEW6G8W00000000000000000000fs"/>
      <w:bookmarkEnd w:id="110"/>
      <w:r>
        <w:rPr>
          <w:rFonts w:ascii="times new roman;times" w:hAnsi="times new roman;times"/>
          <w:sz w:val="20"/>
        </w:rPr>
        <w:t>2024-</w:t>
      </w:r>
      <w:bookmarkStart w:id="111" w:name="fs_CUMNW5DS4000000000000000000000fs"/>
      <w:bookmarkEnd w:id="111"/>
      <w:r>
        <w:rPr>
          <w:rFonts w:ascii="times new roman;times" w:hAnsi="times new roman;times"/>
          <w:sz w:val="20"/>
        </w:rPr>
        <w:t>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has determined that recently issued accounting standards, other than the above discussed, will not have a material impact on its consolidated financial position, results of operations or cash flows.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144" w:right="144" w:hanging="0"/>
        <w:jc w:val="left"/>
        <w:rPr>
          <w:rFonts w:ascii="times new roman;times" w:hAnsi="times new roman;times" w:eastAsia="times new roman;times" w:cs="times new roman;times"/>
          <w:caps w:val="false"/>
          <w:smallCaps w:val="false"/>
          <w:color w:val="000000"/>
          <w:spacing w:val="0"/>
          <w:sz w:val="20"/>
          <w:szCs w:val="20"/>
        </w:rPr>
      </w:pPr>
      <w:r>
        <w:rPr>
          <w:rFonts w:eastAsia="times new roman;times" w:cs="times new roman;times" w:ascii="times new roman;times" w:hAnsi="times new roman;times"/>
          <w:caps w:val="false"/>
          <w:smallCaps w:val="false"/>
          <w:color w:val="000000"/>
          <w:spacing w:val="0"/>
          <w:sz w:val="20"/>
          <w:szCs w:val="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112" w:name="PageBreakNo9"/>
            <w:bookmarkEnd w:id="112"/>
            <w:r>
              <w:rPr>
                <w:sz w:val="20"/>
              </w:rPr>
              <w:t>9</w:t>
            </w:r>
          </w:p>
        </w:tc>
      </w:tr>
    </w:tbl>
    <w:p>
      <w:pPr>
        <w:pStyle w:val="TextBody"/>
        <w:widowControl/>
        <w:bidi w:val="0"/>
        <w:spacing w:lineRule="auto" w:line="288"/>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88"/>
        <w:jc w:val="left"/>
        <w:rPr/>
      </w:pPr>
      <w:r>
        <w:rPr/>
      </w:r>
    </w:p>
    <w:p>
      <w:pPr>
        <w:pStyle w:val="TextBody"/>
        <w:widowControl/>
        <w:bidi w:val="0"/>
        <w:spacing w:lineRule="auto" w:line="288"/>
        <w:jc w:val="left"/>
        <w:rPr/>
      </w:pPr>
      <w:hyperlink w:anchor="TOC">
        <w:r>
          <w:rPr>
            <w:rStyle w:val="InternetLink"/>
            <w:rFonts w:ascii="times new roman;times" w:hAnsi="times new roman;times"/>
            <w:b w:val="false"/>
            <w:i w:val="false"/>
            <w:caps w:val="false"/>
            <w:smallCaps w:val="false"/>
            <w:color w:val="0000FF"/>
            <w:spacing w:val="0"/>
            <w:sz w:val="20"/>
          </w:rPr>
          <w:t>Table of Contents</w:t>
        </w:r>
      </w:hyperlink>
    </w:p>
    <w:p>
      <w:pPr>
        <w:pStyle w:val="TextBody"/>
        <w:widowControl/>
        <w:bidi w:val="0"/>
        <w:spacing w:lineRule="auto" w:line="288" w:before="0" w:after="0"/>
        <w:ind w:left="144" w:right="144"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lineRule="auto" w:line="288" w:before="0" w:after="0"/>
        <w:ind w:left="144" w:right="144"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(Dollars in thousands, except per share amounts)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2. </w:t>
      </w:r>
      <w:r>
        <w:rPr>
          <w:rFonts w:ascii="Times New Roman;serif" w:hAnsi="Times New Roman;serif"/>
          <w:b/>
          <w:sz w:val="20"/>
        </w:rPr>
        <w:t>Discontinued Operations and Assets Held for Sale</w:t>
      </w:r>
      <w:r>
        <w:rPr>
          <w:rFonts w:ascii="Times New Roman" w:hAnsi="Times New Roman"/>
          <w:b/>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October 24, 2025, the Company completed the sale of substantially all of its operating assets and intellectual property related to its product business to Biamp Systems, LLC (the “Asset Sale”). The transaction represented a strategic shift that had (and continues to have) a major effect on the Company’s operations and financial results. Accordingly, the results of the disposed component are presented as discontinued operations in the accompanying condensed consolidated statements of operations and cash flows for all periods presented, in accordance with ASC </w:t>
      </w:r>
      <w:bookmarkStart w:id="113" w:name="fs_HVF3X6FN0W00000000000000000000fs"/>
      <w:bookmarkEnd w:id="113"/>
      <w:r>
        <w:rPr>
          <w:rFonts w:ascii="times new roman;times" w:hAnsi="times new roman;times"/>
          <w:sz w:val="20"/>
        </w:rPr>
        <w:t>205-</w:t>
      </w:r>
      <w:bookmarkStart w:id="114" w:name="fs_PECVIA2DTC00000000000000000000fs"/>
      <w:bookmarkEnd w:id="114"/>
      <w:r>
        <w:rPr>
          <w:rFonts w:ascii="times new roman;times" w:hAnsi="times new roman;times"/>
          <w:sz w:val="20"/>
        </w:rPr>
        <w:t>20.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 xml:space="preserve">The disposal group was sold prior to December 31, 2025. As a result, the carrying value of the remaining disposal group was $0 at both </w:t>
      </w:r>
      <w:bookmarkStart w:id="115" w:name="fs_2NFU54LR7K00000000000000000000FM"/>
      <w:bookmarkEnd w:id="115"/>
      <w:r>
        <w:rPr>
          <w:rFonts w:ascii="Times New Roman;serif" w:hAnsi="Times New Roman;serif"/>
          <w:sz w:val="20"/>
        </w:rPr>
        <w:t xml:space="preserve">December 31, 2025 and </w:t>
      </w:r>
      <w:bookmarkStart w:id="116" w:name="fs_CA7HLNW3K000000000000000000000FM"/>
      <w:bookmarkEnd w:id="116"/>
      <w:r>
        <w:rPr>
          <w:rFonts w:ascii="Times New Roman;serif" w:hAnsi="Times New Roman;serif"/>
          <w:sz w:val="20"/>
        </w:rPr>
        <w:t>March 31, 2026. The Company continues to fulfill limited warranty and technical support obligations for legacy products sold prior to the Asset Sale. These activities are reflected in continuing operations, along with residual collections. Liability settlements are reflected within discontinued operations.</w:t>
      </w:r>
      <w:r>
        <w:rPr>
          <w:rFonts w:ascii="times new roman;times" w:hAnsi="times new roman;times"/>
          <w:sz w:val="20"/>
        </w:rPr>
        <w:t xml:space="preserve"> </w:t>
      </w:r>
    </w:p>
    <w:p>
      <w:pPr>
        <w:pStyle w:val="TextBody"/>
        <w:bidi w:val="0"/>
        <w:spacing w:lineRule="atLeast" w:line="240" w:before="200" w:after="200"/>
        <w:ind w:left="0" w:right="0" w:hanging="0"/>
        <w:jc w:val="both"/>
        <w:rPr>
          <w:rFonts w:ascii="Times New Roman;serif" w:hAnsi="Times New Roman;serif"/>
          <w:sz w:val="20"/>
        </w:rPr>
      </w:pPr>
      <w:r>
        <w:rPr>
          <w:rFonts w:ascii="Times New Roman;serif" w:hAnsi="Times New Roman;serif"/>
          <w:sz w:val="20"/>
        </w:rPr>
        <w:t xml:space="preserve">For a full description of the Asset Sale, including the Strategic Plan approved by the Board in September 2025, the mandatory redemption of the Class A Redeemable Preferred Stock (classified as a current liability — see Note </w:t>
      </w:r>
      <w:bookmarkStart w:id="117" w:name="fs_2VSL1T751S00000000000000000000fs"/>
      <w:bookmarkEnd w:id="117"/>
      <w:r>
        <w:rPr>
          <w:rFonts w:ascii="Times New Roman;serif" w:hAnsi="Times New Roman;serif"/>
          <w:sz w:val="20"/>
        </w:rPr>
        <w:t xml:space="preserve">3), and the classification of assets and liabilities as held for sale, see Note </w:t>
      </w:r>
      <w:bookmarkStart w:id="118" w:name="fs_SYWRHCDAV400000000000000000000fs"/>
      <w:bookmarkEnd w:id="118"/>
      <w:r>
        <w:rPr>
          <w:rFonts w:ascii="Times New Roman;serif" w:hAnsi="Times New Roman;serif"/>
          <w:sz w:val="20"/>
        </w:rPr>
        <w:t>2 to the Company’s Annual Report on Form 10-K for the year ended December 31, 2025.</w:t>
      </w:r>
    </w:p>
    <w:p>
      <w:pPr>
        <w:pStyle w:val="TextBody"/>
        <w:bidi w:val="0"/>
        <w:spacing w:before="0" w:after="0"/>
        <w:jc w:val="left"/>
        <w:rPr>
          <w:rFonts w:ascii="times new roman;times" w:hAnsi="times new roman;times"/>
          <w:sz w:val="20"/>
        </w:rPr>
      </w:pPr>
      <w:r>
        <w:rPr>
          <w:rFonts w:ascii="Times New Roman;serif" w:hAnsi="Times New Roman;serif"/>
          <w:sz w:val="20"/>
        </w:rPr>
        <w:t>Major line items of results of discontinued operations (unaudited):</w:t>
      </w:r>
      <w:r>
        <w:rPr>
          <w:rFonts w:ascii="times new roman;times" w:hAnsi="times new roman;times"/>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194"/>
        <w:gridCol w:w="82"/>
        <w:gridCol w:w="173"/>
        <w:gridCol w:w="1323"/>
        <w:gridCol w:w="240"/>
        <w:gridCol w:w="68"/>
        <w:gridCol w:w="375"/>
        <w:gridCol w:w="1639"/>
        <w:gridCol w:w="111"/>
      </w:tblGrid>
      <w:tr>
        <w:trPr/>
        <w:tc>
          <w:tcPr>
            <w:tcW w:w="6194"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left"/>
              <w:rPr/>
            </w:pPr>
            <w:r>
              <w:rPr/>
            </w:r>
          </w:p>
        </w:tc>
        <w:tc>
          <w:tcPr>
            <w:tcW w:w="3645" w:type="dxa"/>
            <w:gridSpan w:val="5"/>
            <w:tcBorders/>
            <w:vAlign w:val="bottom"/>
          </w:tcPr>
          <w:p>
            <w:pPr>
              <w:pStyle w:val="TableContents"/>
              <w:bidi w:val="0"/>
              <w:spacing w:before="0" w:after="283"/>
              <w:jc w:val="center"/>
              <w:rPr>
                <w:rFonts w:ascii="Times New Roman;serif" w:hAnsi="Times New Roman;serif"/>
                <w:b/>
                <w:strike w:val="false"/>
                <w:dstrike w:val="false"/>
                <w:color w:val="000000"/>
                <w:sz w:val="20"/>
                <w:u w:val="none"/>
                <w:effect w:val="none"/>
              </w:rPr>
            </w:pPr>
            <w:r>
              <w:rPr>
                <w:rFonts w:ascii="Times New Roman;serif" w:hAnsi="Times New Roman;serif"/>
                <w:b/>
                <w:strike w:val="false"/>
                <w:dstrike w:val="false"/>
                <w:color w:val="000000"/>
                <w:sz w:val="20"/>
                <w:u w:val="none"/>
                <w:effect w:val="none"/>
              </w:rPr>
              <w:t>Three months ended March 31,</w:t>
            </w:r>
          </w:p>
        </w:tc>
        <w:tc>
          <w:tcPr>
            <w:tcW w:w="111" w:type="dxa"/>
            <w:tcBorders/>
            <w:vAlign w:val="bottom"/>
          </w:tcPr>
          <w:p>
            <w:pPr>
              <w:pStyle w:val="TableContents"/>
              <w:bidi w:val="0"/>
              <w:spacing w:before="0" w:after="283"/>
              <w:jc w:val="left"/>
              <w:rPr/>
            </w:pPr>
            <w:r>
              <w:rPr/>
            </w:r>
          </w:p>
        </w:tc>
      </w:tr>
      <w:tr>
        <w:trPr/>
        <w:tc>
          <w:tcPr>
            <w:tcW w:w="6194"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left"/>
              <w:rPr/>
            </w:pPr>
            <w:r>
              <w:rPr/>
            </w:r>
          </w:p>
        </w:tc>
        <w:tc>
          <w:tcPr>
            <w:tcW w:w="1323" w:type="dxa"/>
            <w:tcBorders/>
            <w:vAlign w:val="bottom"/>
          </w:tcPr>
          <w:p>
            <w:pPr>
              <w:pStyle w:val="TableContents"/>
              <w:bidi w:val="0"/>
              <w:spacing w:before="0" w:after="283"/>
              <w:jc w:val="center"/>
              <w:rPr>
                <w:rFonts w:ascii="Times New Roman;serif" w:hAnsi="Times New Roman;serif"/>
                <w:b/>
                <w:strike w:val="false"/>
                <w:dstrike w:val="false"/>
                <w:color w:val="000000"/>
                <w:sz w:val="20"/>
                <w:u w:val="none"/>
                <w:effect w:val="none"/>
              </w:rPr>
            </w:pPr>
            <w:bookmarkStart w:id="119" w:name="fs_ZQIY0H76HC00000000000000000000fs"/>
            <w:bookmarkEnd w:id="119"/>
            <w:r>
              <w:rPr>
                <w:rFonts w:ascii="Times New Roman;serif" w:hAnsi="Times New Roman;serif"/>
                <w:b/>
                <w:strike w:val="false"/>
                <w:dstrike w:val="false"/>
                <w:color w:val="000000"/>
                <w:sz w:val="20"/>
                <w:u w:val="none"/>
                <w:effect w:val="none"/>
              </w:rPr>
              <w:t>2026</w:t>
            </w:r>
          </w:p>
        </w:tc>
        <w:tc>
          <w:tcPr>
            <w:tcW w:w="240" w:type="dxa"/>
            <w:tcBorders/>
            <w:vAlign w:val="bottom"/>
          </w:tcPr>
          <w:p>
            <w:pPr>
              <w:pStyle w:val="TableContents"/>
              <w:bidi w:val="0"/>
              <w:spacing w:before="0" w:after="283"/>
              <w:jc w:val="left"/>
              <w:rPr/>
            </w:pPr>
            <w:r>
              <w:rPr/>
            </w:r>
          </w:p>
        </w:tc>
        <w:tc>
          <w:tcPr>
            <w:tcW w:w="68" w:type="dxa"/>
            <w:tcBorders/>
            <w:vAlign w:val="bottom"/>
          </w:tcPr>
          <w:p>
            <w:pPr>
              <w:pStyle w:val="TableContents"/>
              <w:bidi w:val="0"/>
              <w:spacing w:before="0" w:after="283"/>
              <w:jc w:val="left"/>
              <w:rPr/>
            </w:pPr>
            <w:r>
              <w:rPr/>
            </w:r>
          </w:p>
        </w:tc>
        <w:tc>
          <w:tcPr>
            <w:tcW w:w="375" w:type="dxa"/>
            <w:tcBorders/>
            <w:vAlign w:val="bottom"/>
          </w:tcPr>
          <w:p>
            <w:pPr>
              <w:pStyle w:val="TableContents"/>
              <w:bidi w:val="0"/>
              <w:spacing w:before="0" w:after="283"/>
              <w:jc w:val="left"/>
              <w:rPr/>
            </w:pPr>
            <w:r>
              <w:rPr/>
            </w:r>
          </w:p>
        </w:tc>
        <w:tc>
          <w:tcPr>
            <w:tcW w:w="1639" w:type="dxa"/>
            <w:tcBorders/>
            <w:vAlign w:val="bottom"/>
          </w:tcPr>
          <w:p>
            <w:pPr>
              <w:pStyle w:val="TableContents"/>
              <w:bidi w:val="0"/>
              <w:spacing w:before="0" w:after="283"/>
              <w:jc w:val="center"/>
              <w:rPr>
                <w:rFonts w:ascii="Times New Roman;serif" w:hAnsi="Times New Roman;serif"/>
                <w:b/>
                <w:strike w:val="false"/>
                <w:dstrike w:val="false"/>
                <w:color w:val="000000"/>
                <w:sz w:val="20"/>
                <w:u w:val="none"/>
                <w:effect w:val="none"/>
              </w:rPr>
            </w:pPr>
            <w:bookmarkStart w:id="120" w:name="fs_YBHN7EKMUO00000000000000000000fs"/>
            <w:bookmarkEnd w:id="120"/>
            <w:r>
              <w:rPr>
                <w:rFonts w:ascii="Times New Roman;serif" w:hAnsi="Times New Roman;serif"/>
                <w:b/>
                <w:strike w:val="false"/>
                <w:dstrike w:val="false"/>
                <w:color w:val="000000"/>
                <w:sz w:val="20"/>
                <w:u w:val="none"/>
                <w:effect w:val="none"/>
              </w:rPr>
              <w:t>2025</w:t>
            </w:r>
          </w:p>
        </w:tc>
        <w:tc>
          <w:tcPr>
            <w:tcW w:w="111" w:type="dxa"/>
            <w:tcBorders/>
            <w:vAlign w:val="bottom"/>
          </w:tcPr>
          <w:p>
            <w:pPr>
              <w:pStyle w:val="TableContents"/>
              <w:bidi w:val="0"/>
              <w:spacing w:before="0" w:after="283"/>
              <w:jc w:val="left"/>
              <w:rPr/>
            </w:pPr>
            <w:r>
              <w:rPr/>
            </w:r>
          </w:p>
        </w:tc>
      </w:tr>
      <w:tr>
        <w:trPr/>
        <w:tc>
          <w:tcPr>
            <w:tcW w:w="6194" w:type="dxa"/>
            <w:tcBorders/>
            <w:shd w:fill="CCEEFF" w:val="clear"/>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Revenue</w:t>
            </w:r>
          </w:p>
        </w:tc>
        <w:tc>
          <w:tcPr>
            <w:tcW w:w="82"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shd w:fill="CCEEFF" w:val="clear"/>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1323"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240" w:type="dxa"/>
            <w:tcBorders/>
            <w:shd w:fill="CCEEFF" w:val="clear"/>
            <w:vAlign w:val="bottom"/>
          </w:tcPr>
          <w:p>
            <w:pPr>
              <w:pStyle w:val="TableContents"/>
              <w:bidi w:val="0"/>
              <w:spacing w:before="0" w:after="283"/>
              <w:jc w:val="left"/>
              <w:rPr/>
            </w:pPr>
            <w:r>
              <w:rPr/>
            </w:r>
          </w:p>
        </w:tc>
        <w:tc>
          <w:tcPr>
            <w:tcW w:w="68" w:type="dxa"/>
            <w:tcBorders/>
            <w:shd w:fill="CCEEFF" w:val="clear"/>
            <w:vAlign w:val="bottom"/>
          </w:tcPr>
          <w:p>
            <w:pPr>
              <w:pStyle w:val="TableContents"/>
              <w:bidi w:val="0"/>
              <w:spacing w:before="0" w:after="283"/>
              <w:jc w:val="left"/>
              <w:rPr/>
            </w:pPr>
            <w:r>
              <w:rPr/>
            </w:r>
          </w:p>
        </w:tc>
        <w:tc>
          <w:tcPr>
            <w:tcW w:w="375" w:type="dxa"/>
            <w:tcBorders/>
            <w:shd w:fill="CCEEFF" w:val="clear"/>
            <w:vAlign w:val="bottom"/>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1639"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2,313</w:t>
            </w:r>
          </w:p>
        </w:tc>
        <w:tc>
          <w:tcPr>
            <w:tcW w:w="111" w:type="dxa"/>
            <w:tcBorders/>
            <w:shd w:fill="CCEEFF" w:val="clear"/>
            <w:vAlign w:val="bottom"/>
          </w:tcPr>
          <w:p>
            <w:pPr>
              <w:pStyle w:val="TableContents"/>
              <w:bidi w:val="0"/>
              <w:spacing w:before="0" w:after="283"/>
              <w:jc w:val="left"/>
              <w:rPr/>
            </w:pPr>
            <w:r>
              <w:rPr/>
            </w:r>
          </w:p>
        </w:tc>
      </w:tr>
      <w:tr>
        <w:trPr/>
        <w:tc>
          <w:tcPr>
            <w:tcW w:w="6194"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Cost of goods sold</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left"/>
              <w:rPr/>
            </w:pPr>
            <w:r>
              <w:rPr/>
            </w:r>
          </w:p>
        </w:tc>
        <w:tc>
          <w:tcPr>
            <w:tcW w:w="1323"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88</w:t>
            </w:r>
          </w:p>
        </w:tc>
        <w:tc>
          <w:tcPr>
            <w:tcW w:w="240" w:type="dxa"/>
            <w:tcBorders/>
            <w:vAlign w:val="bottom"/>
          </w:tcPr>
          <w:p>
            <w:pPr>
              <w:pStyle w:val="TableContents"/>
              <w:bidi w:val="0"/>
              <w:spacing w:before="0" w:after="283"/>
              <w:jc w:val="left"/>
              <w:rPr/>
            </w:pPr>
            <w:r>
              <w:rPr/>
            </w:r>
          </w:p>
        </w:tc>
        <w:tc>
          <w:tcPr>
            <w:tcW w:w="68" w:type="dxa"/>
            <w:tcBorders/>
            <w:vAlign w:val="bottom"/>
          </w:tcPr>
          <w:p>
            <w:pPr>
              <w:pStyle w:val="TableContents"/>
              <w:bidi w:val="0"/>
              <w:spacing w:before="0" w:after="283"/>
              <w:jc w:val="left"/>
              <w:rPr/>
            </w:pPr>
            <w:r>
              <w:rPr/>
            </w:r>
          </w:p>
        </w:tc>
        <w:tc>
          <w:tcPr>
            <w:tcW w:w="375" w:type="dxa"/>
            <w:tcBorders/>
            <w:vAlign w:val="bottom"/>
          </w:tcPr>
          <w:p>
            <w:pPr>
              <w:pStyle w:val="TableContents"/>
              <w:bidi w:val="0"/>
              <w:spacing w:before="0" w:after="283"/>
              <w:jc w:val="left"/>
              <w:rPr/>
            </w:pPr>
            <w:r>
              <w:rPr/>
            </w:r>
          </w:p>
        </w:tc>
        <w:tc>
          <w:tcPr>
            <w:tcW w:w="1639"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2,165</w:t>
            </w:r>
          </w:p>
        </w:tc>
        <w:tc>
          <w:tcPr>
            <w:tcW w:w="111" w:type="dxa"/>
            <w:tcBorders/>
            <w:vAlign w:val="bottom"/>
          </w:tcPr>
          <w:p>
            <w:pPr>
              <w:pStyle w:val="TableContents"/>
              <w:bidi w:val="0"/>
              <w:spacing w:before="0" w:after="283"/>
              <w:jc w:val="left"/>
              <w:rPr/>
            </w:pPr>
            <w:r>
              <w:rPr/>
            </w:r>
          </w:p>
        </w:tc>
      </w:tr>
      <w:tr>
        <w:trPr/>
        <w:tc>
          <w:tcPr>
            <w:tcW w:w="6194" w:type="dxa"/>
            <w:tcBorders/>
            <w:shd w:fill="CCEEFF" w:val="clear"/>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Gross profit (loss)</w:t>
            </w:r>
          </w:p>
        </w:tc>
        <w:tc>
          <w:tcPr>
            <w:tcW w:w="82"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shd w:fill="CCEEFF" w:val="clear"/>
            <w:vAlign w:val="bottom"/>
          </w:tcPr>
          <w:p>
            <w:pPr>
              <w:pStyle w:val="TableContents"/>
              <w:bidi w:val="0"/>
              <w:spacing w:before="0" w:after="283"/>
              <w:jc w:val="left"/>
              <w:rPr/>
            </w:pPr>
            <w:r>
              <w:rPr/>
            </w:r>
          </w:p>
        </w:tc>
        <w:tc>
          <w:tcPr>
            <w:tcW w:w="1323"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(88</w:t>
            </w:r>
          </w:p>
        </w:tc>
        <w:tc>
          <w:tcPr>
            <w:tcW w:w="240"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68" w:type="dxa"/>
            <w:tcBorders/>
            <w:shd w:fill="CCEEFF" w:val="clear"/>
            <w:vAlign w:val="bottom"/>
          </w:tcPr>
          <w:p>
            <w:pPr>
              <w:pStyle w:val="TableContents"/>
              <w:bidi w:val="0"/>
              <w:spacing w:before="0" w:after="283"/>
              <w:jc w:val="left"/>
              <w:rPr/>
            </w:pPr>
            <w:r>
              <w:rPr/>
            </w:r>
          </w:p>
        </w:tc>
        <w:tc>
          <w:tcPr>
            <w:tcW w:w="375" w:type="dxa"/>
            <w:tcBorders/>
            <w:shd w:fill="CCEEFF" w:val="clear"/>
            <w:vAlign w:val="bottom"/>
          </w:tcPr>
          <w:p>
            <w:pPr>
              <w:pStyle w:val="TableContents"/>
              <w:bidi w:val="0"/>
              <w:spacing w:before="0" w:after="283"/>
              <w:jc w:val="left"/>
              <w:rPr/>
            </w:pPr>
            <w:r>
              <w:rPr/>
            </w:r>
          </w:p>
        </w:tc>
        <w:tc>
          <w:tcPr>
            <w:tcW w:w="1639"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148</w:t>
            </w:r>
          </w:p>
        </w:tc>
        <w:tc>
          <w:tcPr>
            <w:tcW w:w="111" w:type="dxa"/>
            <w:tcBorders/>
            <w:shd w:fill="CCEEFF" w:val="clear"/>
            <w:vAlign w:val="bottom"/>
          </w:tcPr>
          <w:p>
            <w:pPr>
              <w:pStyle w:val="TableContents"/>
              <w:bidi w:val="0"/>
              <w:spacing w:before="0" w:after="283"/>
              <w:jc w:val="left"/>
              <w:rPr/>
            </w:pPr>
            <w:r>
              <w:rPr/>
            </w:r>
          </w:p>
        </w:tc>
      </w:tr>
      <w:tr>
        <w:trPr/>
        <w:tc>
          <w:tcPr>
            <w:tcW w:w="6194"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Operating expenses</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left"/>
              <w:rPr/>
            </w:pPr>
            <w:r>
              <w:rPr/>
            </w:r>
          </w:p>
        </w:tc>
        <w:tc>
          <w:tcPr>
            <w:tcW w:w="1323"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264</w:t>
            </w:r>
          </w:p>
        </w:tc>
        <w:tc>
          <w:tcPr>
            <w:tcW w:w="240" w:type="dxa"/>
            <w:tcBorders/>
            <w:vAlign w:val="bottom"/>
          </w:tcPr>
          <w:p>
            <w:pPr>
              <w:pStyle w:val="TableContents"/>
              <w:bidi w:val="0"/>
              <w:spacing w:before="0" w:after="283"/>
              <w:jc w:val="left"/>
              <w:rPr/>
            </w:pPr>
            <w:r>
              <w:rPr/>
            </w:r>
          </w:p>
        </w:tc>
        <w:tc>
          <w:tcPr>
            <w:tcW w:w="68" w:type="dxa"/>
            <w:tcBorders/>
            <w:vAlign w:val="bottom"/>
          </w:tcPr>
          <w:p>
            <w:pPr>
              <w:pStyle w:val="TableContents"/>
              <w:bidi w:val="0"/>
              <w:spacing w:before="0" w:after="283"/>
              <w:jc w:val="left"/>
              <w:rPr/>
            </w:pPr>
            <w:r>
              <w:rPr/>
            </w:r>
          </w:p>
        </w:tc>
        <w:tc>
          <w:tcPr>
            <w:tcW w:w="375" w:type="dxa"/>
            <w:tcBorders/>
            <w:vAlign w:val="bottom"/>
          </w:tcPr>
          <w:p>
            <w:pPr>
              <w:pStyle w:val="TableContents"/>
              <w:bidi w:val="0"/>
              <w:spacing w:before="0" w:after="283"/>
              <w:jc w:val="left"/>
              <w:rPr/>
            </w:pPr>
            <w:r>
              <w:rPr/>
            </w:r>
          </w:p>
        </w:tc>
        <w:tc>
          <w:tcPr>
            <w:tcW w:w="1639"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2,168</w:t>
            </w:r>
          </w:p>
        </w:tc>
        <w:tc>
          <w:tcPr>
            <w:tcW w:w="111" w:type="dxa"/>
            <w:tcBorders/>
            <w:vAlign w:val="bottom"/>
          </w:tcPr>
          <w:p>
            <w:pPr>
              <w:pStyle w:val="TableContents"/>
              <w:bidi w:val="0"/>
              <w:spacing w:before="0" w:after="283"/>
              <w:jc w:val="left"/>
              <w:rPr/>
            </w:pPr>
            <w:r>
              <w:rPr/>
            </w:r>
          </w:p>
        </w:tc>
      </w:tr>
      <w:tr>
        <w:trPr/>
        <w:tc>
          <w:tcPr>
            <w:tcW w:w="6194" w:type="dxa"/>
            <w:tcBorders/>
            <w:shd w:fill="CCEEFF" w:val="clear"/>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Other expenses</w:t>
            </w:r>
          </w:p>
        </w:tc>
        <w:tc>
          <w:tcPr>
            <w:tcW w:w="82"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shd w:fill="CCEEFF" w:val="clear"/>
            <w:vAlign w:val="bottom"/>
          </w:tcPr>
          <w:p>
            <w:pPr>
              <w:pStyle w:val="TableContents"/>
              <w:bidi w:val="0"/>
              <w:spacing w:before="0" w:after="283"/>
              <w:jc w:val="left"/>
              <w:rPr/>
            </w:pPr>
            <w:r>
              <w:rPr/>
            </w:r>
          </w:p>
        </w:tc>
        <w:tc>
          <w:tcPr>
            <w:tcW w:w="1323"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78</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r>
          </w:p>
        </w:tc>
        <w:tc>
          <w:tcPr>
            <w:tcW w:w="375" w:type="dxa"/>
            <w:tcBorders/>
            <w:shd w:fill="CCEEFF" w:val="clear"/>
            <w:vAlign w:val="bottom"/>
          </w:tcPr>
          <w:p>
            <w:pPr>
              <w:pStyle w:val="TableContents"/>
              <w:bidi w:val="0"/>
              <w:spacing w:before="0" w:after="283"/>
              <w:jc w:val="left"/>
              <w:rPr/>
            </w:pPr>
            <w:r>
              <w:rPr/>
            </w:r>
          </w:p>
        </w:tc>
        <w:tc>
          <w:tcPr>
            <w:tcW w:w="1639"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111" w:type="dxa"/>
            <w:tcBorders/>
            <w:shd w:fill="CCEEFF" w:val="clear"/>
            <w:vAlign w:val="bottom"/>
          </w:tcPr>
          <w:p>
            <w:pPr>
              <w:pStyle w:val="TableContents"/>
              <w:bidi w:val="0"/>
              <w:spacing w:before="0" w:after="283"/>
              <w:jc w:val="left"/>
              <w:rPr/>
            </w:pPr>
            <w:r>
              <w:rPr/>
            </w:r>
          </w:p>
        </w:tc>
      </w:tr>
      <w:tr>
        <w:trPr/>
        <w:tc>
          <w:tcPr>
            <w:tcW w:w="6194"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Loss from discontinued operations before income taxes</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left"/>
              <w:rPr/>
            </w:pPr>
            <w:r>
              <w:rPr/>
            </w:r>
          </w:p>
        </w:tc>
        <w:tc>
          <w:tcPr>
            <w:tcW w:w="1323"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(430</w:t>
            </w:r>
          </w:p>
        </w:tc>
        <w:tc>
          <w:tcPr>
            <w:tcW w:w="240" w:type="dxa"/>
            <w:tcBorders/>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68" w:type="dxa"/>
            <w:tcBorders/>
            <w:vAlign w:val="bottom"/>
          </w:tcPr>
          <w:p>
            <w:pPr>
              <w:pStyle w:val="TableContents"/>
              <w:bidi w:val="0"/>
              <w:spacing w:before="0" w:after="283"/>
              <w:jc w:val="left"/>
              <w:rPr/>
            </w:pPr>
            <w:r>
              <w:rPr/>
            </w:r>
          </w:p>
        </w:tc>
        <w:tc>
          <w:tcPr>
            <w:tcW w:w="375" w:type="dxa"/>
            <w:tcBorders/>
            <w:vAlign w:val="bottom"/>
          </w:tcPr>
          <w:p>
            <w:pPr>
              <w:pStyle w:val="TableContents"/>
              <w:bidi w:val="0"/>
              <w:spacing w:before="0" w:after="283"/>
              <w:jc w:val="left"/>
              <w:rPr/>
            </w:pPr>
            <w:r>
              <w:rPr/>
            </w:r>
          </w:p>
        </w:tc>
        <w:tc>
          <w:tcPr>
            <w:tcW w:w="1639"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(2,020</w:t>
            </w:r>
          </w:p>
        </w:tc>
        <w:tc>
          <w:tcPr>
            <w:tcW w:w="111"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r>
      <w:tr>
        <w:trPr/>
        <w:tc>
          <w:tcPr>
            <w:tcW w:w="6194" w:type="dxa"/>
            <w:tcBorders/>
            <w:shd w:fill="CCEEFF" w:val="clear"/>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Benefit for income taxes</w:t>
            </w:r>
          </w:p>
        </w:tc>
        <w:tc>
          <w:tcPr>
            <w:tcW w:w="82"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shd w:fill="CCEEFF" w:val="clear"/>
            <w:vAlign w:val="bottom"/>
          </w:tcPr>
          <w:p>
            <w:pPr>
              <w:pStyle w:val="TableContents"/>
              <w:bidi w:val="0"/>
              <w:spacing w:before="0" w:after="283"/>
              <w:jc w:val="left"/>
              <w:rPr/>
            </w:pPr>
            <w:r>
              <w:rPr/>
            </w:r>
          </w:p>
        </w:tc>
        <w:tc>
          <w:tcPr>
            <w:tcW w:w="1323"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793</w:t>
            </w:r>
          </w:p>
        </w:tc>
        <w:tc>
          <w:tcPr>
            <w:tcW w:w="240" w:type="dxa"/>
            <w:tcBorders/>
            <w:shd w:fill="CCEEFF" w:val="clear"/>
            <w:vAlign w:val="bottom"/>
          </w:tcPr>
          <w:p>
            <w:pPr>
              <w:pStyle w:val="TableContents"/>
              <w:bidi w:val="0"/>
              <w:spacing w:before="0" w:after="283"/>
              <w:jc w:val="left"/>
              <w:rPr/>
            </w:pPr>
            <w:r>
              <w:rPr/>
            </w:r>
          </w:p>
        </w:tc>
        <w:tc>
          <w:tcPr>
            <w:tcW w:w="68" w:type="dxa"/>
            <w:tcBorders/>
            <w:shd w:fill="CCEEFF" w:val="clear"/>
            <w:vAlign w:val="bottom"/>
          </w:tcPr>
          <w:p>
            <w:pPr>
              <w:pStyle w:val="TableContents"/>
              <w:bidi w:val="0"/>
              <w:spacing w:before="0" w:after="283"/>
              <w:jc w:val="left"/>
              <w:rPr/>
            </w:pPr>
            <w:r>
              <w:rPr/>
            </w:r>
          </w:p>
        </w:tc>
        <w:tc>
          <w:tcPr>
            <w:tcW w:w="375" w:type="dxa"/>
            <w:tcBorders/>
            <w:shd w:fill="CCEEFF" w:val="clear"/>
            <w:vAlign w:val="bottom"/>
          </w:tcPr>
          <w:p>
            <w:pPr>
              <w:pStyle w:val="TableContents"/>
              <w:bidi w:val="0"/>
              <w:spacing w:before="0" w:after="283"/>
              <w:jc w:val="left"/>
              <w:rPr/>
            </w:pPr>
            <w:r>
              <w:rPr/>
            </w:r>
          </w:p>
        </w:tc>
        <w:tc>
          <w:tcPr>
            <w:tcW w:w="1639"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111" w:type="dxa"/>
            <w:tcBorders/>
            <w:shd w:fill="CCEEFF" w:val="clear"/>
            <w:vAlign w:val="bottom"/>
          </w:tcPr>
          <w:p>
            <w:pPr>
              <w:pStyle w:val="TableContents"/>
              <w:bidi w:val="0"/>
              <w:spacing w:before="0" w:after="283"/>
              <w:jc w:val="left"/>
              <w:rPr/>
            </w:pPr>
            <w:r>
              <w:rPr/>
            </w:r>
          </w:p>
        </w:tc>
      </w:tr>
      <w:tr>
        <w:trPr/>
        <w:tc>
          <w:tcPr>
            <w:tcW w:w="6194"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Income (Loss) from discontinued operations, net of tax</w:t>
            </w:r>
          </w:p>
        </w:tc>
        <w:tc>
          <w:tcPr>
            <w:tcW w:w="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73" w:type="dxa"/>
            <w:tcBorders/>
            <w:vAlign w:val="bottom"/>
          </w:tcPr>
          <w:p>
            <w:pPr>
              <w:pStyle w:val="TableContents"/>
              <w:bidi w:val="0"/>
              <w:spacing w:before="0" w:after="283"/>
              <w:jc w:val="both"/>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1323"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363</w:t>
            </w:r>
          </w:p>
        </w:tc>
        <w:tc>
          <w:tcPr>
            <w:tcW w:w="24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r>
          </w:p>
        </w:tc>
        <w:tc>
          <w:tcPr>
            <w:tcW w:w="375" w:type="dxa"/>
            <w:tcBorders/>
            <w:vAlign w:val="bottom"/>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1639"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(2,020</w:t>
            </w:r>
          </w:p>
        </w:tc>
        <w:tc>
          <w:tcPr>
            <w:tcW w:w="111"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412"/>
        <w:gridCol w:w="241"/>
        <w:gridCol w:w="724"/>
        <w:gridCol w:w="1510"/>
        <w:gridCol w:w="132"/>
        <w:gridCol w:w="133"/>
        <w:gridCol w:w="724"/>
        <w:gridCol w:w="3252"/>
        <w:gridCol w:w="77"/>
      </w:tblGrid>
      <w:tr>
        <w:trPr/>
        <w:tc>
          <w:tcPr>
            <w:tcW w:w="3412"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6475" w:type="dxa"/>
            <w:gridSpan w:val="6"/>
            <w:tcBorders/>
            <w:vAlign w:val="center"/>
          </w:tcPr>
          <w:p>
            <w:pPr>
              <w:pStyle w:val="TableContents"/>
              <w:bidi w:val="0"/>
              <w:spacing w:before="0" w:after="283"/>
              <w:jc w:val="center"/>
              <w:rPr>
                <w:b/>
              </w:rPr>
            </w:pPr>
            <w:bookmarkStart w:id="121" w:name="fs_7WFTJJSJZ400000000000000000000FM"/>
            <w:bookmarkEnd w:id="121"/>
            <w:r>
              <w:rPr>
                <w:b/>
              </w:rPr>
              <w:t>Three months ended March 31,</w:t>
            </w:r>
          </w:p>
        </w:tc>
        <w:tc>
          <w:tcPr>
            <w:tcW w:w="77" w:type="dxa"/>
            <w:tcBorders/>
            <w:vAlign w:val="center"/>
          </w:tcPr>
          <w:p>
            <w:pPr>
              <w:pStyle w:val="TableContents"/>
              <w:bidi w:val="0"/>
              <w:spacing w:before="0" w:after="283"/>
              <w:jc w:val="left"/>
              <w:rPr/>
            </w:pPr>
            <w:r>
              <w:rPr/>
            </w:r>
          </w:p>
        </w:tc>
      </w:tr>
      <w:tr>
        <w:trPr/>
        <w:tc>
          <w:tcPr>
            <w:tcW w:w="3412"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2234" w:type="dxa"/>
            <w:gridSpan w:val="2"/>
            <w:tcBorders/>
            <w:vAlign w:val="center"/>
          </w:tcPr>
          <w:p>
            <w:pPr>
              <w:pStyle w:val="TableContents"/>
              <w:bidi w:val="0"/>
              <w:spacing w:before="0" w:after="283"/>
              <w:jc w:val="center"/>
              <w:rPr>
                <w:b/>
              </w:rPr>
            </w:pPr>
            <w:bookmarkStart w:id="122" w:name="fs_NMNK6GU6KG00000000000000000000FM"/>
            <w:bookmarkEnd w:id="122"/>
            <w:r>
              <w:rPr>
                <w:b/>
              </w:rPr>
              <w:t>2026</w:t>
            </w:r>
          </w:p>
        </w:tc>
        <w:tc>
          <w:tcPr>
            <w:tcW w:w="132"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pPr>
            <w:r>
              <w:rPr/>
            </w:r>
          </w:p>
        </w:tc>
        <w:tc>
          <w:tcPr>
            <w:tcW w:w="3976" w:type="dxa"/>
            <w:gridSpan w:val="2"/>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bookmarkStart w:id="123" w:name="fs_MADNN3TZRK00000000000000000000FM"/>
            <w:bookmarkEnd w:id="123"/>
            <w:r>
              <w:rPr>
                <w:rFonts w:ascii="times new roman" w:hAnsi="times new roman"/>
                <w:b/>
                <w:color w:val="000000"/>
                <w:spacing w:val="0"/>
                <w:sz w:val="20"/>
              </w:rPr>
              <w:t>2025</w:t>
            </w:r>
          </w:p>
        </w:tc>
        <w:tc>
          <w:tcPr>
            <w:tcW w:w="77" w:type="dxa"/>
            <w:tcBorders/>
            <w:vAlign w:val="center"/>
          </w:tcPr>
          <w:p>
            <w:pPr>
              <w:pStyle w:val="TableContents"/>
              <w:bidi w:val="0"/>
              <w:spacing w:before="0" w:after="283"/>
              <w:jc w:val="left"/>
              <w:rPr/>
            </w:pPr>
            <w:r>
              <w:rPr/>
            </w:r>
          </w:p>
        </w:tc>
      </w:tr>
      <w:tr>
        <w:trPr/>
        <w:tc>
          <w:tcPr>
            <w:tcW w:w="34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Audio conferencing </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7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510"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7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3252" w:type="dxa"/>
            <w:tcBorders/>
            <w:shd w:fill="CCEEFF" w:val="clear"/>
            <w:vAlign w:val="center"/>
          </w:tcPr>
          <w:p>
            <w:pPr>
              <w:pStyle w:val="TableContents"/>
              <w:bidi w:val="0"/>
              <w:spacing w:before="0" w:after="283"/>
              <w:jc w:val="right"/>
              <w:rPr/>
            </w:pPr>
            <w:r>
              <w:rPr/>
              <w:t>953</w:t>
            </w:r>
          </w:p>
        </w:tc>
        <w:tc>
          <w:tcPr>
            <w:tcW w:w="77" w:type="dxa"/>
            <w:tcBorders/>
            <w:shd w:fill="CCEEFF" w:val="clear"/>
            <w:vAlign w:val="center"/>
          </w:tcPr>
          <w:p>
            <w:pPr>
              <w:pStyle w:val="TableContents"/>
              <w:bidi w:val="0"/>
              <w:spacing w:before="0" w:after="283"/>
              <w:jc w:val="left"/>
              <w:rPr/>
            </w:pPr>
            <w:r>
              <w:rPr/>
            </w:r>
          </w:p>
        </w:tc>
      </w:tr>
      <w:tr>
        <w:trPr/>
        <w:tc>
          <w:tcPr>
            <w:tcW w:w="341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Microphones </w:t>
            </w:r>
          </w:p>
        </w:tc>
        <w:tc>
          <w:tcPr>
            <w:tcW w:w="241" w:type="dxa"/>
            <w:tcBorders/>
            <w:vAlign w:val="center"/>
          </w:tcPr>
          <w:p>
            <w:pPr>
              <w:pStyle w:val="TableContents"/>
              <w:bidi w:val="0"/>
              <w:spacing w:before="0" w:after="0"/>
              <w:ind w:left="0" w:right="0" w:hanging="0"/>
              <w:jc w:val="left"/>
              <w:rPr/>
            </w:pPr>
            <w:r>
              <w:rPr/>
              <w:t xml:space="preserve">  </w:t>
            </w:r>
          </w:p>
        </w:tc>
        <w:tc>
          <w:tcPr>
            <w:tcW w:w="724" w:type="dxa"/>
            <w:tcBorders/>
            <w:vAlign w:val="center"/>
          </w:tcPr>
          <w:p>
            <w:pPr>
              <w:pStyle w:val="TableContents"/>
              <w:bidi w:val="0"/>
              <w:spacing w:before="0" w:after="283"/>
              <w:jc w:val="left"/>
              <w:rPr/>
            </w:pPr>
            <w:r>
              <w:rPr/>
            </w:r>
          </w:p>
        </w:tc>
        <w:tc>
          <w:tcPr>
            <w:tcW w:w="1510"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pPr>
            <w:r>
              <w:rPr/>
            </w:r>
          </w:p>
        </w:tc>
        <w:tc>
          <w:tcPr>
            <w:tcW w:w="724" w:type="dxa"/>
            <w:tcBorders/>
            <w:vAlign w:val="center"/>
          </w:tcPr>
          <w:p>
            <w:pPr>
              <w:pStyle w:val="TableContents"/>
              <w:bidi w:val="0"/>
              <w:spacing w:before="0" w:after="283"/>
              <w:jc w:val="left"/>
              <w:rPr/>
            </w:pPr>
            <w:r>
              <w:rPr/>
            </w:r>
          </w:p>
        </w:tc>
        <w:tc>
          <w:tcPr>
            <w:tcW w:w="3252" w:type="dxa"/>
            <w:tcBorders/>
            <w:vAlign w:val="center"/>
          </w:tcPr>
          <w:p>
            <w:pPr>
              <w:pStyle w:val="TableContents"/>
              <w:bidi w:val="0"/>
              <w:spacing w:before="0" w:after="283"/>
              <w:jc w:val="right"/>
              <w:rPr/>
            </w:pPr>
            <w:r>
              <w:rPr/>
              <w:t>1,118</w:t>
            </w:r>
          </w:p>
        </w:tc>
        <w:tc>
          <w:tcPr>
            <w:tcW w:w="77" w:type="dxa"/>
            <w:tcBorders/>
            <w:vAlign w:val="center"/>
          </w:tcPr>
          <w:p>
            <w:pPr>
              <w:pStyle w:val="TableContents"/>
              <w:bidi w:val="0"/>
              <w:spacing w:before="0" w:after="283"/>
              <w:jc w:val="left"/>
              <w:rPr/>
            </w:pPr>
            <w:r>
              <w:rPr/>
            </w:r>
          </w:p>
        </w:tc>
      </w:tr>
      <w:tr>
        <w:trPr/>
        <w:tc>
          <w:tcPr>
            <w:tcW w:w="34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Video products </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724" w:type="dxa"/>
            <w:tcBorders/>
            <w:shd w:fill="CCEEFF" w:val="clear"/>
            <w:vAlign w:val="center"/>
          </w:tcPr>
          <w:p>
            <w:pPr>
              <w:pStyle w:val="TableContents"/>
              <w:bidi w:val="0"/>
              <w:spacing w:before="0" w:after="283"/>
              <w:jc w:val="left"/>
              <w:rPr/>
            </w:pPr>
            <w:r>
              <w:rPr/>
            </w:r>
          </w:p>
        </w:tc>
        <w:tc>
          <w:tcPr>
            <w:tcW w:w="1510"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r>
          </w:p>
        </w:tc>
        <w:tc>
          <w:tcPr>
            <w:tcW w:w="133" w:type="dxa"/>
            <w:tcBorders/>
            <w:shd w:fill="CCEEFF" w:val="clear"/>
            <w:vAlign w:val="center"/>
          </w:tcPr>
          <w:p>
            <w:pPr>
              <w:pStyle w:val="TableContents"/>
              <w:bidi w:val="0"/>
              <w:spacing w:before="0" w:after="283"/>
              <w:jc w:val="left"/>
              <w:rPr/>
            </w:pPr>
            <w:r>
              <w:rPr/>
            </w:r>
          </w:p>
        </w:tc>
        <w:tc>
          <w:tcPr>
            <w:tcW w:w="724" w:type="dxa"/>
            <w:tcBorders/>
            <w:shd w:fill="CCEEFF" w:val="clear"/>
            <w:vAlign w:val="center"/>
          </w:tcPr>
          <w:p>
            <w:pPr>
              <w:pStyle w:val="TableContents"/>
              <w:bidi w:val="0"/>
              <w:spacing w:before="0" w:after="283"/>
              <w:jc w:val="left"/>
              <w:rPr/>
            </w:pPr>
            <w:r>
              <w:rPr/>
            </w:r>
          </w:p>
        </w:tc>
        <w:tc>
          <w:tcPr>
            <w:tcW w:w="3252" w:type="dxa"/>
            <w:tcBorders/>
            <w:shd w:fill="CCEEFF" w:val="clear"/>
            <w:vAlign w:val="center"/>
          </w:tcPr>
          <w:p>
            <w:pPr>
              <w:pStyle w:val="TableContents"/>
              <w:bidi w:val="0"/>
              <w:spacing w:before="0" w:after="283"/>
              <w:jc w:val="right"/>
              <w:rPr/>
            </w:pPr>
            <w:r>
              <w:rPr/>
              <w:t>242</w:t>
            </w:r>
          </w:p>
        </w:tc>
        <w:tc>
          <w:tcPr>
            <w:tcW w:w="77" w:type="dxa"/>
            <w:tcBorders/>
            <w:shd w:fill="CCEEFF" w:val="clear"/>
            <w:vAlign w:val="center"/>
          </w:tcPr>
          <w:p>
            <w:pPr>
              <w:pStyle w:val="TableContents"/>
              <w:bidi w:val="0"/>
              <w:spacing w:before="0" w:after="283"/>
              <w:jc w:val="left"/>
              <w:rPr/>
            </w:pPr>
            <w:r>
              <w:rPr/>
            </w:r>
          </w:p>
        </w:tc>
      </w:tr>
      <w:tr>
        <w:trPr/>
        <w:tc>
          <w:tcPr>
            <w:tcW w:w="3412"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7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510"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pPr>
            <w:r>
              <w:rPr/>
            </w:r>
          </w:p>
        </w:tc>
        <w:tc>
          <w:tcPr>
            <w:tcW w:w="7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3252" w:type="dxa"/>
            <w:tcBorders/>
            <w:vAlign w:val="center"/>
          </w:tcPr>
          <w:p>
            <w:pPr>
              <w:pStyle w:val="TableContents"/>
              <w:bidi w:val="0"/>
              <w:spacing w:before="0" w:after="283"/>
              <w:jc w:val="right"/>
              <w:rPr/>
            </w:pPr>
            <w:r>
              <w:rPr/>
              <w:t>2,313</w:t>
            </w:r>
          </w:p>
        </w:tc>
        <w:tc>
          <w:tcPr>
            <w:tcW w:w="77" w:type="dxa"/>
            <w:tcBorders/>
            <w:vAlign w:val="center"/>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both"/>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disaggregates the Company’s revenue into major regions: </w:t>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860"/>
        <w:gridCol w:w="154"/>
        <w:gridCol w:w="464"/>
        <w:gridCol w:w="965"/>
        <w:gridCol w:w="85"/>
        <w:gridCol w:w="85"/>
        <w:gridCol w:w="463"/>
        <w:gridCol w:w="2080"/>
        <w:gridCol w:w="49"/>
      </w:tblGrid>
      <w:tr>
        <w:trPr/>
        <w:tc>
          <w:tcPr>
            <w:tcW w:w="5860"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4142" w:type="dxa"/>
            <w:gridSpan w:val="6"/>
            <w:tcBorders/>
            <w:vAlign w:val="center"/>
          </w:tcPr>
          <w:p>
            <w:pPr>
              <w:pStyle w:val="TableContents"/>
              <w:bidi w:val="0"/>
              <w:spacing w:before="0" w:after="283"/>
              <w:jc w:val="center"/>
              <w:rPr>
                <w:b/>
              </w:rPr>
            </w:pPr>
            <w:bookmarkStart w:id="124" w:name="fs_977MBFIULS00000000000000000000FM"/>
            <w:bookmarkEnd w:id="124"/>
            <w:r>
              <w:rPr>
                <w:b/>
              </w:rPr>
              <w:t>Three months ended March 31,</w:t>
            </w:r>
          </w:p>
        </w:tc>
        <w:tc>
          <w:tcPr>
            <w:tcW w:w="49" w:type="dxa"/>
            <w:tcBorders/>
            <w:vAlign w:val="center"/>
          </w:tcPr>
          <w:p>
            <w:pPr>
              <w:pStyle w:val="TableContents"/>
              <w:bidi w:val="0"/>
              <w:spacing w:before="0" w:after="283"/>
              <w:jc w:val="left"/>
              <w:rPr/>
            </w:pPr>
            <w:r>
              <w:rPr/>
            </w:r>
          </w:p>
        </w:tc>
      </w:tr>
      <w:tr>
        <w:trPr/>
        <w:tc>
          <w:tcPr>
            <w:tcW w:w="5860"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1429" w:type="dxa"/>
            <w:gridSpan w:val="2"/>
            <w:tcBorders/>
            <w:vAlign w:val="center"/>
          </w:tcPr>
          <w:p>
            <w:pPr>
              <w:pStyle w:val="TableContents"/>
              <w:bidi w:val="0"/>
              <w:spacing w:before="0" w:after="283"/>
              <w:jc w:val="center"/>
              <w:rPr>
                <w:b/>
              </w:rPr>
            </w:pPr>
            <w:bookmarkStart w:id="125" w:name="fs_XUYR60HWYO00000000000000000000fs"/>
            <w:bookmarkEnd w:id="125"/>
            <w:r>
              <w:rPr>
                <w:b/>
              </w:rPr>
              <w:t>2026</w:t>
            </w:r>
          </w:p>
        </w:tc>
        <w:tc>
          <w:tcPr>
            <w:tcW w:w="85" w:type="dxa"/>
            <w:tcBorders/>
            <w:vAlign w:val="center"/>
          </w:tcPr>
          <w:p>
            <w:pPr>
              <w:pStyle w:val="TableContents"/>
              <w:bidi w:val="0"/>
              <w:spacing w:before="0" w:after="283"/>
              <w:jc w:val="left"/>
              <w:rPr/>
            </w:pPr>
            <w:r>
              <w:rPr/>
            </w:r>
          </w:p>
        </w:tc>
        <w:tc>
          <w:tcPr>
            <w:tcW w:w="85" w:type="dxa"/>
            <w:tcBorders/>
            <w:vAlign w:val="center"/>
          </w:tcPr>
          <w:p>
            <w:pPr>
              <w:pStyle w:val="TableContents"/>
              <w:bidi w:val="0"/>
              <w:spacing w:before="0" w:after="283"/>
              <w:jc w:val="left"/>
              <w:rPr/>
            </w:pPr>
            <w:r>
              <w:rPr/>
            </w:r>
          </w:p>
        </w:tc>
        <w:tc>
          <w:tcPr>
            <w:tcW w:w="2543" w:type="dxa"/>
            <w:gridSpan w:val="2"/>
            <w:tcBorders/>
            <w:vAlign w:val="center"/>
          </w:tcPr>
          <w:p>
            <w:pPr>
              <w:pStyle w:val="TableContents"/>
              <w:bidi w:val="0"/>
              <w:spacing w:before="0" w:after="283"/>
              <w:jc w:val="center"/>
              <w:rPr>
                <w:b/>
              </w:rPr>
            </w:pPr>
            <w:bookmarkStart w:id="126" w:name="fs_48LMQLYDV400000000000000000000fs"/>
            <w:bookmarkEnd w:id="126"/>
            <w:r>
              <w:rPr>
                <w:b/>
              </w:rPr>
              <w:t>2025</w:t>
            </w:r>
          </w:p>
        </w:tc>
        <w:tc>
          <w:tcPr>
            <w:tcW w:w="49" w:type="dxa"/>
            <w:tcBorders/>
            <w:vAlign w:val="center"/>
          </w:tcPr>
          <w:p>
            <w:pPr>
              <w:pStyle w:val="TableContents"/>
              <w:bidi w:val="0"/>
              <w:spacing w:before="0" w:after="283"/>
              <w:jc w:val="left"/>
              <w:rPr/>
            </w:pPr>
            <w:r>
              <w:rPr/>
            </w:r>
          </w:p>
        </w:tc>
      </w:tr>
      <w:tr>
        <w:trPr/>
        <w:tc>
          <w:tcPr>
            <w:tcW w:w="58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North and South America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46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6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r>
          </w:p>
        </w:tc>
        <w:tc>
          <w:tcPr>
            <w:tcW w:w="85" w:type="dxa"/>
            <w:tcBorders/>
            <w:shd w:fill="CCEEFF" w:val="clear"/>
            <w:vAlign w:val="center"/>
          </w:tcPr>
          <w:p>
            <w:pPr>
              <w:pStyle w:val="TableContents"/>
              <w:bidi w:val="0"/>
              <w:spacing w:before="0" w:after="283"/>
              <w:ind w:left="0" w:right="0" w:hanging="0"/>
              <w:jc w:val="left"/>
              <w:rPr/>
            </w:pPr>
            <w:r>
              <w:rPr/>
            </w:r>
          </w:p>
        </w:tc>
        <w:tc>
          <w:tcPr>
            <w:tcW w:w="463"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080" w:type="dxa"/>
            <w:tcBorders/>
            <w:shd w:fill="CCEEFF" w:val="clear"/>
            <w:vAlign w:val="center"/>
          </w:tcPr>
          <w:p>
            <w:pPr>
              <w:pStyle w:val="TableContents"/>
              <w:bidi w:val="0"/>
              <w:spacing w:before="0" w:after="283"/>
              <w:jc w:val="right"/>
              <w:rPr/>
            </w:pPr>
            <w:r>
              <w:rPr/>
              <w:t>960</w:t>
            </w:r>
          </w:p>
        </w:tc>
        <w:tc>
          <w:tcPr>
            <w:tcW w:w="49" w:type="dxa"/>
            <w:tcBorders/>
            <w:shd w:fill="CCEEFF" w:val="clear"/>
            <w:vAlign w:val="center"/>
          </w:tcPr>
          <w:p>
            <w:pPr>
              <w:pStyle w:val="TableContents"/>
              <w:bidi w:val="0"/>
              <w:spacing w:before="0" w:after="283"/>
              <w:jc w:val="left"/>
              <w:rPr/>
            </w:pPr>
            <w:r>
              <w:rPr/>
            </w:r>
          </w:p>
        </w:tc>
      </w:tr>
      <w:tr>
        <w:trPr/>
        <w:tc>
          <w:tcPr>
            <w:tcW w:w="58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Asia Pacific (includes Middle East, India and Australia) </w:t>
            </w:r>
          </w:p>
        </w:tc>
        <w:tc>
          <w:tcPr>
            <w:tcW w:w="154" w:type="dxa"/>
            <w:tcBorders/>
            <w:vAlign w:val="center"/>
          </w:tcPr>
          <w:p>
            <w:pPr>
              <w:pStyle w:val="TableContents"/>
              <w:bidi w:val="0"/>
              <w:spacing w:before="0" w:after="0"/>
              <w:ind w:left="0" w:right="0" w:hanging="0"/>
              <w:jc w:val="left"/>
              <w:rPr/>
            </w:pPr>
            <w:r>
              <w:rPr/>
              <w:t xml:space="preserve">  </w:t>
            </w:r>
          </w:p>
        </w:tc>
        <w:tc>
          <w:tcPr>
            <w:tcW w:w="464" w:type="dxa"/>
            <w:tcBorders/>
            <w:vAlign w:val="center"/>
          </w:tcPr>
          <w:p>
            <w:pPr>
              <w:pStyle w:val="TableContents"/>
              <w:bidi w:val="0"/>
              <w:spacing w:before="0" w:after="283"/>
              <w:jc w:val="left"/>
              <w:rPr/>
            </w:pPr>
            <w:r>
              <w:rPr/>
            </w:r>
          </w:p>
        </w:tc>
        <w:tc>
          <w:tcPr>
            <w:tcW w:w="965"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left"/>
              <w:rPr/>
            </w:pPr>
            <w:r>
              <w:rPr/>
            </w:r>
          </w:p>
        </w:tc>
        <w:tc>
          <w:tcPr>
            <w:tcW w:w="85" w:type="dxa"/>
            <w:tcBorders/>
            <w:vAlign w:val="center"/>
          </w:tcPr>
          <w:p>
            <w:pPr>
              <w:pStyle w:val="TableContents"/>
              <w:bidi w:val="0"/>
              <w:spacing w:before="0" w:after="283"/>
              <w:ind w:left="0" w:right="0" w:hanging="0"/>
              <w:jc w:val="left"/>
              <w:rPr/>
            </w:pPr>
            <w:r>
              <w:rPr/>
            </w:r>
          </w:p>
        </w:tc>
        <w:tc>
          <w:tcPr>
            <w:tcW w:w="463" w:type="dxa"/>
            <w:tcBorders/>
            <w:vAlign w:val="center"/>
          </w:tcPr>
          <w:p>
            <w:pPr>
              <w:pStyle w:val="TableContents"/>
              <w:bidi w:val="0"/>
              <w:spacing w:before="0" w:after="283"/>
              <w:jc w:val="left"/>
              <w:rPr/>
            </w:pPr>
            <w:r>
              <w:rPr/>
            </w:r>
          </w:p>
        </w:tc>
        <w:tc>
          <w:tcPr>
            <w:tcW w:w="2080" w:type="dxa"/>
            <w:tcBorders/>
            <w:vAlign w:val="center"/>
          </w:tcPr>
          <w:p>
            <w:pPr>
              <w:pStyle w:val="TableContents"/>
              <w:bidi w:val="0"/>
              <w:spacing w:before="0" w:after="283"/>
              <w:jc w:val="right"/>
              <w:rPr/>
            </w:pPr>
            <w:r>
              <w:rPr/>
              <w:t>1,188</w:t>
            </w:r>
          </w:p>
        </w:tc>
        <w:tc>
          <w:tcPr>
            <w:tcW w:w="49" w:type="dxa"/>
            <w:tcBorders/>
            <w:vAlign w:val="center"/>
          </w:tcPr>
          <w:p>
            <w:pPr>
              <w:pStyle w:val="TableContents"/>
              <w:bidi w:val="0"/>
              <w:spacing w:before="0" w:after="283"/>
              <w:jc w:val="left"/>
              <w:rPr/>
            </w:pPr>
            <w:r>
              <w:rPr/>
            </w:r>
          </w:p>
        </w:tc>
      </w:tr>
      <w:tr>
        <w:trPr/>
        <w:tc>
          <w:tcPr>
            <w:tcW w:w="58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Europe and Africa </w:t>
            </w:r>
          </w:p>
        </w:tc>
        <w:tc>
          <w:tcPr>
            <w:tcW w:w="154" w:type="dxa"/>
            <w:tcBorders/>
            <w:shd w:fill="CCEEFF" w:val="clear"/>
            <w:vAlign w:val="center"/>
          </w:tcPr>
          <w:p>
            <w:pPr>
              <w:pStyle w:val="TableContents"/>
              <w:bidi w:val="0"/>
              <w:spacing w:before="0" w:after="0"/>
              <w:ind w:left="0" w:right="0" w:hanging="0"/>
              <w:jc w:val="left"/>
              <w:rPr/>
            </w:pPr>
            <w:r>
              <w:rPr/>
              <w:t xml:space="preserve">  </w:t>
            </w:r>
          </w:p>
        </w:tc>
        <w:tc>
          <w:tcPr>
            <w:tcW w:w="464" w:type="dxa"/>
            <w:tcBorders/>
            <w:shd w:fill="CCEEFF" w:val="clear"/>
            <w:vAlign w:val="center"/>
          </w:tcPr>
          <w:p>
            <w:pPr>
              <w:pStyle w:val="TableContents"/>
              <w:bidi w:val="0"/>
              <w:spacing w:before="0" w:after="283"/>
              <w:jc w:val="left"/>
              <w:rPr/>
            </w:pPr>
            <w:r>
              <w:rPr/>
            </w:r>
          </w:p>
        </w:tc>
        <w:tc>
          <w:tcPr>
            <w:tcW w:w="96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r>
          </w:p>
        </w:tc>
        <w:tc>
          <w:tcPr>
            <w:tcW w:w="85" w:type="dxa"/>
            <w:tcBorders/>
            <w:shd w:fill="CCEEFF" w:val="clear"/>
            <w:vAlign w:val="center"/>
          </w:tcPr>
          <w:p>
            <w:pPr>
              <w:pStyle w:val="TableContents"/>
              <w:bidi w:val="0"/>
              <w:spacing w:before="0" w:after="283"/>
              <w:ind w:left="0" w:right="0" w:hanging="0"/>
              <w:jc w:val="left"/>
              <w:rPr/>
            </w:pPr>
            <w:r>
              <w:rPr/>
            </w:r>
          </w:p>
        </w:tc>
        <w:tc>
          <w:tcPr>
            <w:tcW w:w="463" w:type="dxa"/>
            <w:tcBorders/>
            <w:shd w:fill="CCEEFF" w:val="clear"/>
            <w:vAlign w:val="center"/>
          </w:tcPr>
          <w:p>
            <w:pPr>
              <w:pStyle w:val="TableContents"/>
              <w:bidi w:val="0"/>
              <w:spacing w:before="0" w:after="283"/>
              <w:jc w:val="left"/>
              <w:rPr/>
            </w:pPr>
            <w:r>
              <w:rPr/>
            </w:r>
          </w:p>
        </w:tc>
        <w:tc>
          <w:tcPr>
            <w:tcW w:w="2080" w:type="dxa"/>
            <w:tcBorders/>
            <w:shd w:fill="CCEEFF" w:val="clear"/>
            <w:vAlign w:val="center"/>
          </w:tcPr>
          <w:p>
            <w:pPr>
              <w:pStyle w:val="TableContents"/>
              <w:bidi w:val="0"/>
              <w:spacing w:before="0" w:after="283"/>
              <w:jc w:val="right"/>
              <w:rPr/>
            </w:pPr>
            <w:r>
              <w:rPr/>
              <w:t>165</w:t>
            </w:r>
          </w:p>
        </w:tc>
        <w:tc>
          <w:tcPr>
            <w:tcW w:w="49" w:type="dxa"/>
            <w:tcBorders/>
            <w:shd w:fill="CCEEFF" w:val="clear"/>
            <w:vAlign w:val="center"/>
          </w:tcPr>
          <w:p>
            <w:pPr>
              <w:pStyle w:val="TableContents"/>
              <w:bidi w:val="0"/>
              <w:spacing w:before="0" w:after="283"/>
              <w:jc w:val="left"/>
              <w:rPr/>
            </w:pPr>
            <w:r>
              <w:rPr/>
            </w:r>
          </w:p>
        </w:tc>
      </w:tr>
      <w:tr>
        <w:trPr/>
        <w:tc>
          <w:tcPr>
            <w:tcW w:w="5860" w:type="dxa"/>
            <w:tcBorders/>
            <w:vAlign w:val="center"/>
          </w:tcPr>
          <w:p>
            <w:pPr>
              <w:pStyle w:val="TableContents"/>
              <w:bidi w:val="0"/>
              <w:spacing w:before="0" w:after="0"/>
              <w:ind w:left="0" w:right="0" w:hanging="0"/>
              <w:jc w:val="left"/>
              <w:rPr/>
            </w:pPr>
            <w:r>
              <w:rPr/>
              <w:t xml:space="preserve">  </w:t>
            </w:r>
          </w:p>
        </w:tc>
        <w:tc>
          <w:tcPr>
            <w:tcW w:w="154" w:type="dxa"/>
            <w:tcBorders/>
            <w:vAlign w:val="center"/>
          </w:tcPr>
          <w:p>
            <w:pPr>
              <w:pStyle w:val="TableContents"/>
              <w:bidi w:val="0"/>
              <w:spacing w:before="0" w:after="0"/>
              <w:ind w:left="0" w:right="0" w:hanging="0"/>
              <w:jc w:val="left"/>
              <w:rPr/>
            </w:pPr>
            <w:r>
              <w:rPr/>
              <w:t xml:space="preserve">  </w:t>
            </w:r>
          </w:p>
        </w:tc>
        <w:tc>
          <w:tcPr>
            <w:tcW w:w="46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65" w:type="dxa"/>
            <w:tcBorders/>
            <w:vAlign w:val="center"/>
          </w:tcPr>
          <w:p>
            <w:pPr>
              <w:pStyle w:val="TableContents"/>
              <w:bidi w:val="0"/>
              <w:spacing w:before="0" w:after="283"/>
              <w:jc w:val="right"/>
              <w:rPr/>
            </w:pPr>
            <w:r>
              <w:rPr/>
              <w:t>—</w:t>
            </w:r>
          </w:p>
        </w:tc>
        <w:tc>
          <w:tcPr>
            <w:tcW w:w="85" w:type="dxa"/>
            <w:tcBorders/>
            <w:vAlign w:val="center"/>
          </w:tcPr>
          <w:p>
            <w:pPr>
              <w:pStyle w:val="TableContents"/>
              <w:bidi w:val="0"/>
              <w:spacing w:before="0" w:after="283"/>
              <w:jc w:val="left"/>
              <w:rPr/>
            </w:pPr>
            <w:r>
              <w:rPr/>
            </w:r>
          </w:p>
        </w:tc>
        <w:tc>
          <w:tcPr>
            <w:tcW w:w="85" w:type="dxa"/>
            <w:tcBorders/>
            <w:vAlign w:val="center"/>
          </w:tcPr>
          <w:p>
            <w:pPr>
              <w:pStyle w:val="TableContents"/>
              <w:bidi w:val="0"/>
              <w:spacing w:before="0" w:after="283"/>
              <w:ind w:left="0" w:right="0" w:hanging="0"/>
              <w:jc w:val="left"/>
              <w:rPr/>
            </w:pPr>
            <w:r>
              <w:rPr/>
            </w:r>
          </w:p>
        </w:tc>
        <w:tc>
          <w:tcPr>
            <w:tcW w:w="463"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080" w:type="dxa"/>
            <w:tcBorders/>
            <w:vAlign w:val="center"/>
          </w:tcPr>
          <w:p>
            <w:pPr>
              <w:pStyle w:val="TableContents"/>
              <w:bidi w:val="0"/>
              <w:spacing w:before="0" w:after="283"/>
              <w:jc w:val="right"/>
              <w:rPr>
                <w:sz w:val="20"/>
              </w:rPr>
            </w:pPr>
            <w:r>
              <w:rPr>
                <w:sz w:val="20"/>
              </w:rPr>
              <w:t>2,313</w:t>
            </w:r>
          </w:p>
        </w:tc>
        <w:tc>
          <w:tcPr>
            <w:tcW w:w="49" w:type="dxa"/>
            <w:tcBorders/>
            <w:vAlign w:val="center"/>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27" w:name="PageBreakNo10"/>
            <w:bookmarkEnd w:id="127"/>
            <w:r>
              <w:rPr>
                <w:sz w:val="20"/>
              </w:rPr>
              <w:t>10</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before="0" w:after="0"/>
        <w:ind w:left="144" w:right="144"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(Unaudited - Dollars in thousands, except per share amounts)</w:t>
      </w:r>
    </w:p>
    <w:p>
      <w:pPr>
        <w:pStyle w:val="TextBody"/>
        <w:bidi w:val="0"/>
        <w:spacing w:before="0" w:after="0"/>
        <w:ind w:left="0" w:right="0" w:hanging="0"/>
        <w:jc w:val="left"/>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Assets grouped into discontinued operations (unaudited):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4473"/>
        <w:gridCol w:w="95"/>
        <w:gridCol w:w="198"/>
        <w:gridCol w:w="2216"/>
        <w:gridCol w:w="95"/>
        <w:gridCol w:w="95"/>
        <w:gridCol w:w="269"/>
        <w:gridCol w:w="2669"/>
        <w:gridCol w:w="95"/>
      </w:tblGrid>
      <w:tr>
        <w:trPr/>
        <w:tc>
          <w:tcPr>
            <w:tcW w:w="4473" w:type="dxa"/>
            <w:tcBorders/>
            <w:vAlign w:val="center"/>
          </w:tcPr>
          <w:p>
            <w:pPr>
              <w:pStyle w:val="TableContents"/>
              <w:bidi w:val="0"/>
              <w:spacing w:before="0" w:after="283"/>
              <w:ind w:left="0" w:right="0" w:hanging="0"/>
              <w:jc w:val="left"/>
              <w:rPr>
                <w:strike w:val="false"/>
                <w:dstrike w:val="false"/>
                <w:color w:val="000000"/>
                <w:u w:val="none"/>
                <w:effect w:val="none"/>
              </w:rPr>
            </w:pPr>
            <w:r>
              <w:rPr>
                <w:strike w:val="false"/>
                <w:dstrike w:val="false"/>
                <w:color w:val="000000"/>
                <w:u w:val="none"/>
                <w:effect w:val="none"/>
              </w:rPr>
              <w:t> </w:t>
            </w:r>
          </w:p>
        </w:tc>
        <w:tc>
          <w:tcPr>
            <w:tcW w:w="95" w:type="dxa"/>
            <w:tcBorders/>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vAlign w:val="center"/>
          </w:tcPr>
          <w:p>
            <w:pPr>
              <w:pStyle w:val="TableContents"/>
              <w:bidi w:val="0"/>
              <w:spacing w:before="0" w:after="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16" w:type="dxa"/>
            <w:tcBorders/>
            <w:vAlign w:val="center"/>
          </w:tcPr>
          <w:p>
            <w:pPr>
              <w:pStyle w:val="TableContents"/>
              <w:bidi w:val="0"/>
              <w:spacing w:before="0" w:after="283"/>
              <w:ind w:left="0" w:right="0" w:hanging="0"/>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 xml:space="preserve">March 31, 2026 </w:t>
            </w:r>
          </w:p>
        </w:tc>
        <w:tc>
          <w:tcPr>
            <w:tcW w:w="95" w:type="dxa"/>
            <w:tcBorders/>
            <w:vAlign w:val="center"/>
          </w:tcPr>
          <w:p>
            <w:pPr>
              <w:pStyle w:val="TableContents"/>
              <w:bidi w:val="0"/>
              <w:spacing w:before="0" w:after="0"/>
              <w:ind w:left="0" w:right="0" w:hanging="0"/>
              <w:jc w:val="center"/>
              <w:rPr>
                <w:strike w:val="false"/>
                <w:dstrike w:val="false"/>
                <w:color w:val="000000"/>
                <w:u w:val="none"/>
                <w:effect w:val="none"/>
              </w:rPr>
            </w:pPr>
            <w:r>
              <w:rPr>
                <w:strike w:val="false"/>
                <w:dstrike w:val="false"/>
                <w:color w:val="000000"/>
                <w:u w:val="none"/>
                <w:effect w:val="none"/>
              </w:rPr>
              <w:t> </w:t>
            </w:r>
          </w:p>
        </w:tc>
        <w:tc>
          <w:tcPr>
            <w:tcW w:w="95" w:type="dxa"/>
            <w:tcBorders/>
            <w:vAlign w:val="center"/>
          </w:tcPr>
          <w:p>
            <w:pPr>
              <w:pStyle w:val="TableContents"/>
              <w:bidi w:val="0"/>
              <w:spacing w:before="0" w:after="0"/>
              <w:ind w:left="0" w:right="0" w:hanging="0"/>
              <w:jc w:val="center"/>
              <w:rPr>
                <w:strike w:val="false"/>
                <w:dstrike w:val="false"/>
                <w:color w:val="000000"/>
                <w:u w:val="none"/>
                <w:effect w:val="none"/>
              </w:rPr>
            </w:pPr>
            <w:r>
              <w:rPr>
                <w:strike w:val="false"/>
                <w:dstrike w:val="false"/>
                <w:color w:val="000000"/>
                <w:u w:val="none"/>
                <w:effect w:val="none"/>
              </w:rPr>
              <w:t> </w:t>
            </w:r>
          </w:p>
        </w:tc>
        <w:tc>
          <w:tcPr>
            <w:tcW w:w="269" w:type="dxa"/>
            <w:tcBorders/>
            <w:vAlign w:val="center"/>
          </w:tcPr>
          <w:p>
            <w:pPr>
              <w:pStyle w:val="TableContents"/>
              <w:bidi w:val="0"/>
              <w:spacing w:before="0" w:after="0"/>
              <w:jc w:val="center"/>
              <w:rPr>
                <w:strike w:val="false"/>
                <w:dstrike w:val="false"/>
                <w:color w:val="000000"/>
                <w:u w:val="none"/>
                <w:effect w:val="none"/>
              </w:rPr>
            </w:pPr>
            <w:r>
              <w:rPr>
                <w:strike w:val="false"/>
                <w:dstrike w:val="false"/>
                <w:color w:val="000000"/>
                <w:u w:val="none"/>
                <w:effect w:val="none"/>
              </w:rPr>
              <w:t> </w:t>
            </w:r>
          </w:p>
        </w:tc>
        <w:tc>
          <w:tcPr>
            <w:tcW w:w="2669" w:type="dxa"/>
            <w:tcBorders/>
            <w:vAlign w:val="center"/>
          </w:tcPr>
          <w:p>
            <w:pPr>
              <w:pStyle w:val="TableContents"/>
              <w:bidi w:val="0"/>
              <w:spacing w:before="0" w:after="283"/>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 xml:space="preserve">December 31, 2025 </w:t>
            </w:r>
          </w:p>
        </w:tc>
        <w:tc>
          <w:tcPr>
            <w:tcW w:w="95" w:type="dxa"/>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shd w:fill="CCEEFF" w:val="clear"/>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Accounts receivable, net</w:t>
            </w:r>
          </w:p>
        </w:tc>
        <w:tc>
          <w:tcPr>
            <w:tcW w:w="95" w:type="dxa"/>
            <w:tcBorders/>
            <w:shd w:fill="CCEEFF" w:val="clear"/>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shd w:fill="CCEEFF" w:val="clear"/>
            <w:vAlign w:val="center"/>
          </w:tcPr>
          <w:p>
            <w:pPr>
              <w:pStyle w:val="TableContents"/>
              <w:bidi w:val="0"/>
              <w:spacing w:before="0" w:after="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2216" w:type="dxa"/>
            <w:tcBorders/>
            <w:shd w:fill="CCEEFF" w:val="clear"/>
            <w:vAlign w:val="center"/>
          </w:tcPr>
          <w:p>
            <w:pPr>
              <w:pStyle w:val="TableContents"/>
              <w:bidi w:val="0"/>
              <w:spacing w:before="0" w:after="283"/>
              <w:ind w:left="0" w:right="0" w:hanging="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50</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shd w:fill="CCEEFF" w:val="clear"/>
            <w:vAlign w:val="center"/>
          </w:tcPr>
          <w:p>
            <w:pPr>
              <w:pStyle w:val="TableContents"/>
              <w:bidi w:val="0"/>
              <w:spacing w:before="0" w:after="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 </w:t>
            </w:r>
          </w:p>
        </w:tc>
        <w:tc>
          <w:tcPr>
            <w:tcW w:w="2669" w:type="dxa"/>
            <w:tcBorders/>
            <w:shd w:fill="CCEEFF" w:val="clear"/>
            <w:vAlign w:val="center"/>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391</w:t>
            </w:r>
          </w:p>
        </w:tc>
        <w:tc>
          <w:tcPr>
            <w:tcW w:w="95" w:type="dxa"/>
            <w:tcBorders/>
            <w:shd w:fill="CCEEFF" w:val="clear"/>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Inventories, net</w:t>
            </w:r>
          </w:p>
        </w:tc>
        <w:tc>
          <w:tcPr>
            <w:tcW w:w="95" w:type="dxa"/>
            <w:tcBorders/>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vAlign w:val="center"/>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2216" w:type="dxa"/>
            <w:tcBorders/>
            <w:vAlign w:val="center"/>
          </w:tcPr>
          <w:p>
            <w:pPr>
              <w:pStyle w:val="TableContents"/>
              <w:bidi w:val="0"/>
              <w:spacing w:before="0" w:after="283"/>
              <w:ind w:left="0" w:right="0" w:hanging="0"/>
              <w:jc w:val="right"/>
              <w:rPr>
                <w:strike w:val="false"/>
                <w:dstrike w:val="false"/>
                <w:color w:val="000000"/>
                <w:u w:val="none"/>
                <w:effect w:val="none"/>
              </w:rPr>
            </w:pPr>
            <w:r>
              <w:rPr>
                <w:strike w:val="false"/>
                <w:dstrike w:val="false"/>
                <w:color w:val="000000"/>
                <w:u w:val="none"/>
                <w:effect w:val="none"/>
              </w:rPr>
              <w:t>—</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vAlign w:val="center"/>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669" w:type="dxa"/>
            <w:tcBorders/>
            <w:vAlign w:val="center"/>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95" w:type="dxa"/>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shd w:fill="CCEEFF" w:val="clear"/>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Prepaids and other current assets</w:t>
            </w:r>
          </w:p>
        </w:tc>
        <w:tc>
          <w:tcPr>
            <w:tcW w:w="95" w:type="dxa"/>
            <w:tcBorders/>
            <w:shd w:fill="CCEEFF" w:val="clear"/>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shd w:fill="CCEEFF" w:val="clear"/>
            <w:vAlign w:val="center"/>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2216" w:type="dxa"/>
            <w:tcBorders/>
            <w:shd w:fill="CCEEFF" w:val="clear"/>
            <w:vAlign w:val="center"/>
          </w:tcPr>
          <w:p>
            <w:pPr>
              <w:pStyle w:val="TableContents"/>
              <w:bidi w:val="0"/>
              <w:spacing w:before="0" w:after="283"/>
              <w:ind w:left="0" w:right="0" w:hanging="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226</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shd w:fill="CCEEFF" w:val="clear"/>
            <w:vAlign w:val="center"/>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669" w:type="dxa"/>
            <w:tcBorders/>
            <w:shd w:fill="CCEEFF" w:val="clear"/>
            <w:vAlign w:val="center"/>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213</w:t>
            </w:r>
          </w:p>
        </w:tc>
        <w:tc>
          <w:tcPr>
            <w:tcW w:w="95" w:type="dxa"/>
            <w:tcBorders/>
            <w:shd w:fill="CCEEFF" w:val="clear"/>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Property, plant and equipment, net</w:t>
            </w:r>
          </w:p>
        </w:tc>
        <w:tc>
          <w:tcPr>
            <w:tcW w:w="95" w:type="dxa"/>
            <w:tcBorders/>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vAlign w:val="center"/>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2216" w:type="dxa"/>
            <w:tcBorders/>
            <w:vAlign w:val="center"/>
          </w:tcPr>
          <w:p>
            <w:pPr>
              <w:pStyle w:val="TableContents"/>
              <w:bidi w:val="0"/>
              <w:spacing w:before="0" w:after="283"/>
              <w:ind w:left="0" w:right="0" w:hanging="0"/>
              <w:jc w:val="right"/>
              <w:rPr>
                <w:strike w:val="false"/>
                <w:dstrike w:val="false"/>
                <w:color w:val="000000"/>
                <w:u w:val="none"/>
                <w:effect w:val="none"/>
              </w:rPr>
            </w:pPr>
            <w:r>
              <w:rPr>
                <w:strike w:val="false"/>
                <w:dstrike w:val="false"/>
                <w:color w:val="000000"/>
                <w:u w:val="none"/>
                <w:effect w:val="none"/>
              </w:rPr>
              <w:t>—</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vAlign w:val="center"/>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669" w:type="dxa"/>
            <w:tcBorders/>
            <w:vAlign w:val="center"/>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80</w:t>
            </w:r>
          </w:p>
        </w:tc>
        <w:tc>
          <w:tcPr>
            <w:tcW w:w="95" w:type="dxa"/>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shd w:fill="CCEEFF" w:val="clear"/>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long-term assets</w:t>
            </w:r>
          </w:p>
        </w:tc>
        <w:tc>
          <w:tcPr>
            <w:tcW w:w="95" w:type="dxa"/>
            <w:tcBorders/>
            <w:shd w:fill="CCEEFF" w:val="clear"/>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shd w:fill="CCEEFF" w:val="clear"/>
            <w:vAlign w:val="center"/>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2216" w:type="dxa"/>
            <w:tcBorders/>
            <w:shd w:fill="CCEEFF" w:val="clear"/>
            <w:vAlign w:val="center"/>
          </w:tcPr>
          <w:p>
            <w:pPr>
              <w:pStyle w:val="TableContents"/>
              <w:bidi w:val="0"/>
              <w:spacing w:before="0" w:after="283"/>
              <w:ind w:left="0" w:right="0" w:hanging="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24</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shd w:fill="CCEEFF" w:val="clear"/>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shd w:fill="CCEEFF" w:val="clear"/>
            <w:vAlign w:val="center"/>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669" w:type="dxa"/>
            <w:tcBorders/>
            <w:shd w:fill="CCEEFF" w:val="clear"/>
            <w:vAlign w:val="center"/>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29</w:t>
            </w:r>
          </w:p>
        </w:tc>
        <w:tc>
          <w:tcPr>
            <w:tcW w:w="95" w:type="dxa"/>
            <w:tcBorders/>
            <w:shd w:fill="CCEEFF" w:val="clear"/>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473" w:type="dxa"/>
            <w:tcBorders/>
            <w:vAlign w:val="center"/>
          </w:tcPr>
          <w:p>
            <w:pPr>
              <w:pStyle w:val="TableContents"/>
              <w:bidi w:val="0"/>
              <w:spacing w:before="0" w:after="283"/>
              <w:ind w:left="0" w:right="0" w:hanging="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95" w:type="dxa"/>
            <w:tcBorders/>
            <w:vAlign w:val="center"/>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8" w:type="dxa"/>
            <w:tcBorders/>
            <w:vAlign w:val="center"/>
          </w:tcPr>
          <w:p>
            <w:pPr>
              <w:pStyle w:val="TableContents"/>
              <w:bidi w:val="0"/>
              <w:spacing w:before="0" w:after="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2216" w:type="dxa"/>
            <w:tcBorders/>
            <w:vAlign w:val="center"/>
          </w:tcPr>
          <w:p>
            <w:pPr>
              <w:pStyle w:val="TableContents"/>
              <w:bidi w:val="0"/>
              <w:spacing w:before="0" w:after="283"/>
              <w:ind w:left="0" w:right="0" w:hanging="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300</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5" w:type="dxa"/>
            <w:tcBorders/>
            <w:vAlign w:val="center"/>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69" w:type="dxa"/>
            <w:tcBorders/>
            <w:vAlign w:val="center"/>
          </w:tcPr>
          <w:p>
            <w:pPr>
              <w:pStyle w:val="TableContents"/>
              <w:bidi w:val="0"/>
              <w:spacing w:before="0" w:after="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 </w:t>
            </w:r>
          </w:p>
        </w:tc>
        <w:tc>
          <w:tcPr>
            <w:tcW w:w="2669" w:type="dxa"/>
            <w:tcBorders/>
            <w:vAlign w:val="center"/>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713</w:t>
            </w:r>
          </w:p>
        </w:tc>
        <w:tc>
          <w:tcPr>
            <w:tcW w:w="95" w:type="dxa"/>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Liabilities grouped into discontinued operations (unaudited):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3780"/>
        <w:gridCol w:w="91"/>
        <w:gridCol w:w="211"/>
        <w:gridCol w:w="2515"/>
        <w:gridCol w:w="90"/>
        <w:gridCol w:w="91"/>
        <w:gridCol w:w="301"/>
        <w:gridCol w:w="3035"/>
        <w:gridCol w:w="91"/>
      </w:tblGrid>
      <w:tr>
        <w:trPr/>
        <w:tc>
          <w:tcPr>
            <w:tcW w:w="378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515" w:type="dxa"/>
            <w:tcBorders/>
            <w:vAlign w:val="bottom"/>
          </w:tcPr>
          <w:p>
            <w:pPr>
              <w:pStyle w:val="TableContents"/>
              <w:bidi w:val="0"/>
              <w:spacing w:before="0" w:after="283"/>
              <w:jc w:val="center"/>
              <w:rPr>
                <w:b/>
              </w:rPr>
            </w:pPr>
            <w:r>
              <w:rPr>
                <w:b/>
              </w:rPr>
              <w:t xml:space="preserve">March 31, 2026 </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3035" w:type="dxa"/>
            <w:tcBorders/>
            <w:vAlign w:val="bottom"/>
          </w:tcPr>
          <w:p>
            <w:pPr>
              <w:pStyle w:val="TableContents"/>
              <w:bidi w:val="0"/>
              <w:spacing w:before="0" w:after="283"/>
              <w:jc w:val="center"/>
              <w:rPr>
                <w:b/>
              </w:rPr>
            </w:pPr>
            <w:r>
              <w:rPr>
                <w:b/>
              </w:rPr>
              <w:t xml:space="preserve">December 31, 2025 </w:t>
            </w:r>
          </w:p>
        </w:tc>
        <w:tc>
          <w:tcPr>
            <w:tcW w:w="91" w:type="dxa"/>
            <w:tcBorders/>
            <w:vAlign w:val="bottom"/>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283"/>
              <w:jc w:val="left"/>
              <w:rPr/>
            </w:pPr>
            <w:r>
              <w:rPr/>
              <w:t>Accounts payable</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2515" w:type="dxa"/>
            <w:tcBorders/>
            <w:shd w:fill="CCEEFF" w:val="clear"/>
            <w:vAlign w:val="bottom"/>
          </w:tcPr>
          <w:p>
            <w:pPr>
              <w:pStyle w:val="TableContents"/>
              <w:bidi w:val="0"/>
              <w:spacing w:before="0" w:after="283"/>
              <w:jc w:val="right"/>
              <w:rPr/>
            </w:pPr>
            <w:r>
              <w:rPr/>
              <w:t>3</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3035" w:type="dxa"/>
            <w:tcBorders/>
            <w:shd w:fill="CCEEFF" w:val="clear"/>
            <w:vAlign w:val="bottom"/>
          </w:tcPr>
          <w:p>
            <w:pPr>
              <w:pStyle w:val="TableContents"/>
              <w:bidi w:val="0"/>
              <w:spacing w:before="0" w:after="283"/>
              <w:jc w:val="right"/>
              <w:rPr/>
            </w:pPr>
            <w:r>
              <w:rPr/>
              <w:t>63</w:t>
            </w:r>
          </w:p>
        </w:tc>
        <w:tc>
          <w:tcPr>
            <w:tcW w:w="91"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Accrued liabilities, current</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515" w:type="dxa"/>
            <w:tcBorders/>
            <w:vAlign w:val="bottom"/>
          </w:tcPr>
          <w:p>
            <w:pPr>
              <w:pStyle w:val="TableContents"/>
              <w:bidi w:val="0"/>
              <w:spacing w:before="0" w:after="283"/>
              <w:jc w:val="right"/>
              <w:rPr/>
            </w:pPr>
            <w:r>
              <w:rPr/>
              <w:t>225</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3035" w:type="dxa"/>
            <w:tcBorders/>
            <w:vAlign w:val="bottom"/>
          </w:tcPr>
          <w:p>
            <w:pPr>
              <w:pStyle w:val="TableContents"/>
              <w:bidi w:val="0"/>
              <w:spacing w:before="0" w:after="283"/>
              <w:jc w:val="right"/>
              <w:rPr/>
            </w:pPr>
            <w:r>
              <w:rPr/>
              <w:t>521</w:t>
            </w:r>
          </w:p>
        </w:tc>
        <w:tc>
          <w:tcPr>
            <w:tcW w:w="91" w:type="dxa"/>
            <w:tcBorders/>
            <w:vAlign w:val="bottom"/>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283"/>
              <w:jc w:val="left"/>
              <w:rPr/>
            </w:pPr>
            <w:r>
              <w:rPr/>
              <w:t>Other long-term liabilities</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515" w:type="dxa"/>
            <w:tcBorders/>
            <w:shd w:fill="CCEEFF" w:val="clear"/>
            <w:vAlign w:val="bottom"/>
          </w:tcPr>
          <w:p>
            <w:pPr>
              <w:pStyle w:val="TableContents"/>
              <w:bidi w:val="0"/>
              <w:spacing w:before="0" w:after="283"/>
              <w:jc w:val="right"/>
              <w:rPr/>
            </w:pPr>
            <w:r>
              <w:rPr/>
              <w:t>441</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3035" w:type="dxa"/>
            <w:tcBorders/>
            <w:shd w:fill="CCEEFF" w:val="clear"/>
            <w:vAlign w:val="bottom"/>
          </w:tcPr>
          <w:p>
            <w:pPr>
              <w:pStyle w:val="TableContents"/>
              <w:bidi w:val="0"/>
              <w:spacing w:before="0" w:after="283"/>
              <w:jc w:val="right"/>
              <w:rPr/>
            </w:pPr>
            <w:r>
              <w:rPr/>
              <w:t>1,236</w:t>
            </w:r>
          </w:p>
        </w:tc>
        <w:tc>
          <w:tcPr>
            <w:tcW w:w="91"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Total liabilities</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2515" w:type="dxa"/>
            <w:tcBorders/>
            <w:vAlign w:val="bottom"/>
          </w:tcPr>
          <w:p>
            <w:pPr>
              <w:pStyle w:val="TableContents"/>
              <w:bidi w:val="0"/>
              <w:spacing w:before="0" w:after="283"/>
              <w:jc w:val="right"/>
              <w:rPr/>
            </w:pPr>
            <w:r>
              <w:rPr/>
              <w:t>669</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3035" w:type="dxa"/>
            <w:tcBorders/>
            <w:vAlign w:val="bottom"/>
          </w:tcPr>
          <w:p>
            <w:pPr>
              <w:pStyle w:val="TableContents"/>
              <w:bidi w:val="0"/>
              <w:spacing w:before="0" w:after="283"/>
              <w:jc w:val="right"/>
              <w:rPr/>
            </w:pPr>
            <w:r>
              <w:rPr/>
              <w:t>1,820</w:t>
            </w:r>
          </w:p>
        </w:tc>
        <w:tc>
          <w:tcPr>
            <w:tcW w:w="9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Management concluded the disposal constitutes a component and a strategic shift since it eliminates significant revenue-generating activities. The Company will continue to provide product support and warranty services as it pursues a Strategic Transaction in fiscal </w:t>
      </w:r>
      <w:bookmarkStart w:id="128" w:name="fs_TDSFI4PZI800000000000000000000fs"/>
      <w:bookmarkEnd w:id="128"/>
      <w:r>
        <w:rPr>
          <w:rFonts w:ascii="Times New Roman;serif" w:hAnsi="Times New Roman;serif"/>
          <w:sz w:val="20"/>
        </w:rPr>
        <w:t>2026.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3. Capital Structure: Class A Redeemable Preferred Stock</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18, 2025, the Company issued 2,069,065 shares of Class A Redeemable Preferred Stock as a one-time special stock dividend to holders of common stock and common stock equivalents of record as of July 11, 2025 (one Class A share for each common share and common stock equivalent then outstanding). The Class A shares have a par value of $0.001 per share and rank senior to common stock. 2,069,066 shares are authorized and were issued and outstanding as of </w:t>
      </w:r>
      <w:bookmarkStart w:id="129" w:name="fs_95A1R3QY0G00000000000000000000FM"/>
      <w:bookmarkEnd w:id="129"/>
      <w:r>
        <w:rPr>
          <w:rFonts w:ascii="times new roman;times" w:hAnsi="times new roman;times"/>
          <w:sz w:val="20"/>
        </w:rPr>
        <w:t>March 31, 2026.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Certificate of Designation, the Class A shares are mandatorily redeemable at par value upon the occurrence of an Asset Sale (as defined). The Asset Sale to Biamp Systems, LLC closed on October 24, 2025. As a result, the redemption obligation became unconditional and the Class A shares are classified as a current liability at par value ($2) as of March 31, 2026 in accordance with ASC 480-10-S99.</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redemption occurred on April 21, 2026. The ultimate redemption amount equaled the actual net proceeds received from the Asset Sale after permitted expenses. See Note 15 — Subsequent Events for additional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30" w:name="PageBreakNo11"/>
            <w:bookmarkEnd w:id="130"/>
            <w:r>
              <w:rPr>
                <w:sz w:val="20"/>
              </w:rPr>
              <w:t>11</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before="0" w:after="0"/>
        <w:ind w:left="144" w:right="144"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(Unaudited - Dollars in thousands, except per share amounts)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 xml:space="preserve">4.  Debt and Equity: Conversion of Convertible Note </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On June 20, 2025, the Company issued a $3,000 convertible note to First Finance Ltd. The note accrued interest at 10% per annum and was mandatorily convertible into shares of newly designated Class B Convertible Preferred Stock upon the issuance of Class A Redeemable Preferred Stock (which occurred on July 18, 2025).</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On July 21, 2025, the convertible note (together with accrued interest) automatically converted into 3,026 shares of Class B Convertible Preferred Stock. The conversion was recognized in equity with no gain or loss. The conversion ratio was fixed at issuance and qualified for the ASC 815-40 own-equity scope exception.</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 xml:space="preserve">As of </w:t>
      </w:r>
      <w:bookmarkStart w:id="131" w:name="fs_LINTGGW6NK00000000000000000000FM"/>
      <w:bookmarkEnd w:id="131"/>
      <w:r>
        <w:rPr>
          <w:rFonts w:ascii="Times New Roman" w:hAnsi="Times New Roman"/>
          <w:sz w:val="20"/>
        </w:rPr>
        <w:t>March 31, 2026, there is no outstanding convertible note liability. All Class B Convertible Preferred Stock has been converted or redeemed (see Note 11 – Shareholders’ Equity).</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This conversion was a non-cash financing activity and is disclosed in the supplemental cash flow information (in the nine months ended September 30, 2025).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5. Warrants Repurchased (and Related Party)</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i/>
          <w:sz w:val="20"/>
        </w:rPr>
        <w:t>September 2025 Repurchases</w:t>
      </w:r>
      <w:r>
        <w:rPr>
          <w:rFonts w:ascii="times new roman;times" w:hAnsi="times new roman;times"/>
          <w:sz w:val="20"/>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During September 2025, the Company repurchased and cancelled all then-outstanding warrants as follows:</w:t>
      </w:r>
    </w:p>
    <w:p>
      <w:pPr>
        <w:pStyle w:val="TextBody"/>
        <w:numPr>
          <w:ilvl w:val="0"/>
          <w:numId w:val="2"/>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Intracoastal Capital, LLC – 6,039 underlying shares (September 2, 2025) for $4  </w:t>
      </w:r>
    </w:p>
    <w:p>
      <w:pPr>
        <w:pStyle w:val="TextBody"/>
        <w:widowControl/>
        <w:numPr>
          <w:ilvl w:val="0"/>
          <w:numId w:val="2"/>
        </w:numP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Lind Global Fund II, LP </w:t>
      </w:r>
      <w:r>
        <w:rPr>
          <w:rFonts w:ascii="times new roman;times" w:hAnsi="times new roman;times"/>
          <w:caps w:val="false"/>
          <w:smallCaps w:val="false"/>
          <w:color w:val="000000"/>
          <w:spacing w:val="0"/>
          <w:sz w:val="20"/>
        </w:rPr>
        <w:t>–</w:t>
      </w:r>
      <w:r>
        <w:rPr>
          <w:rFonts w:ascii="times new roman;times" w:hAnsi="times new roman;times"/>
          <w:sz w:val="20"/>
        </w:rPr>
        <w:t xml:space="preserve"> 24,155 underlying shares (September 10, 2025) for $16  </w:t>
      </w:r>
    </w:p>
    <w:p>
      <w:pPr>
        <w:pStyle w:val="TextBody"/>
        <w:widowControl/>
        <w:numPr>
          <w:ilvl w:val="0"/>
          <w:numId w:val="2"/>
        </w:numP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Edward Dallin Bagley (related party) </w:t>
      </w:r>
      <w:r>
        <w:rPr>
          <w:rFonts w:ascii="times new roman;times" w:hAnsi="times new roman;times"/>
          <w:caps w:val="false"/>
          <w:smallCaps w:val="false"/>
          <w:color w:val="000000"/>
          <w:spacing w:val="0"/>
          <w:sz w:val="20"/>
        </w:rPr>
        <w:t>–</w:t>
      </w:r>
      <w:r>
        <w:rPr>
          <w:rFonts w:ascii="times new roman;times" w:hAnsi="times new roman;times"/>
          <w:sz w:val="20"/>
        </w:rPr>
        <w:t xml:space="preserve"> 18,940 underlying shares (September 17, 2025) for $12  </w:t>
      </w:r>
    </w:p>
    <w:p>
      <w:pPr>
        <w:pStyle w:val="TextBody"/>
        <w:widowControl/>
        <w:numPr>
          <w:ilvl w:val="0"/>
          <w:numId w:val="2"/>
        </w:numP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times" w:hAnsi="times new roman;times"/>
          <w:sz w:val="20"/>
        </w:rPr>
        <w:t>Edward Bryan Bagley </w:t>
      </w:r>
      <w:r>
        <w:rPr>
          <w:rFonts w:ascii="times new roman;times" w:hAnsi="times new roman;times"/>
          <w:caps w:val="false"/>
          <w:smallCaps w:val="false"/>
          <w:color w:val="000000"/>
          <w:spacing w:val="0"/>
          <w:sz w:val="20"/>
        </w:rPr>
        <w:t>–</w:t>
      </w:r>
      <w:r>
        <w:rPr>
          <w:rFonts w:ascii="times new roman;times" w:hAnsi="times new roman;times"/>
          <w:sz w:val="20"/>
        </w:rPr>
        <w:t xml:space="preserve"> 3,788 underlying shares (September 16, 2025) for $2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repurchased warrants were cancelled upon settlement and accounted for as equity transactions with no effect on the statement of operations.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March 2026 Repurchase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March 9, 2026, the Company entered into a Warrant Repurchase Agreement with CVI Investments, Inc. pursuant to which the Company repurchased certain outstanding common stock purchase warrants originally issued on September 12, 2021. The repurchased warrants were exercisable for an aggregate of 24,155 shares of common stock. The Company paid an aggregate cash purchase price of $22 ($0.911 per underlying share). Upon settlement, the warrants were cancelled and are of no further force or effect.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132" w:name="fs_GGQ9N06NFK00000000000000000000FM"/>
      <w:bookmarkEnd w:id="132"/>
      <w:r>
        <w:rPr>
          <w:rFonts w:ascii="times new roman;times" w:hAnsi="times new roman;times"/>
          <w:sz w:val="20"/>
        </w:rPr>
        <w:t xml:space="preserve">March 31, 2026, 624,702 warrants are outstanding (187,202 from prior financings that were not repurchased and 437,500 new warrants issued on March 2, 2026 to First Finance Ltd., see Note 11). The Company did not issue any other new warrants during the quarter ended </w:t>
      </w:r>
      <w:bookmarkStart w:id="133" w:name="fs_WWVK1GXJPC00000000000000000000FM"/>
      <w:bookmarkEnd w:id="133"/>
      <w:r>
        <w:rPr>
          <w:rFonts w:ascii="times new roman;times" w:hAnsi="times new roman;times"/>
          <w:sz w:val="20"/>
        </w:rPr>
        <w:t>March 31, 2026.</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repurchase from Edward Dallin Bagley was approved by the Board of Directors in accordance with the Company’s related person transaction policy. No amounts were outstanding with Mr. Bagley related to these warrants as of </w:t>
      </w:r>
      <w:bookmarkStart w:id="134" w:name="fs_MARSLPNJ9C00000000000000000000FM"/>
      <w:bookmarkEnd w:id="134"/>
      <w:r>
        <w:rPr>
          <w:rFonts w:ascii="times new roman;times" w:hAnsi="times new roman;times"/>
          <w:sz w:val="20"/>
        </w:rPr>
        <w:t>March 31, 2026.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144" w:right="144"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 Revenue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recognized no revenue from continuing operations for the </w:t>
      </w:r>
      <w:bookmarkStart w:id="135" w:name="fs_SNMR8JDNOG00000000000000000000FM"/>
      <w:bookmarkEnd w:id="135"/>
      <w:r>
        <w:rPr>
          <w:rFonts w:ascii="Times New Roman" w:hAnsi="Times New Roman"/>
          <w:sz w:val="20"/>
        </w:rPr>
        <w:t xml:space="preserve">three months ended March 31, 2026 (and the comparable </w:t>
      </w:r>
      <w:bookmarkStart w:id="136" w:name="fs_QWO5MUP2Z400000000000000000000FM"/>
      <w:bookmarkEnd w:id="136"/>
      <w:r>
        <w:rPr>
          <w:rFonts w:ascii="Times New Roman" w:hAnsi="Times New Roman"/>
          <w:sz w:val="20"/>
        </w:rPr>
        <w:t>2025 period). All revenue formerly reported by product group and </w:t>
      </w:r>
      <w:r>
        <w:rPr>
          <w:rFonts w:ascii="Times New Roman;serif" w:hAnsi="Times New Roman;serif"/>
          <w:sz w:val="20"/>
        </w:rPr>
        <w:t>geographic </w:t>
      </w:r>
      <w:r>
        <w:rPr>
          <w:rFonts w:ascii="Times New Roman" w:hAnsi="Times New Roman"/>
          <w:sz w:val="20"/>
        </w:rPr>
        <w:t>region is now presented within discontinued operations (see Note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7. Income (Loss) per share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Basic net income (loss) per share is computed by dividing net </w:t>
      </w:r>
      <w:r>
        <w:rPr>
          <w:rFonts w:ascii="Times New Roman" w:hAnsi="Times New Roman"/>
          <w:b w:val="false"/>
          <w:i w:val="false"/>
          <w:caps w:val="false"/>
          <w:smallCaps w:val="false"/>
          <w:color w:val="000000"/>
          <w:spacing w:val="0"/>
          <w:sz w:val="20"/>
        </w:rPr>
        <w:t>income (</w:t>
      </w:r>
      <w:r>
        <w:rPr>
          <w:rFonts w:ascii="Times New Roman" w:hAnsi="Times New Roman"/>
          <w:sz w:val="20"/>
        </w:rPr>
        <w:t xml:space="preserve">loss) attributable to common stockholders by the weighted-average number of common shares outstanding during the period. Diluted net </w:t>
      </w:r>
      <w:r>
        <w:rPr>
          <w:rFonts w:ascii="Times New Roman" w:hAnsi="Times New Roman"/>
          <w:b w:val="false"/>
          <w:i w:val="false"/>
          <w:caps w:val="false"/>
          <w:smallCaps w:val="false"/>
          <w:color w:val="000000"/>
          <w:spacing w:val="0"/>
          <w:sz w:val="20"/>
        </w:rPr>
        <w:t>income (</w:t>
      </w:r>
      <w:r>
        <w:rPr>
          <w:rFonts w:ascii="Times New Roman" w:hAnsi="Times New Roman"/>
          <w:sz w:val="20"/>
        </w:rPr>
        <w:t xml:space="preserve">loss) per share includes the effect of potentially dilutive common shares (e.g., convertible securities, warrants, options) using the if-converted and treasury stock methods, as applicable.  All share and per-share amounts have been retroactively adjusted to reflect the Company’s reverse stock split (see Note </w:t>
      </w:r>
      <w:bookmarkStart w:id="137" w:name="fs_U8SZ0EW5PC00000000000000000000fs"/>
      <w:bookmarkEnd w:id="137"/>
      <w:r>
        <w:rPr>
          <w:rFonts w:ascii="Times New Roman" w:hAnsi="Times New Roman"/>
          <w:sz w:val="20"/>
        </w:rPr>
        <w:t>1).</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38" w:name="PageBreakNo12"/>
            <w:bookmarkEnd w:id="138"/>
            <w:r>
              <w:rPr>
                <w:sz w:val="20"/>
              </w:rPr>
              <w:t>12</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discussed in Note </w:t>
      </w:r>
      <w:bookmarkStart w:id="139" w:name="fs_UBVM0USL8000000000000000000000fs"/>
      <w:bookmarkEnd w:id="139"/>
      <w:r>
        <w:rPr>
          <w:rFonts w:ascii="Times New Roman" w:hAnsi="Times New Roman"/>
          <w:sz w:val="20"/>
        </w:rPr>
        <w:t xml:space="preserve">2 — Discontinued Operations and Assets Held for Sale, the Company presents basic and diluted </w:t>
      </w:r>
      <w:r>
        <w:rPr>
          <w:rFonts w:ascii="Times New Roman" w:hAnsi="Times New Roman"/>
          <w:b w:val="false"/>
          <w:i w:val="false"/>
          <w:caps w:val="false"/>
          <w:smallCaps w:val="false"/>
          <w:color w:val="000000"/>
          <w:spacing w:val="0"/>
          <w:sz w:val="20"/>
        </w:rPr>
        <w:t>income (</w:t>
      </w:r>
      <w:r>
        <w:rPr>
          <w:rFonts w:ascii="Times New Roman" w:hAnsi="Times New Roman"/>
          <w:sz w:val="20"/>
        </w:rPr>
        <w:t>loss) per share separately for continuing operations, discontinued operations, and total, for each period presented.</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Company issued Class A Redeemable Preferred Stock via a special stock dividend in July 2025 (see Note </w:t>
      </w:r>
      <w:bookmarkStart w:id="140" w:name="fs_VBDVAU27AO00000000000000000000fs"/>
      <w:bookmarkEnd w:id="140"/>
      <w:r>
        <w:rPr>
          <w:rFonts w:ascii="Times New Roman" w:hAnsi="Times New Roman"/>
          <w:b w:val="false"/>
          <w:i w:val="false"/>
          <w:caps w:val="false"/>
          <w:smallCaps w:val="false"/>
          <w:color w:val="000000"/>
          <w:spacing w:val="0"/>
          <w:sz w:val="20"/>
        </w:rPr>
        <w:t xml:space="preserve">3). Class A is redeemable for net proceeds of a qualifying asset sale and does not participate in current-period earnings or losses other than its redemption preference. Management concluded that Class A is not a participating security for purposes of the </w:t>
      </w:r>
      <w:r>
        <w:rPr>
          <w:rFonts w:ascii="Times New Roman" w:hAnsi="Times New Roman"/>
          <w:b w:val="false"/>
          <w:i w:val="false"/>
          <w:caps w:val="false"/>
          <w:smallCaps w:val="false"/>
          <w:color w:val="000000"/>
          <w:spacing w:val="0"/>
          <w:sz w:val="20"/>
        </w:rPr>
        <w:t>two</w:t>
      </w:r>
      <w:r>
        <w:rPr>
          <w:rFonts w:ascii="Times New Roman" w:hAnsi="Times New Roman"/>
          <w:b w:val="false"/>
          <w:i w:val="false"/>
          <w:caps w:val="false"/>
          <w:smallCaps w:val="false"/>
          <w:color w:val="000000"/>
          <w:spacing w:val="0"/>
          <w:sz w:val="20"/>
        </w:rPr>
        <w:t>-class method for the periods presented; therefore, no allocation of earnings (loss) was made to Class A in computing loss per share.</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following table sets forth the computation of basic and diluted </w:t>
      </w:r>
      <w:r>
        <w:rPr>
          <w:rFonts w:ascii="Times New Roman" w:hAnsi="Times New Roman"/>
          <w:b w:val="false"/>
          <w:i w:val="false"/>
          <w:caps w:val="false"/>
          <w:smallCaps w:val="false"/>
          <w:color w:val="000000"/>
          <w:spacing w:val="0"/>
          <w:sz w:val="20"/>
        </w:rPr>
        <w:t>income (</w:t>
      </w:r>
      <w:r>
        <w:rPr>
          <w:rFonts w:ascii="Times New Roman" w:hAnsi="Times New Roman"/>
          <w:sz w:val="20"/>
        </w:rPr>
        <w:t>loss) per common share:</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775"/>
        <w:gridCol w:w="23"/>
        <w:gridCol w:w="177"/>
        <w:gridCol w:w="1388"/>
        <w:gridCol w:w="133"/>
        <w:gridCol w:w="32"/>
        <w:gridCol w:w="177"/>
        <w:gridCol w:w="1387"/>
        <w:gridCol w:w="113"/>
      </w:tblGrid>
      <w:tr>
        <w:trPr/>
        <w:tc>
          <w:tcPr>
            <w:tcW w:w="677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3294" w:type="dxa"/>
            <w:gridSpan w:val="6"/>
            <w:tcBorders/>
            <w:vAlign w:val="center"/>
          </w:tcPr>
          <w:p>
            <w:pPr>
              <w:pStyle w:val="TableContents"/>
              <w:bidi w:val="0"/>
              <w:spacing w:before="0" w:after="283"/>
              <w:jc w:val="center"/>
              <w:rPr>
                <w:b/>
              </w:rPr>
            </w:pPr>
            <w:bookmarkStart w:id="141" w:name="fs_BSADG50QK000000000000000000000FM"/>
            <w:bookmarkEnd w:id="141"/>
            <w:r>
              <w:rPr>
                <w:b/>
              </w:rPr>
              <w:t>Three months ended March 31,</w:t>
            </w:r>
          </w:p>
        </w:tc>
        <w:tc>
          <w:tcPr>
            <w:tcW w:w="113" w:type="dxa"/>
            <w:tcBorders/>
            <w:vAlign w:val="center"/>
          </w:tcPr>
          <w:p>
            <w:pPr>
              <w:pStyle w:val="TableContents"/>
              <w:bidi w:val="0"/>
              <w:spacing w:before="0" w:after="283"/>
              <w:jc w:val="left"/>
              <w:rPr/>
            </w:pPr>
            <w:r>
              <w:rPr/>
            </w:r>
          </w:p>
        </w:tc>
      </w:tr>
      <w:tr>
        <w:trPr/>
        <w:tc>
          <w:tcPr>
            <w:tcW w:w="677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65" w:type="dxa"/>
            <w:gridSpan w:val="2"/>
            <w:tcBorders/>
            <w:vAlign w:val="bottom"/>
          </w:tcPr>
          <w:p>
            <w:pPr>
              <w:pStyle w:val="TableContents"/>
              <w:bidi w:val="0"/>
              <w:spacing w:before="0" w:after="283"/>
              <w:jc w:val="center"/>
              <w:rPr>
                <w:b/>
              </w:rPr>
            </w:pPr>
            <w:bookmarkStart w:id="142" w:name="fs_3W3Q3YULBK00000000000000000000FM"/>
            <w:bookmarkEnd w:id="142"/>
            <w:r>
              <w:rPr>
                <w:b/>
              </w:rPr>
              <w:t>2026</w:t>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564" w:type="dxa"/>
            <w:gridSpan w:val="2"/>
            <w:tcBorders/>
            <w:vAlign w:val="bottom"/>
          </w:tcPr>
          <w:p>
            <w:pPr>
              <w:pStyle w:val="TableContents"/>
              <w:bidi w:val="0"/>
              <w:spacing w:before="0" w:after="283"/>
              <w:jc w:val="center"/>
              <w:rPr>
                <w:b/>
              </w:rPr>
            </w:pPr>
            <w:bookmarkStart w:id="143" w:name="fs_RQHJMLKXLS00000000000000000000FM"/>
            <w:bookmarkEnd w:id="143"/>
            <w:r>
              <w:rPr>
                <w:b/>
              </w:rPr>
              <w:t>2025</w:t>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left"/>
              <w:rPr/>
            </w:pPr>
            <w:r>
              <w:rPr/>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vAlign w:val="bottom"/>
          </w:tcPr>
          <w:p>
            <w:pPr>
              <w:pStyle w:val="TableContents"/>
              <w:bidi w:val="0"/>
              <w:spacing w:before="0" w:after="283"/>
              <w:jc w:val="right"/>
              <w:rPr/>
            </w:pPr>
            <w:r>
              <w:rPr/>
              <w:t>(850</w:t>
            </w:r>
          </w:p>
        </w:tc>
        <w:tc>
          <w:tcPr>
            <w:tcW w:w="133" w:type="dxa"/>
            <w:tcBorders/>
            <w:vAlign w:val="bottom"/>
          </w:tcPr>
          <w:p>
            <w:pPr>
              <w:pStyle w:val="TableContents"/>
              <w:bidi w:val="0"/>
              <w:spacing w:before="0" w:after="283"/>
              <w:jc w:val="left"/>
              <w:rPr/>
            </w:pPr>
            <w:r>
              <w:rPr/>
              <w:t>)</w:t>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vAlign w:val="bottom"/>
          </w:tcPr>
          <w:p>
            <w:pPr>
              <w:pStyle w:val="TableContents"/>
              <w:bidi w:val="0"/>
              <w:spacing w:before="0" w:after="283"/>
              <w:jc w:val="right"/>
              <w:rPr/>
            </w:pPr>
            <w:r>
              <w:rPr/>
              <w:t>(814</w:t>
            </w:r>
          </w:p>
        </w:tc>
        <w:tc>
          <w:tcPr>
            <w:tcW w:w="113" w:type="dxa"/>
            <w:tcBorders/>
            <w:vAlign w:val="bottom"/>
          </w:tcPr>
          <w:p>
            <w:pPr>
              <w:pStyle w:val="TableContents"/>
              <w:bidi w:val="0"/>
              <w:spacing w:before="0" w:after="283"/>
              <w:jc w:val="left"/>
              <w:rPr/>
            </w:pPr>
            <w:r>
              <w:rPr/>
              <w:t>)</w:t>
            </w:r>
          </w:p>
        </w:tc>
      </w:tr>
      <w:tr>
        <w:trPr/>
        <w:tc>
          <w:tcPr>
            <w:tcW w:w="677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Income (loss) from discontinued operations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shd w:fill="CCEEFF" w:val="clear"/>
            <w:vAlign w:val="bottom"/>
          </w:tcPr>
          <w:p>
            <w:pPr>
              <w:pStyle w:val="TableContents"/>
              <w:bidi w:val="0"/>
              <w:spacing w:before="0" w:after="283"/>
              <w:jc w:val="right"/>
              <w:rPr/>
            </w:pPr>
            <w:r>
              <w:rPr/>
              <w:t>363</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shd w:fill="CCEEFF" w:val="clear"/>
            <w:vAlign w:val="bottom"/>
          </w:tcPr>
          <w:p>
            <w:pPr>
              <w:pStyle w:val="TableContents"/>
              <w:bidi w:val="0"/>
              <w:spacing w:before="0" w:after="283"/>
              <w:jc w:val="right"/>
              <w:rPr/>
            </w:pPr>
            <w:r>
              <w:rPr/>
              <w:t>(2,020</w:t>
            </w:r>
          </w:p>
        </w:tc>
        <w:tc>
          <w:tcPr>
            <w:tcW w:w="113" w:type="dxa"/>
            <w:tcBorders/>
            <w:shd w:fill="CCEEFF" w:val="clear"/>
            <w:vAlign w:val="bottom"/>
          </w:tcPr>
          <w:p>
            <w:pPr>
              <w:pStyle w:val="TableContents"/>
              <w:bidi w:val="0"/>
              <w:spacing w:before="0" w:after="283"/>
              <w:jc w:val="left"/>
              <w:rPr/>
            </w:pPr>
            <w:r>
              <w:rPr/>
              <w:t>)</w:t>
            </w:r>
          </w:p>
        </w:tc>
      </w:tr>
      <w:tr>
        <w:trPr/>
        <w:tc>
          <w:tcPr>
            <w:tcW w:w="6775"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vAlign w:val="bottom"/>
          </w:tcPr>
          <w:p>
            <w:pPr>
              <w:pStyle w:val="TableContents"/>
              <w:bidi w:val="0"/>
              <w:spacing w:before="0" w:after="283"/>
              <w:jc w:val="right"/>
              <w:rPr/>
            </w:pPr>
            <w:r>
              <w:rPr/>
              <w:t>(487</w:t>
            </w:r>
          </w:p>
        </w:tc>
        <w:tc>
          <w:tcPr>
            <w:tcW w:w="133" w:type="dxa"/>
            <w:tcBorders/>
            <w:vAlign w:val="bottom"/>
          </w:tcPr>
          <w:p>
            <w:pPr>
              <w:pStyle w:val="TableContents"/>
              <w:bidi w:val="0"/>
              <w:spacing w:before="0" w:after="283"/>
              <w:jc w:val="left"/>
              <w:rPr/>
            </w:pPr>
            <w:r>
              <w:rPr/>
              <w:t>)</w:t>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vAlign w:val="bottom"/>
          </w:tcPr>
          <w:p>
            <w:pPr>
              <w:pStyle w:val="TableContents"/>
              <w:bidi w:val="0"/>
              <w:spacing w:before="0" w:after="283"/>
              <w:jc w:val="right"/>
              <w:rPr/>
            </w:pPr>
            <w:r>
              <w:rPr/>
              <w:t>(2,834</w:t>
            </w:r>
          </w:p>
        </w:tc>
        <w:tc>
          <w:tcPr>
            <w:tcW w:w="113" w:type="dxa"/>
            <w:tcBorders/>
            <w:vAlign w:val="bottom"/>
          </w:tcPr>
          <w:p>
            <w:pPr>
              <w:pStyle w:val="TableContents"/>
              <w:bidi w:val="0"/>
              <w:spacing w:before="0" w:after="283"/>
              <w:jc w:val="left"/>
              <w:rPr/>
            </w:pPr>
            <w:r>
              <w:rPr/>
              <w:t>)</w:t>
            </w:r>
          </w:p>
        </w:tc>
      </w:tr>
      <w:tr>
        <w:trPr/>
        <w:tc>
          <w:tcPr>
            <w:tcW w:w="6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left"/>
              <w:rPr/>
            </w:pPr>
            <w:r>
              <w:rPr/>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8" w:type="dxa"/>
            <w:tcBorders/>
            <w:vAlign w:val="bottom"/>
          </w:tcPr>
          <w:p>
            <w:pPr>
              <w:pStyle w:val="TableContents"/>
              <w:bidi w:val="0"/>
              <w:spacing w:before="0" w:after="283"/>
              <w:jc w:val="right"/>
              <w:rPr/>
            </w:pPr>
            <w:r>
              <w:rPr/>
              <w:t>2,383,745</w:t>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7" w:type="dxa"/>
            <w:tcBorders/>
            <w:vAlign w:val="bottom"/>
          </w:tcPr>
          <w:p>
            <w:pPr>
              <w:pStyle w:val="TableContents"/>
              <w:bidi w:val="0"/>
              <w:spacing w:before="0" w:after="283"/>
              <w:jc w:val="right"/>
              <w:rPr/>
            </w:pPr>
            <w:r>
              <w:rPr/>
              <w:t>1,649,904</w:t>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Dilutive common stock equivalents using treasury stock method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right"/>
              <w:rPr/>
            </w:pPr>
            <w:r>
              <w:rPr/>
              <w:t>370,415</w:t>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8" w:type="dxa"/>
            <w:tcBorders/>
            <w:vAlign w:val="bottom"/>
          </w:tcPr>
          <w:p>
            <w:pPr>
              <w:pStyle w:val="TableContents"/>
              <w:bidi w:val="0"/>
              <w:spacing w:before="0" w:after="283"/>
              <w:jc w:val="right"/>
              <w:rPr/>
            </w:pPr>
            <w:r>
              <w:rPr/>
              <w:t>2,754,160</w:t>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7" w:type="dxa"/>
            <w:tcBorders/>
            <w:vAlign w:val="bottom"/>
          </w:tcPr>
          <w:p>
            <w:pPr>
              <w:pStyle w:val="TableContents"/>
              <w:bidi w:val="0"/>
              <w:spacing w:before="0" w:after="283"/>
              <w:jc w:val="right"/>
              <w:rPr/>
            </w:pPr>
            <w:r>
              <w:rPr/>
              <w:t>1,649,904</w:t>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left"/>
              <w:rPr/>
            </w:pPr>
            <w:r>
              <w:rPr/>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share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8" w:type="dxa"/>
            <w:tcBorders/>
            <w:vAlign w:val="bottom"/>
          </w:tcPr>
          <w:p>
            <w:pPr>
              <w:pStyle w:val="TableContents"/>
              <w:bidi w:val="0"/>
              <w:spacing w:before="0" w:after="283"/>
              <w:jc w:val="left"/>
              <w:rPr/>
            </w:pPr>
            <w:r>
              <w:rPr/>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7"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pBdr/>
              <w:bidi w:val="0"/>
              <w:spacing w:before="0" w:after="0"/>
              <w:ind w:left="0" w:right="0" w:hanging="0"/>
              <w:jc w:val="left"/>
              <w:rPr/>
            </w:pPr>
            <w:r>
              <w:rPr/>
              <w:t>From continuing operations</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shd w:fill="CCEEFF" w:val="clear"/>
            <w:vAlign w:val="bottom"/>
          </w:tcPr>
          <w:p>
            <w:pPr>
              <w:pStyle w:val="TableContents"/>
              <w:bidi w:val="0"/>
              <w:spacing w:before="0" w:after="283"/>
              <w:jc w:val="right"/>
              <w:rPr/>
            </w:pPr>
            <w:r>
              <w:rPr/>
              <w:t>(0.36</w:t>
            </w:r>
          </w:p>
        </w:tc>
        <w:tc>
          <w:tcPr>
            <w:tcW w:w="133" w:type="dxa"/>
            <w:tcBorders/>
            <w:shd w:fill="CCEEFF" w:val="clear"/>
            <w:vAlign w:val="bottom"/>
          </w:tcPr>
          <w:p>
            <w:pPr>
              <w:pStyle w:val="TableContents"/>
              <w:bidi w:val="0"/>
              <w:spacing w:before="0" w:after="283"/>
              <w:jc w:val="left"/>
              <w:rPr/>
            </w:pPr>
            <w:r>
              <w:rPr/>
              <w:t>)</w:t>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shd w:fill="CCEEFF" w:val="clear"/>
            <w:vAlign w:val="bottom"/>
          </w:tcPr>
          <w:p>
            <w:pPr>
              <w:pStyle w:val="TableContents"/>
              <w:bidi w:val="0"/>
              <w:spacing w:before="0" w:after="283"/>
              <w:jc w:val="right"/>
              <w:rPr/>
            </w:pPr>
            <w:r>
              <w:rPr/>
              <w:t>(0.49</w:t>
            </w:r>
          </w:p>
        </w:tc>
        <w:tc>
          <w:tcPr>
            <w:tcW w:w="113" w:type="dxa"/>
            <w:tcBorders/>
            <w:shd w:fill="CCEEFF" w:val="clear"/>
            <w:vAlign w:val="bottom"/>
          </w:tcPr>
          <w:p>
            <w:pPr>
              <w:pStyle w:val="TableContents"/>
              <w:bidi w:val="0"/>
              <w:spacing w:before="0" w:after="283"/>
              <w:jc w:val="left"/>
              <w:rPr/>
            </w:pPr>
            <w:r>
              <w:rPr/>
              <w:t>)</w:t>
            </w:r>
          </w:p>
        </w:tc>
      </w:tr>
      <w:tr>
        <w:trPr/>
        <w:tc>
          <w:tcPr>
            <w:tcW w:w="6775" w:type="dxa"/>
            <w:tcBorders/>
            <w:vAlign w:val="center"/>
          </w:tcPr>
          <w:p>
            <w:pPr>
              <w:pStyle w:val="TableContents"/>
              <w:pBdr/>
              <w:bidi w:val="0"/>
              <w:spacing w:before="0" w:after="0"/>
              <w:ind w:left="0" w:right="0" w:hanging="0"/>
              <w:jc w:val="left"/>
              <w:rPr/>
            </w:pPr>
            <w:r>
              <w:rPr/>
              <w:t>From discontinued operations</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vAlign w:val="bottom"/>
          </w:tcPr>
          <w:p>
            <w:pPr>
              <w:pStyle w:val="TableContents"/>
              <w:bidi w:val="0"/>
              <w:spacing w:before="0" w:after="283"/>
              <w:jc w:val="right"/>
              <w:rPr/>
            </w:pPr>
            <w:r>
              <w:rPr/>
              <w:t>0.15</w:t>
            </w:r>
          </w:p>
        </w:tc>
        <w:tc>
          <w:tcPr>
            <w:tcW w:w="133" w:type="dxa"/>
            <w:tcBorders/>
            <w:vAlign w:val="bottom"/>
          </w:tcPr>
          <w:p>
            <w:pPr>
              <w:pStyle w:val="TableContents"/>
              <w:bidi w:val="0"/>
              <w:spacing w:before="0" w:after="283"/>
              <w:jc w:val="left"/>
              <w:rPr>
                <w:sz w:val="4"/>
                <w:szCs w:val="4"/>
              </w:rPr>
            </w:pPr>
            <w:r>
              <w:rPr>
                <w:sz w:val="4"/>
                <w:szCs w:val="4"/>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vAlign w:val="bottom"/>
          </w:tcPr>
          <w:p>
            <w:pPr>
              <w:pStyle w:val="TableContents"/>
              <w:bidi w:val="0"/>
              <w:spacing w:before="0" w:after="283"/>
              <w:jc w:val="right"/>
              <w:rPr/>
            </w:pPr>
            <w:r>
              <w:rPr/>
              <w:t>(1.22</w:t>
            </w:r>
          </w:p>
        </w:tc>
        <w:tc>
          <w:tcPr>
            <w:tcW w:w="113" w:type="dxa"/>
            <w:tcBorders/>
            <w:vAlign w:val="bottom"/>
          </w:tcPr>
          <w:p>
            <w:pPr>
              <w:pStyle w:val="TableContents"/>
              <w:bidi w:val="0"/>
              <w:spacing w:before="0" w:after="283"/>
              <w:jc w:val="left"/>
              <w:rPr/>
            </w:pPr>
            <w:r>
              <w:rPr/>
              <w:t>)</w:t>
            </w:r>
          </w:p>
        </w:tc>
      </w:tr>
      <w:tr>
        <w:trPr/>
        <w:tc>
          <w:tcPr>
            <w:tcW w:w="6775" w:type="dxa"/>
            <w:tcBorders/>
            <w:shd w:fill="CCEEFF" w:val="clear"/>
            <w:vAlign w:val="center"/>
          </w:tcPr>
          <w:p>
            <w:pPr>
              <w:pStyle w:val="TableContents"/>
              <w:pBdr/>
              <w:bidi w:val="0"/>
              <w:spacing w:before="0" w:after="0"/>
              <w:ind w:left="0" w:right="0" w:hanging="0"/>
              <w:jc w:val="left"/>
              <w:rPr/>
            </w:pPr>
            <w:r>
              <w:rPr/>
              <w:t>Total</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shd w:fill="CCEEFF" w:val="clear"/>
            <w:vAlign w:val="bottom"/>
          </w:tcPr>
          <w:p>
            <w:pPr>
              <w:pStyle w:val="TableContents"/>
              <w:bidi w:val="0"/>
              <w:spacing w:before="0" w:after="283"/>
              <w:jc w:val="right"/>
              <w:rPr/>
            </w:pPr>
            <w:r>
              <w:rPr/>
              <w:t>(0.21</w:t>
            </w:r>
          </w:p>
        </w:tc>
        <w:tc>
          <w:tcPr>
            <w:tcW w:w="133" w:type="dxa"/>
            <w:tcBorders/>
            <w:shd w:fill="CCEEFF" w:val="clear"/>
            <w:vAlign w:val="bottom"/>
          </w:tcPr>
          <w:p>
            <w:pPr>
              <w:pStyle w:val="TableContents"/>
              <w:bidi w:val="0"/>
              <w:spacing w:before="0" w:after="283"/>
              <w:jc w:val="left"/>
              <w:rPr/>
            </w:pPr>
            <w:r>
              <w:rPr/>
              <w:t>)</w:t>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shd w:fill="CCEEFF" w:val="clear"/>
            <w:vAlign w:val="bottom"/>
          </w:tcPr>
          <w:p>
            <w:pPr>
              <w:pStyle w:val="TableContents"/>
              <w:bidi w:val="0"/>
              <w:spacing w:before="0" w:after="283"/>
              <w:jc w:val="right"/>
              <w:rPr/>
            </w:pPr>
            <w:r>
              <w:rPr/>
              <w:t>(1.71</w:t>
            </w:r>
          </w:p>
        </w:tc>
        <w:tc>
          <w:tcPr>
            <w:tcW w:w="113" w:type="dxa"/>
            <w:tcBorders/>
            <w:shd w:fill="CCEEFF" w:val="clear"/>
            <w:vAlign w:val="bottom"/>
          </w:tcPr>
          <w:p>
            <w:pPr>
              <w:pStyle w:val="TableContents"/>
              <w:bidi w:val="0"/>
              <w:spacing w:before="0" w:after="283"/>
              <w:jc w:val="left"/>
              <w:rPr/>
            </w:pPr>
            <w:r>
              <w:rPr/>
              <w:t>)</w:t>
            </w:r>
          </w:p>
        </w:tc>
      </w:tr>
      <w:tr>
        <w:trPr/>
        <w:tc>
          <w:tcPr>
            <w:tcW w:w="677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8" w:type="dxa"/>
            <w:tcBorders/>
            <w:vAlign w:val="bottom"/>
          </w:tcPr>
          <w:p>
            <w:pPr>
              <w:pStyle w:val="TableContents"/>
              <w:bidi w:val="0"/>
              <w:spacing w:before="0" w:after="283"/>
              <w:jc w:val="left"/>
              <w:rPr/>
            </w:pPr>
            <w:r>
              <w:rPr/>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7"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income (loss) per share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left"/>
              <w:rPr/>
            </w:pPr>
            <w:r>
              <w:rPr/>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pBdr/>
              <w:bidi w:val="0"/>
              <w:spacing w:before="0" w:after="0"/>
              <w:ind w:left="0" w:right="0" w:hanging="0"/>
              <w:jc w:val="left"/>
              <w:rPr/>
            </w:pPr>
            <w:r>
              <w:rPr/>
              <w:t>From continuing operations</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vAlign w:val="bottom"/>
          </w:tcPr>
          <w:p>
            <w:pPr>
              <w:pStyle w:val="TableContents"/>
              <w:bidi w:val="0"/>
              <w:spacing w:before="0" w:after="283"/>
              <w:jc w:val="right"/>
              <w:rPr/>
            </w:pPr>
            <w:r>
              <w:rPr/>
              <w:t>(0.31</w:t>
            </w:r>
          </w:p>
        </w:tc>
        <w:tc>
          <w:tcPr>
            <w:tcW w:w="133" w:type="dxa"/>
            <w:tcBorders/>
            <w:vAlign w:val="bottom"/>
          </w:tcPr>
          <w:p>
            <w:pPr>
              <w:pStyle w:val="TableContents"/>
              <w:bidi w:val="0"/>
              <w:spacing w:before="0" w:after="283"/>
              <w:jc w:val="left"/>
              <w:rPr/>
            </w:pPr>
            <w:r>
              <w:rPr/>
              <w:t>)</w:t>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vAlign w:val="bottom"/>
          </w:tcPr>
          <w:p>
            <w:pPr>
              <w:pStyle w:val="TableContents"/>
              <w:bidi w:val="0"/>
              <w:spacing w:before="0" w:after="283"/>
              <w:jc w:val="right"/>
              <w:rPr/>
            </w:pPr>
            <w:r>
              <w:rPr/>
              <w:t>(0.49</w:t>
            </w:r>
          </w:p>
        </w:tc>
        <w:tc>
          <w:tcPr>
            <w:tcW w:w="113" w:type="dxa"/>
            <w:tcBorders/>
            <w:vAlign w:val="bottom"/>
          </w:tcPr>
          <w:p>
            <w:pPr>
              <w:pStyle w:val="TableContents"/>
              <w:bidi w:val="0"/>
              <w:spacing w:before="0" w:after="283"/>
              <w:jc w:val="left"/>
              <w:rPr/>
            </w:pPr>
            <w:r>
              <w:rPr/>
              <w:t>)</w:t>
            </w:r>
          </w:p>
        </w:tc>
      </w:tr>
      <w:tr>
        <w:trPr/>
        <w:tc>
          <w:tcPr>
            <w:tcW w:w="6775" w:type="dxa"/>
            <w:tcBorders/>
            <w:shd w:fill="CCEEFF" w:val="clear"/>
            <w:vAlign w:val="center"/>
          </w:tcPr>
          <w:p>
            <w:pPr>
              <w:pStyle w:val="TableContents"/>
              <w:pBdr/>
              <w:bidi w:val="0"/>
              <w:spacing w:before="0" w:after="0"/>
              <w:ind w:left="0" w:right="0" w:hanging="0"/>
              <w:jc w:val="left"/>
              <w:rPr/>
            </w:pPr>
            <w:r>
              <w:rPr/>
              <w:t>From discontinued operations</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shd w:fill="CCEEFF" w:val="clear"/>
            <w:vAlign w:val="bottom"/>
          </w:tcPr>
          <w:p>
            <w:pPr>
              <w:pStyle w:val="TableContents"/>
              <w:bidi w:val="0"/>
              <w:spacing w:before="0" w:after="283"/>
              <w:jc w:val="right"/>
              <w:rPr/>
            </w:pPr>
            <w:r>
              <w:rPr/>
              <w:t>0.13</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shd w:fill="CCEEFF" w:val="clear"/>
            <w:vAlign w:val="bottom"/>
          </w:tcPr>
          <w:p>
            <w:pPr>
              <w:pStyle w:val="TableContents"/>
              <w:bidi w:val="0"/>
              <w:spacing w:before="0" w:after="283"/>
              <w:jc w:val="right"/>
              <w:rPr/>
            </w:pPr>
            <w:r>
              <w:rPr/>
              <w:t>(1.22</w:t>
            </w:r>
          </w:p>
        </w:tc>
        <w:tc>
          <w:tcPr>
            <w:tcW w:w="113" w:type="dxa"/>
            <w:tcBorders/>
            <w:shd w:fill="CCEEFF" w:val="clear"/>
            <w:vAlign w:val="bottom"/>
          </w:tcPr>
          <w:p>
            <w:pPr>
              <w:pStyle w:val="TableContents"/>
              <w:bidi w:val="0"/>
              <w:spacing w:before="0" w:after="283"/>
              <w:jc w:val="left"/>
              <w:rPr/>
            </w:pPr>
            <w:r>
              <w:rPr/>
              <w:t>)</w:t>
            </w:r>
          </w:p>
        </w:tc>
      </w:tr>
      <w:tr>
        <w:trPr/>
        <w:tc>
          <w:tcPr>
            <w:tcW w:w="6775" w:type="dxa"/>
            <w:tcBorders/>
            <w:vAlign w:val="center"/>
          </w:tcPr>
          <w:p>
            <w:pPr>
              <w:pStyle w:val="TableContents"/>
              <w:pBdr/>
              <w:bidi w:val="0"/>
              <w:spacing w:before="0" w:after="0"/>
              <w:ind w:left="0" w:right="0" w:hanging="0"/>
              <w:jc w:val="left"/>
              <w:rPr/>
            </w:pPr>
            <w:r>
              <w:rPr/>
              <w:t>Total</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8" w:type="dxa"/>
            <w:tcBorders/>
            <w:vAlign w:val="bottom"/>
          </w:tcPr>
          <w:p>
            <w:pPr>
              <w:pStyle w:val="TableContents"/>
              <w:bidi w:val="0"/>
              <w:spacing w:before="0" w:after="283"/>
              <w:jc w:val="right"/>
              <w:rPr/>
            </w:pPr>
            <w:r>
              <w:rPr/>
              <w:t>(0.18</w:t>
            </w:r>
          </w:p>
        </w:tc>
        <w:tc>
          <w:tcPr>
            <w:tcW w:w="133" w:type="dxa"/>
            <w:tcBorders/>
            <w:vAlign w:val="bottom"/>
          </w:tcPr>
          <w:p>
            <w:pPr>
              <w:pStyle w:val="TableContents"/>
              <w:bidi w:val="0"/>
              <w:spacing w:before="0" w:after="283"/>
              <w:jc w:val="left"/>
              <w:rPr/>
            </w:pPr>
            <w:r>
              <w:rPr/>
              <w:t>)</w:t>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7" w:type="dxa"/>
            <w:tcBorders/>
            <w:vAlign w:val="bottom"/>
          </w:tcPr>
          <w:p>
            <w:pPr>
              <w:pStyle w:val="TableContents"/>
              <w:bidi w:val="0"/>
              <w:spacing w:before="0" w:after="283"/>
              <w:jc w:val="right"/>
              <w:rPr/>
            </w:pPr>
            <w:r>
              <w:rPr/>
              <w:t>(1.71</w:t>
            </w:r>
          </w:p>
        </w:tc>
        <w:tc>
          <w:tcPr>
            <w:tcW w:w="113" w:type="dxa"/>
            <w:tcBorders/>
            <w:vAlign w:val="bottom"/>
          </w:tcPr>
          <w:p>
            <w:pPr>
              <w:pStyle w:val="TableContents"/>
              <w:bidi w:val="0"/>
              <w:spacing w:before="0" w:after="283"/>
              <w:jc w:val="left"/>
              <w:rPr/>
            </w:pPr>
            <w:r>
              <w:rPr/>
              <w:t>)</w:t>
            </w:r>
          </w:p>
        </w:tc>
      </w:tr>
      <w:tr>
        <w:trPr/>
        <w:tc>
          <w:tcPr>
            <w:tcW w:w="677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left"/>
              <w:rPr/>
            </w:pPr>
            <w:r>
              <w:rPr/>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r>
      <w:tr>
        <w:trPr/>
        <w:tc>
          <w:tcPr>
            <w:tcW w:w="6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warrants and convertibles outstanding </w:t>
            </w:r>
          </w:p>
        </w:tc>
        <w:tc>
          <w:tcPr>
            <w:tcW w:w="23" w:type="dxa"/>
            <w:tcBorders/>
            <w:vAlign w:val="center"/>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8" w:type="dxa"/>
            <w:tcBorders/>
            <w:vAlign w:val="bottom"/>
          </w:tcPr>
          <w:p>
            <w:pPr>
              <w:pStyle w:val="TableContents"/>
              <w:bidi w:val="0"/>
              <w:spacing w:before="0" w:after="283"/>
              <w:jc w:val="right"/>
              <w:rPr/>
            </w:pPr>
            <w:r>
              <w:rPr/>
              <w:t>370,415</w:t>
            </w:r>
          </w:p>
        </w:tc>
        <w:tc>
          <w:tcPr>
            <w:tcW w:w="133" w:type="dxa"/>
            <w:tcBorders/>
            <w:vAlign w:val="bottom"/>
          </w:tcPr>
          <w:p>
            <w:pPr>
              <w:pStyle w:val="TableContents"/>
              <w:bidi w:val="0"/>
              <w:spacing w:before="0" w:after="283"/>
              <w:jc w:val="left"/>
              <w:rPr/>
            </w:pPr>
            <w:r>
              <w:rPr/>
            </w:r>
          </w:p>
        </w:tc>
        <w:tc>
          <w:tcPr>
            <w:tcW w:w="32" w:type="dxa"/>
            <w:tcBorders/>
            <w:vAlign w:val="bottom"/>
          </w:tcPr>
          <w:p>
            <w:pPr>
              <w:pStyle w:val="TableContents"/>
              <w:bidi w:val="0"/>
              <w:spacing w:before="0" w:after="283"/>
              <w:jc w:val="left"/>
              <w:rPr/>
            </w:pPr>
            <w:r>
              <w:rPr/>
            </w:r>
          </w:p>
        </w:tc>
        <w:tc>
          <w:tcPr>
            <w:tcW w:w="177" w:type="dxa"/>
            <w:tcBorders/>
            <w:vAlign w:val="bottom"/>
          </w:tcPr>
          <w:p>
            <w:pPr>
              <w:pStyle w:val="TableContents"/>
              <w:bidi w:val="0"/>
              <w:spacing w:before="0" w:after="283"/>
              <w:jc w:val="left"/>
              <w:rPr/>
            </w:pPr>
            <w:r>
              <w:rPr/>
            </w:r>
          </w:p>
        </w:tc>
        <w:tc>
          <w:tcPr>
            <w:tcW w:w="1387" w:type="dxa"/>
            <w:tcBorders/>
            <w:vAlign w:val="bottom"/>
          </w:tcPr>
          <w:p>
            <w:pPr>
              <w:pStyle w:val="TableContents"/>
              <w:bidi w:val="0"/>
              <w:spacing w:before="0" w:after="283"/>
              <w:jc w:val="right"/>
              <w:rPr/>
            </w:pPr>
            <w:r>
              <w:rPr/>
              <w:t>372,740</w:t>
            </w:r>
          </w:p>
        </w:tc>
        <w:tc>
          <w:tcPr>
            <w:tcW w:w="113" w:type="dxa"/>
            <w:tcBorders/>
            <w:vAlign w:val="bottom"/>
          </w:tcPr>
          <w:p>
            <w:pPr>
              <w:pStyle w:val="TableContents"/>
              <w:bidi w:val="0"/>
              <w:spacing w:before="0" w:after="283"/>
              <w:jc w:val="left"/>
              <w:rPr/>
            </w:pPr>
            <w:r>
              <w:rPr/>
            </w:r>
          </w:p>
        </w:tc>
      </w:tr>
      <w:tr>
        <w:trPr/>
        <w:tc>
          <w:tcPr>
            <w:tcW w:w="677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Anti-dilutive options, warrants and convertibles not included in the computation </w:t>
            </w:r>
          </w:p>
        </w:tc>
        <w:tc>
          <w:tcPr>
            <w:tcW w:w="23" w:type="dxa"/>
            <w:tcBorders/>
            <w:shd w:fill="CCEEFF" w:val="clear"/>
            <w:vAlign w:val="center"/>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8" w:type="dxa"/>
            <w:tcBorders/>
            <w:shd w:fill="CCEEFF" w:val="clear"/>
            <w:vAlign w:val="bottom"/>
          </w:tcPr>
          <w:p>
            <w:pPr>
              <w:pStyle w:val="TableContents"/>
              <w:bidi w:val="0"/>
              <w:spacing w:before="0" w:after="283"/>
              <w:jc w:val="right"/>
              <w:rPr/>
            </w:pPr>
            <w:r>
              <w:rPr/>
              <w:t>—</w:t>
            </w:r>
          </w:p>
        </w:tc>
        <w:tc>
          <w:tcPr>
            <w:tcW w:w="133" w:type="dxa"/>
            <w:tcBorders/>
            <w:shd w:fill="CCEEFF" w:val="clear"/>
            <w:vAlign w:val="bottom"/>
          </w:tcPr>
          <w:p>
            <w:pPr>
              <w:pStyle w:val="TableContents"/>
              <w:bidi w:val="0"/>
              <w:spacing w:before="0" w:after="283"/>
              <w:jc w:val="left"/>
              <w:rPr/>
            </w:pPr>
            <w:r>
              <w:rPr/>
            </w:r>
          </w:p>
        </w:tc>
        <w:tc>
          <w:tcPr>
            <w:tcW w:w="32" w:type="dxa"/>
            <w:tcBorders/>
            <w:shd w:fill="CCEEFF" w:val="clear"/>
            <w:vAlign w:val="bottom"/>
          </w:tcPr>
          <w:p>
            <w:pPr>
              <w:pStyle w:val="TableContents"/>
              <w:bidi w:val="0"/>
              <w:spacing w:before="0" w:after="283"/>
              <w:jc w:val="left"/>
              <w:rPr/>
            </w:pPr>
            <w:r>
              <w:rPr/>
            </w:r>
          </w:p>
        </w:tc>
        <w:tc>
          <w:tcPr>
            <w:tcW w:w="177" w:type="dxa"/>
            <w:tcBorders/>
            <w:shd w:fill="CCEEFF" w:val="clear"/>
            <w:vAlign w:val="bottom"/>
          </w:tcPr>
          <w:p>
            <w:pPr>
              <w:pStyle w:val="TableContents"/>
              <w:bidi w:val="0"/>
              <w:spacing w:before="0" w:after="283"/>
              <w:jc w:val="left"/>
              <w:rPr/>
            </w:pPr>
            <w:r>
              <w:rPr/>
            </w:r>
          </w:p>
        </w:tc>
        <w:tc>
          <w:tcPr>
            <w:tcW w:w="1387" w:type="dxa"/>
            <w:tcBorders/>
            <w:shd w:fill="CCEEFF" w:val="clear"/>
            <w:vAlign w:val="bottom"/>
          </w:tcPr>
          <w:p>
            <w:pPr>
              <w:pStyle w:val="TableContents"/>
              <w:bidi w:val="0"/>
              <w:spacing w:before="0" w:after="283"/>
              <w:jc w:val="right"/>
              <w:rPr/>
            </w:pPr>
            <w:r>
              <w:rPr/>
              <w:t>372,740</w:t>
            </w:r>
          </w:p>
        </w:tc>
        <w:tc>
          <w:tcPr>
            <w:tcW w:w="113" w:type="dxa"/>
            <w:tcBorders/>
            <w:shd w:fill="CCEEFF" w:val="clear"/>
            <w:vAlign w:val="bottom"/>
          </w:tcPr>
          <w:p>
            <w:pPr>
              <w:pStyle w:val="TableContents"/>
              <w:bidi w:val="0"/>
              <w:spacing w:before="0" w:after="283"/>
              <w:jc w:val="left"/>
              <w:rPr/>
            </w:pPr>
            <w:r>
              <w:rPr/>
            </w:r>
          </w:p>
        </w:tc>
      </w:tr>
    </w:tbl>
    <w:p>
      <w:pPr>
        <w:pStyle w:val="TextBody"/>
        <w:bidi w:val="0"/>
        <w:spacing w:lineRule="auto" w:line="288"/>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44" w:name="PageBreakNo13"/>
            <w:bookmarkEnd w:id="144"/>
            <w:r>
              <w:rPr>
                <w:sz w:val="20"/>
              </w:rPr>
              <w:t>13</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8</w:t>
      </w:r>
      <w:r>
        <w:rPr>
          <w:rFonts w:ascii="Times New Roman" w:hAnsi="Times New Roman"/>
          <w:b/>
          <w:sz w:val="20"/>
        </w:rPr>
        <w:t>. Inventories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As of September 30, 2025, significant inventories were classified as assets held for sale and are therefore excluded from continuing operations disclosures. In October 2025, significant inventories were sold, and no inventory remains in assets related to discontinued operations as of December 31, 2025 and March 31, 2026. See Note 2. Some inventories were retained to service warranty liabilities.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 xml:space="preserve">Inventories, net of reserves, as of </w:t>
      </w:r>
      <w:bookmarkStart w:id="145" w:name="fs_SAEI9UWDQO00000000000000000000FM"/>
      <w:bookmarkEnd w:id="145"/>
      <w:r>
        <w:rPr>
          <w:rFonts w:ascii="Times New Roman" w:hAnsi="Times New Roman"/>
          <w:sz w:val="20"/>
        </w:rPr>
        <w:t xml:space="preserve">March 31, 2026 and </w:t>
      </w:r>
      <w:bookmarkStart w:id="146" w:name="fs_ZLKWSVMHMO00000000000000000000FM"/>
      <w:bookmarkEnd w:id="146"/>
      <w:r>
        <w:rPr>
          <w:rFonts w:ascii="Times New Roman" w:hAnsi="Times New Roman"/>
          <w:sz w:val="20"/>
        </w:rPr>
        <w:t>December 31, 2025 consisted of the following:  </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58"/>
        <w:gridCol w:w="249"/>
        <w:gridCol w:w="789"/>
        <w:gridCol w:w="2123"/>
        <w:gridCol w:w="250"/>
        <w:gridCol w:w="249"/>
        <w:gridCol w:w="1370"/>
        <w:gridCol w:w="2136"/>
        <w:gridCol w:w="281"/>
      </w:tblGrid>
      <w:tr>
        <w:trPr/>
        <w:tc>
          <w:tcPr>
            <w:tcW w:w="2758" w:type="dxa"/>
            <w:tcBorders/>
            <w:vAlign w:val="center"/>
          </w:tcPr>
          <w:p>
            <w:pPr>
              <w:pStyle w:val="TableContents"/>
              <w:bidi w:val="0"/>
              <w:spacing w:before="0" w:after="0"/>
              <w:ind w:left="0" w:right="0" w:hanging="0"/>
              <w:jc w:val="left"/>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2912" w:type="dxa"/>
            <w:gridSpan w:val="2"/>
            <w:tcBorders/>
            <w:vAlign w:val="center"/>
          </w:tcPr>
          <w:p>
            <w:pPr>
              <w:pStyle w:val="TableContents"/>
              <w:bidi w:val="0"/>
              <w:spacing w:before="0" w:after="0"/>
              <w:ind w:left="0" w:right="0" w:hanging="0"/>
              <w:jc w:val="center"/>
              <w:rPr>
                <w:rFonts w:ascii="Times New Roman" w:hAnsi="Times New Roman"/>
                <w:b/>
                <w:sz w:val="20"/>
              </w:rPr>
            </w:pPr>
            <w:bookmarkStart w:id="147" w:name="fs_U3UG4KMZA800000000000000000000FM"/>
            <w:bookmarkEnd w:id="147"/>
            <w:r>
              <w:rPr>
                <w:rFonts w:ascii="Times New Roman" w:hAnsi="Times New Roman"/>
                <w:b/>
                <w:sz w:val="20"/>
              </w:rPr>
              <w:t xml:space="preserve">March 31, 2026 </w:t>
            </w:r>
          </w:p>
        </w:tc>
        <w:tc>
          <w:tcPr>
            <w:tcW w:w="250" w:type="dxa"/>
            <w:tcBorders/>
            <w:vAlign w:val="center"/>
          </w:tcPr>
          <w:p>
            <w:pPr>
              <w:pStyle w:val="TableContents"/>
              <w:bidi w:val="0"/>
              <w:spacing w:before="0" w:after="0"/>
              <w:ind w:left="0" w:right="0" w:hanging="0"/>
              <w:jc w:val="left"/>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3506" w:type="dxa"/>
            <w:gridSpan w:val="2"/>
            <w:tcBorders/>
            <w:vAlign w:val="center"/>
          </w:tcPr>
          <w:p>
            <w:pPr>
              <w:pStyle w:val="TableContents"/>
              <w:bidi w:val="0"/>
              <w:spacing w:before="0" w:after="0"/>
              <w:ind w:left="0" w:right="0" w:hanging="0"/>
              <w:jc w:val="center"/>
              <w:rPr>
                <w:rFonts w:ascii="Times New Roman" w:hAnsi="Times New Roman"/>
                <w:b/>
                <w:sz w:val="20"/>
              </w:rPr>
            </w:pPr>
            <w:bookmarkStart w:id="148" w:name="fs_YJENM7ZY5S00000000000000000000FM"/>
            <w:bookmarkEnd w:id="148"/>
            <w:r>
              <w:rPr>
                <w:rFonts w:ascii="Times New Roman" w:hAnsi="Times New Roman"/>
                <w:b/>
                <w:sz w:val="20"/>
              </w:rPr>
              <w:t xml:space="preserve">December 31, 2025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89" w:type="dxa"/>
            <w:tcBorders/>
            <w:shd w:fill="CCEEFF" w:val="clear"/>
            <w:vAlign w:val="center"/>
          </w:tcPr>
          <w:p>
            <w:pPr>
              <w:pStyle w:val="TableContents"/>
              <w:bidi w:val="0"/>
              <w:spacing w:before="0" w:after="0"/>
              <w:ind w:left="0" w:right="0" w:hanging="0"/>
              <w:jc w:val="left"/>
              <w:rPr/>
            </w:pPr>
            <w:r>
              <w:rPr/>
              <w:t xml:space="preserve">  </w:t>
            </w:r>
          </w:p>
        </w:tc>
        <w:tc>
          <w:tcPr>
            <w:tcW w:w="2123" w:type="dxa"/>
            <w:tcBorders/>
            <w:shd w:fill="CCEEFF" w:val="clear"/>
            <w:vAlign w:val="center"/>
          </w:tcPr>
          <w:p>
            <w:pPr>
              <w:pStyle w:val="TableContents"/>
              <w:bidi w:val="0"/>
              <w:spacing w:before="0" w:after="0"/>
              <w:ind w:left="0" w:right="0" w:hanging="0"/>
              <w:jc w:val="left"/>
              <w:rPr/>
            </w:pPr>
            <w:r>
              <w:rPr/>
              <w:t xml:space="preserv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1370" w:type="dxa"/>
            <w:tcBorders/>
            <w:shd w:fill="CCEEFF" w:val="clear"/>
            <w:vAlign w:val="center"/>
          </w:tcPr>
          <w:p>
            <w:pPr>
              <w:pStyle w:val="TableContents"/>
              <w:bidi w:val="0"/>
              <w:spacing w:before="0" w:after="0"/>
              <w:ind w:left="0" w:right="0" w:hanging="0"/>
              <w:jc w:val="left"/>
              <w:rPr/>
            </w:pPr>
            <w:r>
              <w:rPr/>
              <w:t xml:space="preserve">  </w:t>
            </w:r>
          </w:p>
        </w:tc>
        <w:tc>
          <w:tcPr>
            <w:tcW w:w="2136" w:type="dxa"/>
            <w:tcBorders/>
            <w:shd w:fill="CCEEFF" w:val="clear"/>
            <w:vAlign w:val="center"/>
          </w:tcPr>
          <w:p>
            <w:pPr>
              <w:pStyle w:val="TableContents"/>
              <w:bidi w:val="0"/>
              <w:spacing w:before="0" w:after="0"/>
              <w:ind w:left="0" w:right="0" w:hanging="0"/>
              <w:jc w:val="left"/>
              <w:rPr/>
            </w:pPr>
            <w:r>
              <w:rPr/>
              <w:t xml:space="preserve">  </w:t>
            </w:r>
          </w:p>
        </w:tc>
        <w:tc>
          <w:tcPr>
            <w:tcW w:w="281" w:type="dxa"/>
            <w:tcBorders/>
            <w:shd w:fill="CCEEFF" w:val="clear"/>
            <w:vAlign w:val="center"/>
          </w:tcPr>
          <w:p>
            <w:pPr>
              <w:pStyle w:val="TableContents"/>
              <w:bidi w:val="0"/>
              <w:spacing w:before="0" w:after="0"/>
              <w:ind w:left="0" w:right="0" w:hanging="0"/>
              <w:jc w:val="left"/>
              <w:rPr/>
            </w:pPr>
            <w:r>
              <w:rPr/>
              <w:t xml:space="preserve">  </w:t>
            </w:r>
          </w:p>
        </w:tc>
      </w:tr>
      <w:tr>
        <w:trPr/>
        <w:tc>
          <w:tcPr>
            <w:tcW w:w="2758"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49" w:type="dxa"/>
            <w:tcBorders/>
            <w:vAlign w:val="center"/>
          </w:tcPr>
          <w:p>
            <w:pPr>
              <w:pStyle w:val="TableContents"/>
              <w:bidi w:val="0"/>
              <w:spacing w:before="0" w:after="0"/>
              <w:ind w:left="0" w:right="0" w:hanging="0"/>
              <w:jc w:val="left"/>
              <w:rPr/>
            </w:pPr>
            <w:r>
              <w:rPr/>
              <w:t xml:space="preserve">  </w:t>
            </w:r>
          </w:p>
        </w:tc>
        <w:tc>
          <w:tcPr>
            <w:tcW w:w="7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12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333 </w:t>
            </w:r>
          </w:p>
        </w:tc>
        <w:tc>
          <w:tcPr>
            <w:tcW w:w="250" w:type="dxa"/>
            <w:tcBorders/>
            <w:vAlign w:val="center"/>
          </w:tcPr>
          <w:p>
            <w:pPr>
              <w:pStyle w:val="TableContents"/>
              <w:pBdr/>
              <w:bidi w:val="0"/>
              <w:spacing w:before="0" w:after="0"/>
              <w:ind w:left="0" w:right="0" w:hanging="0"/>
              <w:jc w:val="left"/>
              <w:rPr/>
            </w:pPr>
            <w:r>
              <w:rPr/>
              <w:t xml:space="preserve">  </w:t>
            </w:r>
          </w:p>
        </w:tc>
        <w:tc>
          <w:tcPr>
            <w:tcW w:w="249" w:type="dxa"/>
            <w:tcBorders/>
            <w:vAlign w:val="center"/>
          </w:tcPr>
          <w:p>
            <w:pPr>
              <w:pStyle w:val="TableContents"/>
              <w:pBdr/>
              <w:bidi w:val="0"/>
              <w:spacing w:before="0" w:after="0"/>
              <w:ind w:left="0" w:right="0" w:hanging="0"/>
              <w:jc w:val="left"/>
              <w:rPr/>
            </w:pPr>
            <w:r>
              <w:rPr/>
              <w:t xml:space="preserve">  </w:t>
            </w:r>
          </w:p>
        </w:tc>
        <w:tc>
          <w:tcPr>
            <w:tcW w:w="137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w:t>
            </w:r>
          </w:p>
        </w:tc>
        <w:tc>
          <w:tcPr>
            <w:tcW w:w="213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353 </w:t>
            </w:r>
          </w:p>
        </w:tc>
        <w:tc>
          <w:tcPr>
            <w:tcW w:w="281" w:type="dxa"/>
            <w:tcBorders/>
            <w:vAlign w:val="center"/>
          </w:tcPr>
          <w:p>
            <w:pPr>
              <w:pStyle w:val="TableContents"/>
              <w:bidi w:val="0"/>
              <w:spacing w:before="0" w:after="0"/>
              <w:ind w:left="0" w:right="0" w:hanging="0"/>
              <w:jc w:val="left"/>
              <w:rPr/>
            </w:pPr>
            <w:r>
              <w:rPr/>
              <w:t xml:space="preserve">  </w:t>
            </w:r>
          </w:p>
        </w:tc>
      </w:tr>
    </w:tbl>
    <w:p>
      <w:pPr>
        <w:pStyle w:val="TextBody"/>
        <w:bidi w:val="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bookmarkStart w:id="149" w:name="fs_LMG1DQ9FW000000000000000000000fs"/>
      <w:bookmarkEnd w:id="149"/>
      <w:r>
        <w:rPr>
          <w:rFonts w:ascii="Times New Roman" w:hAnsi="Times New Roman"/>
          <w:b/>
          <w:sz w:val="20"/>
        </w:rPr>
        <w:t>9. Leases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Rent expense for </w:t>
      </w:r>
      <w:bookmarkStart w:id="150" w:name="fs_ZF37SKM60W00000000000000000000FM"/>
      <w:bookmarkEnd w:id="150"/>
      <w:r>
        <w:rPr>
          <w:rFonts w:ascii="Times New Roman" w:hAnsi="Times New Roman"/>
          <w:sz w:val="20"/>
        </w:rPr>
        <w:t xml:space="preserve">three months ended </w:t>
      </w:r>
      <w:bookmarkStart w:id="151" w:name="fs_5M38THF01S00000000000000000000FM"/>
      <w:bookmarkEnd w:id="151"/>
      <w:r>
        <w:rPr>
          <w:rFonts w:ascii="Times New Roman" w:hAnsi="Times New Roman"/>
          <w:sz w:val="20"/>
        </w:rPr>
        <w:t>March 31, 2026 </w:t>
      </w:r>
      <w:r>
        <w:rPr>
          <w:rFonts w:ascii="Times New Roman" w:hAnsi="Times New Roman"/>
          <w:sz w:val="20"/>
        </w:rPr>
        <w:t xml:space="preserve">and </w:t>
      </w:r>
      <w:bookmarkStart w:id="152" w:name="fs_BW7AADK1G000000000000000000000fs"/>
      <w:bookmarkEnd w:id="152"/>
      <w:r>
        <w:rPr>
          <w:rFonts w:ascii="Times New Roman" w:hAnsi="Times New Roman"/>
          <w:sz w:val="20"/>
        </w:rPr>
        <w:t>2025</w:t>
      </w:r>
      <w:r>
        <w:rPr>
          <w:rFonts w:ascii="times new roman;times" w:hAnsi="times new roman;times"/>
          <w:sz w:val="20"/>
        </w:rPr>
        <w:t> </w:t>
      </w:r>
      <w:r>
        <w:rPr>
          <w:rFonts w:ascii="Times New Roman" w:hAnsi="Times New Roman"/>
          <w:sz w:val="20"/>
        </w:rPr>
        <w:t>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318"/>
        <w:gridCol w:w="249"/>
        <w:gridCol w:w="710"/>
        <w:gridCol w:w="1586"/>
        <w:gridCol w:w="499"/>
        <w:gridCol w:w="499"/>
        <w:gridCol w:w="710"/>
        <w:gridCol w:w="1586"/>
        <w:gridCol w:w="48"/>
      </w:tblGrid>
      <w:tr>
        <w:trPr/>
        <w:tc>
          <w:tcPr>
            <w:tcW w:w="4318" w:type="dxa"/>
            <w:tcBorders/>
            <w:vAlign w:val="bottom"/>
          </w:tcPr>
          <w:p>
            <w:pPr>
              <w:pStyle w:val="TableContents"/>
              <w:pBdr/>
              <w:bidi w:val="0"/>
              <w:spacing w:before="0" w:after="0"/>
              <w:ind w:left="0" w:right="0" w:hanging="0"/>
              <w:jc w:val="left"/>
              <w:rPr/>
            </w:pPr>
            <w:r>
              <w:rPr/>
              <w:t xml:space="preserve">  </w:t>
            </w:r>
          </w:p>
        </w:tc>
        <w:tc>
          <w:tcPr>
            <w:tcW w:w="249" w:type="dxa"/>
            <w:tcBorders/>
            <w:vAlign w:val="bottom"/>
          </w:tcPr>
          <w:p>
            <w:pPr>
              <w:pStyle w:val="TableContents"/>
              <w:pBdr/>
              <w:bidi w:val="0"/>
              <w:spacing w:before="0" w:after="0"/>
              <w:ind w:left="0" w:right="0" w:hanging="0"/>
              <w:jc w:val="left"/>
              <w:rPr/>
            </w:pPr>
            <w:r>
              <w:rPr/>
              <w:t xml:space="preserve">  </w:t>
            </w:r>
          </w:p>
        </w:tc>
        <w:tc>
          <w:tcPr>
            <w:tcW w:w="5590" w:type="dxa"/>
            <w:gridSpan w:val="6"/>
            <w:tcBorders/>
            <w:vAlign w:val="bottom"/>
          </w:tcPr>
          <w:p>
            <w:pPr>
              <w:pStyle w:val="TableContents"/>
              <w:pBdr/>
              <w:bidi w:val="0"/>
              <w:spacing w:before="0" w:after="0"/>
              <w:ind w:left="0" w:right="0" w:hanging="0"/>
              <w:jc w:val="center"/>
              <w:rPr>
                <w:rFonts w:ascii="times new roman;times" w:hAnsi="times new roman;times"/>
                <w:b/>
                <w:sz w:val="20"/>
              </w:rPr>
            </w:pPr>
            <w:bookmarkStart w:id="153" w:name="fs_Y0B6RGS5G000000000000000000000FM"/>
            <w:bookmarkEnd w:id="153"/>
            <w:r>
              <w:rPr>
                <w:rFonts w:ascii="times new roman;times" w:hAnsi="times new roman;times"/>
                <w:b/>
                <w:sz w:val="20"/>
              </w:rPr>
              <w:t>Three months ended March 31,</w:t>
            </w:r>
            <w:r>
              <w:rPr>
                <w:rFonts w:ascii="times new roman;times" w:hAnsi="times new roman;times"/>
                <w:b/>
                <w:sz w:val="20"/>
              </w:rPr>
              <w:t xml:space="preserve"> </w:t>
            </w:r>
          </w:p>
        </w:tc>
        <w:tc>
          <w:tcPr>
            <w:tcW w:w="48" w:type="dxa"/>
            <w:tcBorders/>
            <w:vAlign w:val="center"/>
          </w:tcPr>
          <w:p>
            <w:pPr>
              <w:pStyle w:val="TableContents"/>
              <w:bidi w:val="0"/>
              <w:spacing w:before="0" w:after="283"/>
              <w:ind w:left="0" w:right="0" w:hanging="0"/>
              <w:jc w:val="left"/>
              <w:rPr/>
            </w:pPr>
            <w:r>
              <w:rPr/>
            </w:r>
          </w:p>
        </w:tc>
      </w:tr>
      <w:tr>
        <w:trPr/>
        <w:tc>
          <w:tcPr>
            <w:tcW w:w="4318" w:type="dxa"/>
            <w:tcBorders/>
            <w:vAlign w:val="bottom"/>
          </w:tcPr>
          <w:p>
            <w:pPr>
              <w:pStyle w:val="TableContents"/>
              <w:pBdr/>
              <w:bidi w:val="0"/>
              <w:spacing w:before="0" w:after="0"/>
              <w:ind w:left="0" w:right="0" w:hanging="0"/>
              <w:jc w:val="left"/>
              <w:rPr/>
            </w:pPr>
            <w:r>
              <w:rPr/>
              <w:t xml:space="preserve">  </w:t>
            </w:r>
          </w:p>
        </w:tc>
        <w:tc>
          <w:tcPr>
            <w:tcW w:w="249" w:type="dxa"/>
            <w:tcBorders/>
            <w:vAlign w:val="bottom"/>
          </w:tcPr>
          <w:p>
            <w:pPr>
              <w:pStyle w:val="TableContents"/>
              <w:pBdr/>
              <w:bidi w:val="0"/>
              <w:spacing w:before="0" w:after="0"/>
              <w:ind w:left="0" w:right="0" w:hanging="0"/>
              <w:jc w:val="left"/>
              <w:rPr/>
            </w:pPr>
            <w:r>
              <w:rPr/>
              <w:t xml:space="preserve">  </w:t>
            </w:r>
          </w:p>
        </w:tc>
        <w:tc>
          <w:tcPr>
            <w:tcW w:w="2296"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154" w:name="fs_SY1JRZTXY800000000000000000000fs"/>
            <w:bookmarkEnd w:id="154"/>
            <w:r>
              <w:rPr>
                <w:rFonts w:ascii="times new roman;times" w:hAnsi="times new roman;times"/>
                <w:b/>
                <w:sz w:val="20"/>
              </w:rPr>
              <w:t xml:space="preserve">2026 </w:t>
            </w:r>
          </w:p>
        </w:tc>
        <w:tc>
          <w:tcPr>
            <w:tcW w:w="499" w:type="dxa"/>
            <w:tcBorders/>
            <w:vAlign w:val="bottom"/>
          </w:tcPr>
          <w:p>
            <w:pPr>
              <w:pStyle w:val="TableContents"/>
              <w:pBdr/>
              <w:bidi w:val="0"/>
              <w:spacing w:before="0" w:after="0"/>
              <w:ind w:left="0" w:right="0" w:hanging="0"/>
              <w:jc w:val="left"/>
              <w:rPr/>
            </w:pPr>
            <w:r>
              <w:rPr/>
              <w:t xml:space="preserve">  </w:t>
            </w:r>
          </w:p>
        </w:tc>
        <w:tc>
          <w:tcPr>
            <w:tcW w:w="499" w:type="dxa"/>
            <w:tcBorders/>
            <w:vAlign w:val="bottom"/>
          </w:tcPr>
          <w:p>
            <w:pPr>
              <w:pStyle w:val="TableContents"/>
              <w:pBdr/>
              <w:bidi w:val="0"/>
              <w:spacing w:before="0" w:after="0"/>
              <w:ind w:left="0" w:right="0" w:hanging="0"/>
              <w:jc w:val="left"/>
              <w:rPr/>
            </w:pPr>
            <w:r>
              <w:rPr/>
              <w:t xml:space="preserve">  </w:t>
            </w:r>
          </w:p>
        </w:tc>
        <w:tc>
          <w:tcPr>
            <w:tcW w:w="2296"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155" w:name="fs_BYV4K70NNK00000000000000000000fs"/>
            <w:bookmarkEnd w:id="155"/>
            <w:r>
              <w:rPr>
                <w:rFonts w:ascii="times new roman;times" w:hAnsi="times new roman;times"/>
                <w:b/>
                <w:sz w:val="20"/>
              </w:rPr>
              <w:t xml:space="preserve">2025 </w:t>
            </w:r>
          </w:p>
        </w:tc>
        <w:tc>
          <w:tcPr>
            <w:tcW w:w="48" w:type="dxa"/>
            <w:tcBorders/>
            <w:vAlign w:val="center"/>
          </w:tcPr>
          <w:p>
            <w:pPr>
              <w:pStyle w:val="TableContents"/>
              <w:bidi w:val="0"/>
              <w:spacing w:before="0" w:after="283"/>
              <w:ind w:left="0" w:right="0" w:hanging="0"/>
              <w:jc w:val="left"/>
              <w:rPr/>
            </w:pPr>
            <w:r>
              <w:rPr/>
            </w:r>
          </w:p>
        </w:tc>
      </w:tr>
      <w:tr>
        <w:trPr/>
        <w:tc>
          <w:tcPr>
            <w:tcW w:w="4318" w:type="dxa"/>
            <w:tcBorders/>
            <w:shd w:fill="CCEE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Rent expense </w:t>
            </w:r>
          </w:p>
        </w:tc>
        <w:tc>
          <w:tcPr>
            <w:tcW w:w="249"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bidi w:val="0"/>
              <w:spacing w:before="0" w:after="283"/>
              <w:ind w:left="0" w:right="0" w:hanging="0"/>
              <w:jc w:val="left"/>
              <w:rPr/>
            </w:pPr>
            <w:r>
              <w:rPr/>
            </w:r>
          </w:p>
        </w:tc>
        <w:tc>
          <w:tcPr>
            <w:tcW w:w="1586" w:type="dxa"/>
            <w:tcBorders/>
            <w:shd w:fill="CCEEFF" w:val="clear"/>
            <w:vAlign w:val="center"/>
          </w:tcPr>
          <w:p>
            <w:pPr>
              <w:pStyle w:val="TableContents"/>
              <w:bidi w:val="0"/>
              <w:spacing w:before="0" w:after="283"/>
              <w:ind w:left="0" w:right="0" w:hanging="0"/>
              <w:jc w:val="left"/>
              <w:rPr/>
            </w:pPr>
            <w:r>
              <w:rPr/>
            </w:r>
          </w:p>
        </w:tc>
        <w:tc>
          <w:tcPr>
            <w:tcW w:w="499" w:type="dxa"/>
            <w:tcBorders/>
            <w:shd w:fill="CCEEFF" w:val="clear"/>
            <w:vAlign w:val="center"/>
          </w:tcPr>
          <w:p>
            <w:pPr>
              <w:pStyle w:val="TableContents"/>
              <w:bidi w:val="0"/>
              <w:spacing w:before="0" w:after="283"/>
              <w:ind w:left="0" w:right="0" w:hanging="0"/>
              <w:jc w:val="left"/>
              <w:rPr/>
            </w:pPr>
            <w:r>
              <w:rPr/>
            </w:r>
          </w:p>
        </w:tc>
        <w:tc>
          <w:tcPr>
            <w:tcW w:w="499"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bidi w:val="0"/>
              <w:spacing w:before="0" w:after="283"/>
              <w:ind w:left="0" w:right="0" w:hanging="0"/>
              <w:jc w:val="left"/>
              <w:rPr/>
            </w:pPr>
            <w:r>
              <w:rPr/>
            </w:r>
          </w:p>
        </w:tc>
        <w:tc>
          <w:tcPr>
            <w:tcW w:w="1586" w:type="dxa"/>
            <w:tcBorders/>
            <w:shd w:fill="CCEEFF" w:val="clear"/>
            <w:vAlign w:val="center"/>
          </w:tcPr>
          <w:p>
            <w:pPr>
              <w:pStyle w:val="TableContents"/>
              <w:bidi w:val="0"/>
              <w:spacing w:before="0" w:after="283"/>
              <w:ind w:left="0" w:right="0" w:hanging="0"/>
              <w:jc w:val="left"/>
              <w:rPr/>
            </w:pPr>
            <w:r>
              <w:rPr/>
            </w:r>
          </w:p>
        </w:tc>
        <w:tc>
          <w:tcPr>
            <w:tcW w:w="48" w:type="dxa"/>
            <w:tcBorders/>
            <w:shd w:fill="CCEEFF" w:val="clear"/>
            <w:vAlign w:val="center"/>
          </w:tcPr>
          <w:p>
            <w:pPr>
              <w:pStyle w:val="TableContents"/>
              <w:bidi w:val="0"/>
              <w:spacing w:before="0" w:after="283"/>
              <w:ind w:left="0" w:right="0" w:hanging="0"/>
              <w:jc w:val="left"/>
              <w:rPr/>
            </w:pPr>
            <w:r>
              <w:rPr/>
            </w:r>
          </w:p>
        </w:tc>
      </w:tr>
      <w:tr>
        <w:trPr/>
        <w:tc>
          <w:tcPr>
            <w:tcW w:w="4318" w:type="dxa"/>
            <w:tcBorders/>
            <w:vAlign w:val="center"/>
          </w:tcPr>
          <w:p>
            <w:pPr>
              <w:pStyle w:val="TableContents"/>
              <w:bidi w:val="0"/>
              <w:spacing w:before="0" w:after="0"/>
              <w:ind w:left="0" w:right="0" w:hanging="0"/>
              <w:jc w:val="left"/>
              <w:rPr/>
            </w:pPr>
            <w:r>
              <w:rPr>
                <w:rFonts w:ascii="Times New Roman;serif" w:hAnsi="Times New Roman;serif"/>
                <w:color w:val="000000"/>
                <w:sz w:val="20"/>
              </w:rPr>
              <w:t>Continuing operations</w:t>
            </w:r>
            <w:r>
              <w:rPr/>
              <w:t xml:space="preserve"> </w:t>
            </w:r>
          </w:p>
        </w:tc>
        <w:tc>
          <w:tcPr>
            <w:tcW w:w="249"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bidi w:val="0"/>
              <w:spacing w:before="0" w:after="0"/>
              <w:ind w:left="0" w:right="0" w:hanging="0"/>
              <w:jc w:val="left"/>
              <w:rPr/>
            </w:pPr>
            <w:r>
              <w:rPr/>
              <w:t>$</w:t>
            </w:r>
          </w:p>
        </w:tc>
        <w:tc>
          <w:tcPr>
            <w:tcW w:w="1586"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283"/>
              <w:ind w:left="0" w:right="0" w:hanging="0"/>
              <w:jc w:val="left"/>
              <w:rPr/>
            </w:pPr>
            <w:r>
              <w:rPr/>
            </w:r>
          </w:p>
        </w:tc>
        <w:tc>
          <w:tcPr>
            <w:tcW w:w="499" w:type="dxa"/>
            <w:tcBorders/>
            <w:vAlign w:val="center"/>
          </w:tcPr>
          <w:p>
            <w:pPr>
              <w:pStyle w:val="TableContents"/>
              <w:bidi w:val="0"/>
              <w:spacing w:before="0" w:after="283"/>
              <w:ind w:left="0" w:right="0" w:hanging="0"/>
              <w:jc w:val="left"/>
              <w:rPr/>
            </w:pPr>
            <w:r>
              <w:rPr/>
            </w:r>
          </w:p>
        </w:tc>
        <w:tc>
          <w:tcPr>
            <w:tcW w:w="710" w:type="dxa"/>
            <w:tcBorders/>
            <w:vAlign w:val="center"/>
          </w:tcPr>
          <w:p>
            <w:pPr>
              <w:pStyle w:val="TableContents"/>
              <w:bidi w:val="0"/>
              <w:spacing w:before="0" w:after="0"/>
              <w:ind w:left="0" w:right="0" w:hanging="0"/>
              <w:jc w:val="right"/>
              <w:rPr/>
            </w:pPr>
            <w:r>
              <w:rPr/>
              <w:t>$</w:t>
            </w:r>
          </w:p>
        </w:tc>
        <w:tc>
          <w:tcPr>
            <w:tcW w:w="1586" w:type="dxa"/>
            <w:tcBorders/>
            <w:vAlign w:val="center"/>
          </w:tcPr>
          <w:p>
            <w:pPr>
              <w:pStyle w:val="TableContents"/>
              <w:bidi w:val="0"/>
              <w:spacing w:before="0" w:after="0"/>
              <w:ind w:left="0" w:right="0" w:hanging="0"/>
              <w:jc w:val="right"/>
              <w:rPr/>
            </w:pPr>
            <w:r>
              <w:rPr/>
              <w:t>—</w:t>
            </w:r>
          </w:p>
        </w:tc>
        <w:tc>
          <w:tcPr>
            <w:tcW w:w="48" w:type="dxa"/>
            <w:tcBorders/>
            <w:vAlign w:val="center"/>
          </w:tcPr>
          <w:p>
            <w:pPr>
              <w:pStyle w:val="TableContents"/>
              <w:bidi w:val="0"/>
              <w:spacing w:before="0" w:after="283"/>
              <w:ind w:left="0" w:right="0" w:hanging="0"/>
              <w:jc w:val="left"/>
              <w:rPr/>
            </w:pPr>
            <w:r>
              <w:rPr/>
            </w:r>
          </w:p>
        </w:tc>
      </w:tr>
      <w:tr>
        <w:trPr/>
        <w:tc>
          <w:tcPr>
            <w:tcW w:w="4318" w:type="dxa"/>
            <w:tcBorders/>
            <w:shd w:fill="CCEEFF" w:val="clear"/>
            <w:vAlign w:val="center"/>
          </w:tcPr>
          <w:p>
            <w:pPr>
              <w:pStyle w:val="TableContents"/>
              <w:bidi w:val="0"/>
              <w:spacing w:before="0" w:after="0"/>
              <w:ind w:left="0" w:right="0" w:hanging="0"/>
              <w:jc w:val="left"/>
              <w:rPr/>
            </w:pPr>
            <w:r>
              <w:rPr>
                <w:rFonts w:ascii="Times New Roman;serif" w:hAnsi="Times New Roman;serif"/>
                <w:color w:val="000000"/>
                <w:sz w:val="20"/>
              </w:rPr>
              <w:t>Discontinued operations</w:t>
            </w:r>
            <w:r>
              <w:rPr/>
              <w:t xml:space="preserve"> </w:t>
            </w:r>
          </w:p>
        </w:tc>
        <w:tc>
          <w:tcPr>
            <w:tcW w:w="249"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bidi w:val="0"/>
              <w:spacing w:before="0" w:after="283"/>
              <w:ind w:left="0" w:right="0" w:hanging="0"/>
              <w:jc w:val="left"/>
              <w:rPr/>
            </w:pPr>
            <w:r>
              <w:rPr/>
            </w:r>
          </w:p>
        </w:tc>
        <w:tc>
          <w:tcPr>
            <w:tcW w:w="1586" w:type="dxa"/>
            <w:tcBorders/>
            <w:shd w:fill="CCEEFF" w:val="clear"/>
            <w:vAlign w:val="center"/>
          </w:tcPr>
          <w:p>
            <w:pPr>
              <w:pStyle w:val="TableContents"/>
              <w:bidi w:val="0"/>
              <w:spacing w:before="0" w:after="0"/>
              <w:ind w:left="0" w:right="0" w:hanging="0"/>
              <w:jc w:val="right"/>
              <w:rPr/>
            </w:pPr>
            <w:r>
              <w:rPr/>
              <w:t>110</w:t>
            </w:r>
          </w:p>
        </w:tc>
        <w:tc>
          <w:tcPr>
            <w:tcW w:w="499" w:type="dxa"/>
            <w:tcBorders/>
            <w:shd w:fill="CCEEFF" w:val="clear"/>
            <w:vAlign w:val="center"/>
          </w:tcPr>
          <w:p>
            <w:pPr>
              <w:pStyle w:val="TableContents"/>
              <w:bidi w:val="0"/>
              <w:spacing w:before="0" w:after="283"/>
              <w:ind w:left="0" w:right="0" w:hanging="0"/>
              <w:jc w:val="left"/>
              <w:rPr/>
            </w:pPr>
            <w:r>
              <w:rPr/>
            </w:r>
          </w:p>
        </w:tc>
        <w:tc>
          <w:tcPr>
            <w:tcW w:w="499" w:type="dxa"/>
            <w:tcBorders/>
            <w:shd w:fill="CCEEFF" w:val="clear"/>
            <w:vAlign w:val="center"/>
          </w:tcPr>
          <w:p>
            <w:pPr>
              <w:pStyle w:val="TableContents"/>
              <w:bidi w:val="0"/>
              <w:spacing w:before="0" w:after="283"/>
              <w:ind w:left="0" w:right="0" w:hanging="0"/>
              <w:jc w:val="left"/>
              <w:rPr/>
            </w:pPr>
            <w:r>
              <w:rPr/>
            </w:r>
          </w:p>
        </w:tc>
        <w:tc>
          <w:tcPr>
            <w:tcW w:w="710" w:type="dxa"/>
            <w:tcBorders/>
            <w:shd w:fill="CCEEFF" w:val="clear"/>
            <w:vAlign w:val="center"/>
          </w:tcPr>
          <w:p>
            <w:pPr>
              <w:pStyle w:val="TableContents"/>
              <w:bidi w:val="0"/>
              <w:spacing w:before="0" w:after="283"/>
              <w:ind w:left="0" w:right="0" w:hanging="0"/>
              <w:jc w:val="left"/>
              <w:rPr/>
            </w:pPr>
            <w:r>
              <w:rPr/>
            </w:r>
          </w:p>
        </w:tc>
        <w:tc>
          <w:tcPr>
            <w:tcW w:w="1586" w:type="dxa"/>
            <w:tcBorders/>
            <w:shd w:fill="CCEEFF" w:val="clear"/>
            <w:vAlign w:val="center"/>
          </w:tcPr>
          <w:p>
            <w:pPr>
              <w:pStyle w:val="TableContents"/>
              <w:bidi w:val="0"/>
              <w:spacing w:before="0" w:after="0"/>
              <w:ind w:left="0" w:right="0" w:hanging="0"/>
              <w:jc w:val="right"/>
              <w:rPr/>
            </w:pPr>
            <w:r>
              <w:rPr/>
              <w:t>112</w:t>
            </w:r>
          </w:p>
        </w:tc>
        <w:tc>
          <w:tcPr>
            <w:tcW w:w="48" w:type="dxa"/>
            <w:tcBorders/>
            <w:shd w:fill="CCEEFF" w:val="clear"/>
            <w:vAlign w:val="center"/>
          </w:tcPr>
          <w:p>
            <w:pPr>
              <w:pStyle w:val="TableContents"/>
              <w:bidi w:val="0"/>
              <w:spacing w:before="0" w:after="283"/>
              <w:ind w:left="0" w:right="0" w:hanging="0"/>
              <w:jc w:val="left"/>
              <w:rPr/>
            </w:pPr>
            <w:r>
              <w:rPr/>
            </w:r>
          </w:p>
        </w:tc>
      </w:tr>
      <w:tr>
        <w:trPr/>
        <w:tc>
          <w:tcPr>
            <w:tcW w:w="4318"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rent expense </w:t>
            </w:r>
          </w:p>
        </w:tc>
        <w:tc>
          <w:tcPr>
            <w:tcW w:w="249" w:type="dxa"/>
            <w:tcBorders/>
            <w:vAlign w:val="bottom"/>
          </w:tcPr>
          <w:p>
            <w:pPr>
              <w:pStyle w:val="TableContents"/>
              <w:pBdr/>
              <w:bidi w:val="0"/>
              <w:spacing w:before="0" w:after="0"/>
              <w:ind w:left="0" w:right="0" w:hanging="0"/>
              <w:jc w:val="left"/>
              <w:rPr/>
            </w:pPr>
            <w:r>
              <w:rPr/>
              <w:t xml:space="preserve">  </w:t>
            </w:r>
          </w:p>
        </w:tc>
        <w:tc>
          <w:tcPr>
            <w:tcW w:w="710"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86"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110 </w:t>
            </w:r>
          </w:p>
        </w:tc>
        <w:tc>
          <w:tcPr>
            <w:tcW w:w="499" w:type="dxa"/>
            <w:tcBorders/>
            <w:vAlign w:val="bottom"/>
          </w:tcPr>
          <w:p>
            <w:pPr>
              <w:pStyle w:val="TableContents"/>
              <w:pBdr/>
              <w:bidi w:val="0"/>
              <w:spacing w:before="0" w:after="0"/>
              <w:ind w:left="0" w:right="0" w:hanging="0"/>
              <w:jc w:val="left"/>
              <w:rPr/>
            </w:pPr>
            <w:r>
              <w:rPr/>
              <w:t xml:space="preserve">  </w:t>
            </w:r>
          </w:p>
        </w:tc>
        <w:tc>
          <w:tcPr>
            <w:tcW w:w="499" w:type="dxa"/>
            <w:tcBorders/>
            <w:vAlign w:val="bottom"/>
          </w:tcPr>
          <w:p>
            <w:pPr>
              <w:pStyle w:val="TableContents"/>
              <w:pBdr/>
              <w:bidi w:val="0"/>
              <w:spacing w:before="0" w:after="0"/>
              <w:ind w:left="0" w:right="0" w:hanging="0"/>
              <w:jc w:val="left"/>
              <w:rPr/>
            </w:pPr>
            <w:r>
              <w:rPr/>
              <w:t xml:space="preserve">  </w:t>
            </w:r>
          </w:p>
        </w:tc>
        <w:tc>
          <w:tcPr>
            <w:tcW w:w="710"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86"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112 </w:t>
            </w:r>
          </w:p>
        </w:tc>
        <w:tc>
          <w:tcPr>
            <w:tcW w:w="48"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 xml:space="preserve">As of March 31, 2026, the Company had </w:t>
      </w:r>
      <w:bookmarkStart w:id="156" w:name="fs_NJ2XOBBP8W00000000000000000000fs"/>
      <w:bookmarkEnd w:id="156"/>
      <w:r>
        <w:rPr>
          <w:rFonts w:ascii="Times New Roman" w:hAnsi="Times New Roman"/>
          <w:sz w:val="20"/>
        </w:rPr>
        <w:t xml:space="preserve">one remaining operating lease — the Edgewater Corporate Park facility at </w:t>
      </w:r>
      <w:bookmarkStart w:id="157" w:name="fs_G6I9J3FQJK00000000000000000000fs"/>
      <w:bookmarkEnd w:id="157"/>
      <w:r>
        <w:rPr>
          <w:rFonts w:ascii="Times New Roman" w:hAnsi="Times New Roman"/>
          <w:sz w:val="20"/>
        </w:rPr>
        <w:t>5225 Wiley Post Way, Salt Lake City, Utah (approximately 9,402 square feet), which supported administrative, sales, marketing, customer support, and warranty operations. The lease was scheduled to expire in February 2028.</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Subsequent to March 31, 2026, on April 7, 2026, the Company terminated the Edgewater lease for a $300 termination fee (see Note </w:t>
      </w:r>
      <w:bookmarkStart w:id="158" w:name="fs_LZJO1UA8YO00000000000000000000fs"/>
      <w:bookmarkEnd w:id="158"/>
      <w:r>
        <w:rPr>
          <w:rFonts w:ascii="Times New Roman" w:hAnsi="Times New Roman"/>
          <w:b w:val="false"/>
          <w:i w:val="false"/>
          <w:caps w:val="false"/>
          <w:smallCaps w:val="false"/>
          <w:color w:val="000000"/>
          <w:spacing w:val="0"/>
          <w:sz w:val="20"/>
        </w:rPr>
        <w:t xml:space="preserve">15 — Subsequent Events). The other </w:t>
      </w:r>
      <w:bookmarkStart w:id="159" w:name="fs_2F5FL5UGSW00000000000000000000fs"/>
      <w:bookmarkEnd w:id="159"/>
      <w:r>
        <w:rPr>
          <w:rFonts w:ascii="Times New Roman" w:hAnsi="Times New Roman"/>
          <w:b w:val="false"/>
          <w:i w:val="false"/>
          <w:caps w:val="false"/>
          <w:smallCaps w:val="false"/>
          <w:color w:val="000000"/>
          <w:spacing w:val="0"/>
          <w:sz w:val="20"/>
        </w:rPr>
        <w:t xml:space="preserve">two leases (Gainesville, FL and the Salt Lake City warehouse at </w:t>
      </w:r>
      <w:bookmarkStart w:id="160" w:name="fs_2SA8ZQTVN400000000000000000000fs"/>
      <w:bookmarkEnd w:id="160"/>
      <w:r>
        <w:rPr>
          <w:rFonts w:ascii="Times New Roman" w:hAnsi="Times New Roman"/>
          <w:b w:val="false"/>
          <w:i w:val="false"/>
          <w:caps w:val="false"/>
          <w:smallCaps w:val="false"/>
          <w:color w:val="000000"/>
          <w:spacing w:val="0"/>
          <w:sz w:val="20"/>
        </w:rPr>
        <w:t xml:space="preserve">363 West </w:t>
      </w:r>
      <w:bookmarkStart w:id="161" w:name="fs_TEOSG8P29S00000000000000000000fs"/>
      <w:bookmarkEnd w:id="161"/>
      <w:r>
        <w:rPr>
          <w:rFonts w:ascii="Times New Roman" w:hAnsi="Times New Roman"/>
          <w:b w:val="false"/>
          <w:i w:val="false"/>
          <w:caps w:val="false"/>
          <w:smallCaps w:val="false"/>
          <w:color w:val="000000"/>
          <w:spacing w:val="0"/>
          <w:sz w:val="20"/>
        </w:rPr>
        <w:t>2720 South) had already been terminated prior to March 31, 2026.</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62" w:name="PageBreakNo14"/>
            <w:bookmarkEnd w:id="162"/>
            <w:r>
              <w:rPr>
                <w:sz w:val="20"/>
              </w:rPr>
              <w:t>14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cash flow information related to leases 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757"/>
        <w:gridCol w:w="140"/>
        <w:gridCol w:w="337"/>
        <w:gridCol w:w="1094"/>
        <w:gridCol w:w="289"/>
        <w:gridCol w:w="288"/>
        <w:gridCol w:w="336"/>
        <w:gridCol w:w="805"/>
        <w:gridCol w:w="159"/>
      </w:tblGrid>
      <w:tr>
        <w:trPr/>
        <w:tc>
          <w:tcPr>
            <w:tcW w:w="6757"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3149" w:type="dxa"/>
            <w:gridSpan w:val="6"/>
            <w:tcBorders/>
            <w:vAlign w:val="center"/>
          </w:tcPr>
          <w:p>
            <w:pPr>
              <w:pStyle w:val="TableContents"/>
              <w:bidi w:val="0"/>
              <w:spacing w:before="0" w:after="0"/>
              <w:ind w:left="0" w:right="0" w:hanging="0"/>
              <w:jc w:val="center"/>
              <w:rPr>
                <w:rFonts w:ascii="Times New Roman" w:hAnsi="Times New Roman"/>
                <w:b/>
                <w:sz w:val="20"/>
              </w:rPr>
            </w:pPr>
            <w:bookmarkStart w:id="163" w:name="fs_IO97YORQOW00000000000000000000FM"/>
            <w:bookmarkEnd w:id="163"/>
            <w:r>
              <w:rPr>
                <w:rFonts w:ascii="Times New Roman" w:hAnsi="Times New Roman"/>
                <w:b/>
                <w:sz w:val="20"/>
              </w:rPr>
              <w:t xml:space="preserve">Three months ended March 31, </w:t>
            </w:r>
          </w:p>
        </w:tc>
        <w:tc>
          <w:tcPr>
            <w:tcW w:w="159" w:type="dxa"/>
            <w:tcBorders/>
            <w:vAlign w:val="center"/>
          </w:tcPr>
          <w:p>
            <w:pPr>
              <w:pStyle w:val="TableContents"/>
              <w:bidi w:val="0"/>
              <w:spacing w:before="0" w:after="0"/>
              <w:ind w:left="0" w:right="0" w:hanging="0"/>
              <w:jc w:val="left"/>
              <w:rPr/>
            </w:pPr>
            <w:r>
              <w:rPr/>
              <w:t xml:space="preserve">  </w:t>
            </w:r>
          </w:p>
        </w:tc>
      </w:tr>
      <w:tr>
        <w:trPr/>
        <w:tc>
          <w:tcPr>
            <w:tcW w:w="6757"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1431" w:type="dxa"/>
            <w:gridSpan w:val="2"/>
            <w:tcBorders/>
            <w:vAlign w:val="center"/>
          </w:tcPr>
          <w:p>
            <w:pPr>
              <w:pStyle w:val="TableContents"/>
              <w:bidi w:val="0"/>
              <w:spacing w:before="0" w:after="0"/>
              <w:ind w:left="0" w:right="0" w:hanging="0"/>
              <w:jc w:val="center"/>
              <w:rPr>
                <w:rFonts w:ascii="Times New Roman" w:hAnsi="Times New Roman"/>
                <w:b/>
                <w:sz w:val="20"/>
              </w:rPr>
            </w:pPr>
            <w:bookmarkStart w:id="164" w:name="fs_WMFH0ZLQYO00000000000000000000fs"/>
            <w:bookmarkEnd w:id="164"/>
            <w:r>
              <w:rPr>
                <w:rFonts w:ascii="Times New Roman" w:hAnsi="Times New Roman"/>
                <w:b/>
                <w:sz w:val="20"/>
              </w:rPr>
              <w:t xml:space="preserve">2026 </w:t>
            </w:r>
          </w:p>
        </w:tc>
        <w:tc>
          <w:tcPr>
            <w:tcW w:w="289" w:type="dxa"/>
            <w:tcBorders/>
            <w:vAlign w:val="center"/>
          </w:tcPr>
          <w:p>
            <w:pPr>
              <w:pStyle w:val="TableContents"/>
              <w:bidi w:val="0"/>
              <w:spacing w:before="0" w:after="0"/>
              <w:ind w:left="0" w:right="0" w:hanging="0"/>
              <w:jc w:val="left"/>
              <w:rPr/>
            </w:pPr>
            <w:r>
              <w:rPr/>
              <w:t xml:space="preserve">  </w:t>
            </w:r>
          </w:p>
        </w:tc>
        <w:tc>
          <w:tcPr>
            <w:tcW w:w="288" w:type="dxa"/>
            <w:tcBorders/>
            <w:vAlign w:val="center"/>
          </w:tcPr>
          <w:p>
            <w:pPr>
              <w:pStyle w:val="TableContents"/>
              <w:bidi w:val="0"/>
              <w:spacing w:before="0" w:after="0"/>
              <w:ind w:left="0" w:right="0" w:hanging="0"/>
              <w:jc w:val="left"/>
              <w:rPr/>
            </w:pPr>
            <w:r>
              <w:rPr/>
              <w:t xml:space="preserve">  </w:t>
            </w:r>
          </w:p>
        </w:tc>
        <w:tc>
          <w:tcPr>
            <w:tcW w:w="1141" w:type="dxa"/>
            <w:gridSpan w:val="2"/>
            <w:tcBorders/>
            <w:vAlign w:val="center"/>
          </w:tcPr>
          <w:p>
            <w:pPr>
              <w:pStyle w:val="TableContents"/>
              <w:bidi w:val="0"/>
              <w:spacing w:before="0" w:after="0"/>
              <w:ind w:left="0" w:right="0" w:hanging="0"/>
              <w:jc w:val="center"/>
              <w:rPr>
                <w:rFonts w:ascii="Times New Roman" w:hAnsi="Times New Roman"/>
                <w:b/>
                <w:sz w:val="20"/>
              </w:rPr>
            </w:pPr>
            <w:bookmarkStart w:id="165" w:name="fs_6436FJTWWW00000000000000000000fs"/>
            <w:bookmarkEnd w:id="165"/>
            <w:r>
              <w:rPr>
                <w:rFonts w:ascii="Times New Roman" w:hAnsi="Times New Roman"/>
                <w:b/>
                <w:sz w:val="20"/>
              </w:rPr>
              <w:t xml:space="preserve">2025 </w:t>
            </w:r>
          </w:p>
        </w:tc>
        <w:tc>
          <w:tcPr>
            <w:tcW w:w="159" w:type="dxa"/>
            <w:tcBorders/>
            <w:vAlign w:val="center"/>
          </w:tcPr>
          <w:p>
            <w:pPr>
              <w:pStyle w:val="TableContents"/>
              <w:bidi w:val="0"/>
              <w:spacing w:before="0" w:after="0"/>
              <w:ind w:left="0" w:right="0" w:hanging="0"/>
              <w:jc w:val="left"/>
              <w:rPr/>
            </w:pPr>
            <w:r>
              <w:rPr/>
              <w:t xml:space="preserve">  </w:t>
            </w:r>
          </w:p>
        </w:tc>
      </w:tr>
      <w:tr>
        <w:trPr/>
        <w:tc>
          <w:tcPr>
            <w:tcW w:w="67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amounts included in the measurement of lease liabilities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337"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left"/>
              <w:rPr/>
            </w:pPr>
            <w:r>
              <w:rPr/>
            </w:r>
          </w:p>
        </w:tc>
        <w:tc>
          <w:tcPr>
            <w:tcW w:w="289" w:type="dxa"/>
            <w:tcBorders/>
            <w:shd w:fill="CCEEFF" w:val="clear"/>
            <w:vAlign w:val="center"/>
          </w:tcPr>
          <w:p>
            <w:pPr>
              <w:pStyle w:val="TableContents"/>
              <w:bidi w:val="0"/>
              <w:spacing w:before="0" w:after="0"/>
              <w:ind w:left="0" w:right="0" w:hanging="0"/>
              <w:jc w:val="left"/>
              <w:rPr/>
            </w:pPr>
            <w:r>
              <w:rPr/>
              <w:t xml:space="preserve">  </w:t>
            </w:r>
          </w:p>
        </w:tc>
        <w:tc>
          <w:tcPr>
            <w:tcW w:w="288" w:type="dxa"/>
            <w:tcBorders/>
            <w:shd w:fill="CCEEFF" w:val="clear"/>
            <w:vAlign w:val="center"/>
          </w:tcPr>
          <w:p>
            <w:pPr>
              <w:pStyle w:val="TableContents"/>
              <w:bidi w:val="0"/>
              <w:spacing w:before="0" w:after="0"/>
              <w:ind w:left="0" w:right="0" w:hanging="0"/>
              <w:jc w:val="left"/>
              <w:rPr/>
            </w:pPr>
            <w:r>
              <w:rPr/>
              <w:t xml:space="preserve">  </w:t>
            </w:r>
          </w:p>
        </w:tc>
        <w:tc>
          <w:tcPr>
            <w:tcW w:w="336" w:type="dxa"/>
            <w:tcBorders/>
            <w:shd w:fill="CCEEFF" w:val="clear"/>
            <w:vAlign w:val="center"/>
          </w:tcPr>
          <w:p>
            <w:pPr>
              <w:pStyle w:val="TableContents"/>
              <w:bidi w:val="0"/>
              <w:spacing w:before="0" w:after="0"/>
              <w:ind w:left="0" w:right="0" w:hanging="0"/>
              <w:jc w:val="left"/>
              <w:rPr/>
            </w:pPr>
            <w:r>
              <w:rPr/>
            </w:r>
          </w:p>
        </w:tc>
        <w:tc>
          <w:tcPr>
            <w:tcW w:w="805" w:type="dxa"/>
            <w:tcBorders/>
            <w:shd w:fill="CCEEFF" w:val="clear"/>
            <w:vAlign w:val="center"/>
          </w:tcPr>
          <w:p>
            <w:pPr>
              <w:pStyle w:val="TableContents"/>
              <w:bidi w:val="0"/>
              <w:spacing w:before="0" w:after="0"/>
              <w:ind w:left="0" w:right="0" w:hanging="0"/>
              <w:jc w:val="right"/>
              <w:rPr/>
            </w:pPr>
            <w:r>
              <w:rPr/>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67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cash flows from operating leases</w:t>
            </w:r>
          </w:p>
        </w:tc>
        <w:tc>
          <w:tcPr>
            <w:tcW w:w="140"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(176</w:t>
            </w:r>
          </w:p>
        </w:tc>
        <w:tc>
          <w:tcPr>
            <w:tcW w:w="289" w:type="dxa"/>
            <w:tcBorders/>
            <w:vAlign w:val="center"/>
          </w:tcPr>
          <w:p>
            <w:pPr>
              <w:pStyle w:val="TableContents"/>
              <w:bidi w:val="0"/>
              <w:spacing w:before="0" w:after="283"/>
              <w:jc w:val="left"/>
              <w:rPr/>
            </w:pPr>
            <w:r>
              <w:rPr/>
              <w:t>)</w:t>
            </w:r>
          </w:p>
        </w:tc>
        <w:tc>
          <w:tcPr>
            <w:tcW w:w="288" w:type="dxa"/>
            <w:tcBorders/>
            <w:vAlign w:val="center"/>
          </w:tcPr>
          <w:p>
            <w:pPr>
              <w:pStyle w:val="TableContents"/>
              <w:bidi w:val="0"/>
              <w:spacing w:before="0" w:after="283"/>
              <w:jc w:val="left"/>
              <w:rPr/>
            </w:pPr>
            <w:r>
              <w:rPr/>
            </w:r>
          </w:p>
        </w:tc>
        <w:tc>
          <w:tcPr>
            <w:tcW w:w="336"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(92</w:t>
            </w:r>
          </w:p>
        </w:tc>
        <w:tc>
          <w:tcPr>
            <w:tcW w:w="159" w:type="dxa"/>
            <w:tcBorders/>
            <w:vAlign w:val="center"/>
          </w:tcPr>
          <w:p>
            <w:pPr>
              <w:pStyle w:val="TableContents"/>
              <w:bidi w:val="0"/>
              <w:spacing w:before="0" w:after="283"/>
              <w:jc w:val="left"/>
              <w:rPr/>
            </w:pPr>
            <w:r>
              <w:rPr/>
              <w:t>)</w:t>
            </w:r>
          </w:p>
        </w:tc>
      </w:tr>
      <w:tr>
        <w:trPr/>
        <w:tc>
          <w:tcPr>
            <w:tcW w:w="6757"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40" w:type="dxa"/>
            <w:tcBorders/>
            <w:shd w:fill="CCEEFF" w:val="clear"/>
            <w:vAlign w:val="center"/>
          </w:tcPr>
          <w:p>
            <w:pPr>
              <w:pStyle w:val="TableContents"/>
              <w:bidi w:val="0"/>
              <w:spacing w:before="0" w:after="283"/>
              <w:jc w:val="left"/>
              <w:rPr/>
            </w:pPr>
            <w:r>
              <w:rPr/>
            </w:r>
          </w:p>
        </w:tc>
        <w:tc>
          <w:tcPr>
            <w:tcW w:w="337"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left"/>
              <w:rPr/>
            </w:pPr>
            <w:r>
              <w:rPr/>
            </w:r>
          </w:p>
        </w:tc>
        <w:tc>
          <w:tcPr>
            <w:tcW w:w="289" w:type="dxa"/>
            <w:tcBorders/>
            <w:shd w:fill="CCEEFF" w:val="clear"/>
            <w:vAlign w:val="center"/>
          </w:tcPr>
          <w:p>
            <w:pPr>
              <w:pStyle w:val="TableContents"/>
              <w:bidi w:val="0"/>
              <w:spacing w:before="0" w:after="283"/>
              <w:jc w:val="left"/>
              <w:rPr/>
            </w:pPr>
            <w:r>
              <w:rPr/>
            </w:r>
          </w:p>
        </w:tc>
        <w:tc>
          <w:tcPr>
            <w:tcW w:w="288" w:type="dxa"/>
            <w:tcBorders/>
            <w:shd w:fill="CCEEFF" w:val="clear"/>
            <w:vAlign w:val="center"/>
          </w:tcPr>
          <w:p>
            <w:pPr>
              <w:pStyle w:val="TableContents"/>
              <w:bidi w:val="0"/>
              <w:spacing w:before="0" w:after="283"/>
              <w:jc w:val="left"/>
              <w:rPr/>
            </w:pPr>
            <w:r>
              <w:rPr/>
            </w:r>
          </w:p>
        </w:tc>
        <w:tc>
          <w:tcPr>
            <w:tcW w:w="336"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r>
          </w:p>
        </w:tc>
      </w:tr>
      <w:tr>
        <w:trPr/>
        <w:tc>
          <w:tcPr>
            <w:tcW w:w="67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leases</w:t>
            </w:r>
          </w:p>
        </w:tc>
        <w:tc>
          <w:tcPr>
            <w:tcW w:w="140"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w:t>
            </w:r>
          </w:p>
        </w:tc>
        <w:tc>
          <w:tcPr>
            <w:tcW w:w="289"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r>
          </w:p>
        </w:tc>
        <w:tc>
          <w:tcPr>
            <w:tcW w:w="336"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Supplemental balance sheet information related to leases was as follows:</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144"/>
        <w:gridCol w:w="110"/>
        <w:gridCol w:w="408"/>
        <w:gridCol w:w="1115"/>
        <w:gridCol w:w="215"/>
        <w:gridCol w:w="110"/>
        <w:gridCol w:w="450"/>
        <w:gridCol w:w="1418"/>
        <w:gridCol w:w="235"/>
      </w:tblGrid>
      <w:tr>
        <w:trPr/>
        <w:tc>
          <w:tcPr>
            <w:tcW w:w="6144" w:type="dxa"/>
            <w:tcBorders/>
            <w:vAlign w:val="center"/>
          </w:tcPr>
          <w:p>
            <w:pPr>
              <w:pStyle w:val="TableContents"/>
              <w:bidi w:val="0"/>
              <w:spacing w:before="0" w:after="283"/>
              <w:jc w:val="left"/>
              <w:rPr/>
            </w:pPr>
            <w:r>
              <w:rPr/>
              <w:t xml:space="preserve">  </w:t>
            </w:r>
          </w:p>
        </w:tc>
        <w:tc>
          <w:tcPr>
            <w:tcW w:w="110" w:type="dxa"/>
            <w:tcBorders/>
            <w:vAlign w:val="center"/>
          </w:tcPr>
          <w:p>
            <w:pPr>
              <w:pStyle w:val="TableContents"/>
              <w:bidi w:val="0"/>
              <w:spacing w:before="0" w:after="283"/>
              <w:jc w:val="left"/>
              <w:rPr/>
            </w:pPr>
            <w:r>
              <w:rPr/>
              <w:t xml:space="preserve">  </w:t>
            </w:r>
          </w:p>
        </w:tc>
        <w:tc>
          <w:tcPr>
            <w:tcW w:w="1523" w:type="dxa"/>
            <w:gridSpan w:val="2"/>
            <w:tcBorders/>
            <w:vAlign w:val="center"/>
          </w:tcPr>
          <w:p>
            <w:pPr>
              <w:pStyle w:val="TableContents"/>
              <w:bidi w:val="0"/>
              <w:spacing w:before="0" w:after="283"/>
              <w:jc w:val="center"/>
              <w:rPr>
                <w:b/>
              </w:rPr>
            </w:pPr>
            <w:bookmarkStart w:id="166" w:name="fs_ASSQ8S3NEO00000000000000000000FM"/>
            <w:bookmarkEnd w:id="166"/>
            <w:r>
              <w:rPr>
                <w:b/>
              </w:rPr>
              <w:t xml:space="preserve">March 31, 2026 </w:t>
            </w:r>
          </w:p>
        </w:tc>
        <w:tc>
          <w:tcPr>
            <w:tcW w:w="215" w:type="dxa"/>
            <w:tcBorders/>
            <w:vAlign w:val="center"/>
          </w:tcPr>
          <w:p>
            <w:pPr>
              <w:pStyle w:val="TableContents"/>
              <w:bidi w:val="0"/>
              <w:spacing w:before="0" w:after="283"/>
              <w:jc w:val="left"/>
              <w:rPr/>
            </w:pPr>
            <w:r>
              <w:rPr/>
              <w:t xml:space="preserve">  </w:t>
            </w:r>
          </w:p>
        </w:tc>
        <w:tc>
          <w:tcPr>
            <w:tcW w:w="110" w:type="dxa"/>
            <w:tcBorders/>
            <w:vAlign w:val="center"/>
          </w:tcPr>
          <w:p>
            <w:pPr>
              <w:pStyle w:val="TableContents"/>
              <w:bidi w:val="0"/>
              <w:spacing w:before="0" w:after="283"/>
              <w:jc w:val="left"/>
              <w:rPr/>
            </w:pPr>
            <w:r>
              <w:rPr/>
              <w:t xml:space="preserve">  </w:t>
            </w:r>
          </w:p>
        </w:tc>
        <w:tc>
          <w:tcPr>
            <w:tcW w:w="1868" w:type="dxa"/>
            <w:gridSpan w:val="2"/>
            <w:tcBorders/>
            <w:vAlign w:val="center"/>
          </w:tcPr>
          <w:p>
            <w:pPr>
              <w:pStyle w:val="TableContents"/>
              <w:bidi w:val="0"/>
              <w:spacing w:before="0" w:after="283"/>
              <w:jc w:val="center"/>
              <w:rPr>
                <w:b/>
              </w:rPr>
            </w:pPr>
            <w:bookmarkStart w:id="167" w:name="fs_EGQPYUTOS000000000000000000000FM"/>
            <w:bookmarkEnd w:id="167"/>
            <w:r>
              <w:rPr>
                <w:b/>
              </w:rPr>
              <w:t xml:space="preserve">December 31, 2025 </w:t>
            </w:r>
          </w:p>
        </w:tc>
        <w:tc>
          <w:tcPr>
            <w:tcW w:w="235" w:type="dxa"/>
            <w:tcBorders/>
            <w:vAlign w:val="center"/>
          </w:tcPr>
          <w:p>
            <w:pPr>
              <w:pStyle w:val="TableContents"/>
              <w:bidi w:val="0"/>
              <w:spacing w:before="0" w:after="283"/>
              <w:jc w:val="left"/>
              <w:rPr/>
            </w:pPr>
            <w:r>
              <w:rPr/>
              <w:t xml:space="preserve">  </w:t>
            </w:r>
          </w:p>
        </w:tc>
      </w:tr>
      <w:tr>
        <w:trPr/>
        <w:tc>
          <w:tcPr>
            <w:tcW w:w="6144" w:type="dxa"/>
            <w:tcBorders/>
            <w:shd w:fill="CCEEFF" w:val="clear"/>
            <w:vAlign w:val="center"/>
          </w:tcPr>
          <w:p>
            <w:pPr>
              <w:pStyle w:val="TableContents"/>
              <w:bidi w:val="0"/>
              <w:spacing w:before="0" w:after="283"/>
              <w:jc w:val="left"/>
              <w:rPr/>
            </w:pPr>
            <w:r>
              <w:rPr/>
              <w:t xml:space="preserve">Operating lease right-of-use assets </w:t>
            </w:r>
          </w:p>
        </w:tc>
        <w:tc>
          <w:tcPr>
            <w:tcW w:w="110" w:type="dxa"/>
            <w:tcBorders/>
            <w:shd w:fill="CCEEFF" w:val="clear"/>
            <w:vAlign w:val="center"/>
          </w:tcPr>
          <w:p>
            <w:pPr>
              <w:pStyle w:val="TableContents"/>
              <w:bidi w:val="0"/>
              <w:spacing w:before="0" w:after="283"/>
              <w:jc w:val="left"/>
              <w:rPr/>
            </w:pPr>
            <w:r>
              <w:rPr/>
              <w:t xml:space="preserve">  </w:t>
            </w:r>
          </w:p>
        </w:tc>
        <w:tc>
          <w:tcPr>
            <w:tcW w:w="408" w:type="dxa"/>
            <w:tcBorders/>
            <w:shd w:fill="CCEEFF" w:val="clear"/>
            <w:vAlign w:val="center"/>
          </w:tcPr>
          <w:p>
            <w:pPr>
              <w:pStyle w:val="TableContents"/>
              <w:bidi w:val="0"/>
              <w:spacing w:before="0" w:after="283"/>
              <w:jc w:val="left"/>
              <w:rPr/>
            </w:pPr>
            <w:r>
              <w:rPr/>
              <w:t xml:space="preserve">$ </w:t>
            </w:r>
          </w:p>
        </w:tc>
        <w:tc>
          <w:tcPr>
            <w:tcW w:w="1115" w:type="dxa"/>
            <w:tcBorders/>
            <w:shd w:fill="CCEEFF" w:val="clear"/>
            <w:vAlign w:val="center"/>
          </w:tcPr>
          <w:p>
            <w:pPr>
              <w:pStyle w:val="TableContents"/>
              <w:bidi w:val="0"/>
              <w:spacing w:before="0" w:after="283"/>
              <w:jc w:val="right"/>
              <w:rPr/>
            </w:pPr>
            <w:r>
              <w:rPr/>
              <w:t> </w:t>
            </w:r>
            <w:r>
              <w:rPr/>
              <w:t>321</w:t>
            </w:r>
          </w:p>
        </w:tc>
        <w:tc>
          <w:tcPr>
            <w:tcW w:w="215"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450" w:type="dxa"/>
            <w:tcBorders/>
            <w:shd w:fill="CCEEFF" w:val="clear"/>
            <w:vAlign w:val="center"/>
          </w:tcPr>
          <w:p>
            <w:pPr>
              <w:pStyle w:val="TableContents"/>
              <w:bidi w:val="0"/>
              <w:spacing w:before="0" w:after="283"/>
              <w:jc w:val="left"/>
              <w:rPr/>
            </w:pPr>
            <w:r>
              <w:rPr/>
              <w:t xml:space="preserve">$ </w:t>
            </w:r>
          </w:p>
        </w:tc>
        <w:tc>
          <w:tcPr>
            <w:tcW w:w="1418" w:type="dxa"/>
            <w:tcBorders/>
            <w:shd w:fill="CCEEFF" w:val="clear"/>
            <w:vAlign w:val="center"/>
          </w:tcPr>
          <w:p>
            <w:pPr>
              <w:pStyle w:val="TableContents"/>
              <w:bidi w:val="0"/>
              <w:spacing w:before="0" w:after="283"/>
              <w:jc w:val="right"/>
              <w:rPr/>
            </w:pPr>
            <w:r>
              <w:rPr/>
              <w:t> </w:t>
            </w:r>
            <w:r>
              <w:rPr/>
              <w:t>494</w:t>
            </w:r>
          </w:p>
        </w:tc>
        <w:tc>
          <w:tcPr>
            <w:tcW w:w="235" w:type="dxa"/>
            <w:tcBorders/>
            <w:shd w:fill="CCEEFF" w:val="clear"/>
            <w:vAlign w:val="center"/>
          </w:tcPr>
          <w:p>
            <w:pPr>
              <w:pStyle w:val="TableContents"/>
              <w:bidi w:val="0"/>
              <w:spacing w:before="0" w:after="283"/>
              <w:jc w:val="left"/>
              <w:rPr/>
            </w:pPr>
            <w:r>
              <w:rPr/>
              <w:t xml:space="preserve">  </w:t>
            </w:r>
          </w:p>
        </w:tc>
      </w:tr>
      <w:tr>
        <w:trPr/>
        <w:tc>
          <w:tcPr>
            <w:tcW w:w="6144"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 xml:space="preserve">  </w:t>
            </w:r>
          </w:p>
        </w:tc>
        <w:tc>
          <w:tcPr>
            <w:tcW w:w="408" w:type="dxa"/>
            <w:tcBorders/>
            <w:vAlign w:val="center"/>
          </w:tcPr>
          <w:p>
            <w:pPr>
              <w:pStyle w:val="TableContents"/>
              <w:bidi w:val="0"/>
              <w:spacing w:before="0" w:after="0"/>
              <w:ind w:left="0" w:right="0" w:hanging="0"/>
              <w:jc w:val="left"/>
              <w:rPr/>
            </w:pPr>
            <w:r>
              <w:rPr/>
            </w:r>
          </w:p>
        </w:tc>
        <w:tc>
          <w:tcPr>
            <w:tcW w:w="1115"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r>
          </w:p>
        </w:tc>
        <w:tc>
          <w:tcPr>
            <w:tcW w:w="450" w:type="dxa"/>
            <w:tcBorders/>
            <w:vAlign w:val="center"/>
          </w:tcPr>
          <w:p>
            <w:pPr>
              <w:pStyle w:val="TableContents"/>
              <w:bidi w:val="0"/>
              <w:spacing w:before="0" w:after="283"/>
              <w:jc w:val="left"/>
              <w:rPr/>
            </w:pPr>
            <w:r>
              <w:rPr/>
            </w:r>
          </w:p>
        </w:tc>
        <w:tc>
          <w:tcPr>
            <w:tcW w:w="141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r>
          </w:p>
        </w:tc>
      </w:tr>
      <w:tr>
        <w:trPr/>
        <w:tc>
          <w:tcPr>
            <w:tcW w:w="6144" w:type="dxa"/>
            <w:tcBorders/>
            <w:shd w:fill="CCEEFF" w:val="clear"/>
            <w:vAlign w:val="center"/>
          </w:tcPr>
          <w:p>
            <w:pPr>
              <w:pStyle w:val="TableContents"/>
              <w:bidi w:val="0"/>
              <w:spacing w:before="0" w:after="283"/>
              <w:jc w:val="left"/>
              <w:rPr/>
            </w:pPr>
            <w:r>
              <w:rPr/>
              <w:t xml:space="preserve">Current portion of operating lease liabilities, included in accrued liabilities </w:t>
            </w:r>
          </w:p>
        </w:tc>
        <w:tc>
          <w:tcPr>
            <w:tcW w:w="110" w:type="dxa"/>
            <w:tcBorders/>
            <w:shd w:fill="CCEEFF" w:val="clear"/>
            <w:vAlign w:val="center"/>
          </w:tcPr>
          <w:p>
            <w:pPr>
              <w:pStyle w:val="TableContents"/>
              <w:bidi w:val="0"/>
              <w:spacing w:before="0" w:after="283"/>
              <w:jc w:val="left"/>
              <w:rPr/>
            </w:pPr>
            <w:r>
              <w:rPr/>
            </w:r>
          </w:p>
        </w:tc>
        <w:tc>
          <w:tcPr>
            <w:tcW w:w="408"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168</w:t>
            </w:r>
          </w:p>
        </w:tc>
        <w:tc>
          <w:tcPr>
            <w:tcW w:w="215"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450"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223</w:t>
            </w:r>
          </w:p>
        </w:tc>
        <w:tc>
          <w:tcPr>
            <w:tcW w:w="235" w:type="dxa"/>
            <w:tcBorders/>
            <w:shd w:fill="CCEEFF" w:val="clear"/>
            <w:vAlign w:val="center"/>
          </w:tcPr>
          <w:p>
            <w:pPr>
              <w:pStyle w:val="TableContents"/>
              <w:bidi w:val="0"/>
              <w:spacing w:before="0" w:after="283"/>
              <w:jc w:val="left"/>
              <w:rPr/>
            </w:pPr>
            <w:r>
              <w:rPr/>
            </w:r>
          </w:p>
        </w:tc>
      </w:tr>
      <w:tr>
        <w:trPr/>
        <w:tc>
          <w:tcPr>
            <w:tcW w:w="6144" w:type="dxa"/>
            <w:tcBorders/>
            <w:vAlign w:val="center"/>
          </w:tcPr>
          <w:p>
            <w:pPr>
              <w:pStyle w:val="TableContents"/>
              <w:bidi w:val="0"/>
              <w:spacing w:before="0" w:after="283"/>
              <w:jc w:val="left"/>
              <w:rPr/>
            </w:pPr>
            <w:r>
              <w:rPr/>
              <w:t xml:space="preserve">Operating lease liabilities, net of current portion </w:t>
            </w:r>
          </w:p>
        </w:tc>
        <w:tc>
          <w:tcPr>
            <w:tcW w:w="110" w:type="dxa"/>
            <w:tcBorders/>
            <w:vAlign w:val="center"/>
          </w:tcPr>
          <w:p>
            <w:pPr>
              <w:pStyle w:val="TableContents"/>
              <w:bidi w:val="0"/>
              <w:spacing w:before="0" w:after="283"/>
              <w:jc w:val="left"/>
              <w:rPr/>
            </w:pPr>
            <w:r>
              <w:rPr/>
              <w:t xml:space="preserve">  </w:t>
            </w:r>
          </w:p>
        </w:tc>
        <w:tc>
          <w:tcPr>
            <w:tcW w:w="408" w:type="dxa"/>
            <w:tcBorders/>
            <w:vAlign w:val="center"/>
          </w:tcPr>
          <w:p>
            <w:pPr>
              <w:pStyle w:val="TableContents"/>
              <w:bidi w:val="0"/>
              <w:spacing w:before="0" w:after="283"/>
              <w:jc w:val="left"/>
              <w:rPr/>
            </w:pPr>
            <w:r>
              <w:rPr/>
              <w:t xml:space="preserve">  </w:t>
            </w:r>
          </w:p>
        </w:tc>
        <w:tc>
          <w:tcPr>
            <w:tcW w:w="1115" w:type="dxa"/>
            <w:tcBorders/>
            <w:vAlign w:val="center"/>
          </w:tcPr>
          <w:p>
            <w:pPr>
              <w:pStyle w:val="TableContents"/>
              <w:bidi w:val="0"/>
              <w:spacing w:before="0" w:after="283"/>
              <w:jc w:val="right"/>
              <w:rPr/>
            </w:pPr>
            <w:r>
              <w:rPr/>
              <w:t>169</w:t>
            </w:r>
          </w:p>
        </w:tc>
        <w:tc>
          <w:tcPr>
            <w:tcW w:w="215" w:type="dxa"/>
            <w:tcBorders/>
            <w:vAlign w:val="center"/>
          </w:tcPr>
          <w:p>
            <w:pPr>
              <w:pStyle w:val="TableContents"/>
              <w:bidi w:val="0"/>
              <w:spacing w:before="0" w:after="283"/>
              <w:jc w:val="left"/>
              <w:rPr/>
            </w:pPr>
            <w:r>
              <w:rPr/>
              <w:t xml:space="preserve">  </w:t>
            </w:r>
          </w:p>
        </w:tc>
        <w:tc>
          <w:tcPr>
            <w:tcW w:w="110" w:type="dxa"/>
            <w:tcBorders/>
            <w:vAlign w:val="center"/>
          </w:tcPr>
          <w:p>
            <w:pPr>
              <w:pStyle w:val="TableContents"/>
              <w:bidi w:val="0"/>
              <w:spacing w:before="0" w:after="283"/>
              <w:jc w:val="left"/>
              <w:rPr/>
            </w:pPr>
            <w:r>
              <w:rPr/>
              <w:t xml:space="preserve">  </w:t>
            </w:r>
          </w:p>
        </w:tc>
        <w:tc>
          <w:tcPr>
            <w:tcW w:w="450" w:type="dxa"/>
            <w:tcBorders/>
            <w:vAlign w:val="center"/>
          </w:tcPr>
          <w:p>
            <w:pPr>
              <w:pStyle w:val="TableContents"/>
              <w:bidi w:val="0"/>
              <w:spacing w:before="0" w:after="283"/>
              <w:jc w:val="left"/>
              <w:rPr/>
            </w:pPr>
            <w:r>
              <w:rPr/>
              <w:t xml:space="preserve">  </w:t>
            </w:r>
          </w:p>
        </w:tc>
        <w:tc>
          <w:tcPr>
            <w:tcW w:w="1418" w:type="dxa"/>
            <w:tcBorders/>
            <w:vAlign w:val="center"/>
          </w:tcPr>
          <w:p>
            <w:pPr>
              <w:pStyle w:val="TableContents"/>
              <w:bidi w:val="0"/>
              <w:spacing w:before="0" w:after="283"/>
              <w:jc w:val="right"/>
              <w:rPr/>
            </w:pPr>
            <w:r>
              <w:rPr/>
              <w:t>290</w:t>
            </w:r>
          </w:p>
        </w:tc>
        <w:tc>
          <w:tcPr>
            <w:tcW w:w="235" w:type="dxa"/>
            <w:tcBorders/>
            <w:vAlign w:val="center"/>
          </w:tcPr>
          <w:p>
            <w:pPr>
              <w:pStyle w:val="TableContents"/>
              <w:bidi w:val="0"/>
              <w:spacing w:before="0" w:after="283"/>
              <w:jc w:val="left"/>
              <w:rPr/>
            </w:pPr>
            <w:r>
              <w:rPr/>
              <w:t xml:space="preserve">  </w:t>
            </w:r>
          </w:p>
        </w:tc>
      </w:tr>
      <w:tr>
        <w:trPr/>
        <w:tc>
          <w:tcPr>
            <w:tcW w:w="6144" w:type="dxa"/>
            <w:tcBorders/>
            <w:shd w:fill="CCEEFF" w:val="clear"/>
            <w:vAlign w:val="center"/>
          </w:tcPr>
          <w:p>
            <w:pPr>
              <w:pStyle w:val="TableContents"/>
              <w:bidi w:val="0"/>
              <w:spacing w:before="0" w:after="283"/>
              <w:jc w:val="left"/>
              <w:rPr/>
            </w:pPr>
            <w:r>
              <w:rPr/>
              <w:t xml:space="preserve">Total operating lease liabilities </w:t>
            </w:r>
          </w:p>
        </w:tc>
        <w:tc>
          <w:tcPr>
            <w:tcW w:w="110" w:type="dxa"/>
            <w:tcBorders/>
            <w:shd w:fill="CCEEFF" w:val="clear"/>
            <w:vAlign w:val="center"/>
          </w:tcPr>
          <w:p>
            <w:pPr>
              <w:pStyle w:val="TableContents"/>
              <w:bidi w:val="0"/>
              <w:spacing w:before="0" w:after="283"/>
              <w:jc w:val="left"/>
              <w:rPr/>
            </w:pPr>
            <w:r>
              <w:rPr/>
              <w:t xml:space="preserve">  </w:t>
            </w:r>
          </w:p>
        </w:tc>
        <w:tc>
          <w:tcPr>
            <w:tcW w:w="408" w:type="dxa"/>
            <w:tcBorders/>
            <w:shd w:fill="CCEEFF" w:val="clear"/>
            <w:vAlign w:val="center"/>
          </w:tcPr>
          <w:p>
            <w:pPr>
              <w:pStyle w:val="TableContents"/>
              <w:bidi w:val="0"/>
              <w:spacing w:before="0" w:after="283"/>
              <w:jc w:val="left"/>
              <w:rPr/>
            </w:pPr>
            <w:r>
              <w:rPr/>
              <w:t xml:space="preserve">$ </w:t>
            </w:r>
          </w:p>
        </w:tc>
        <w:tc>
          <w:tcPr>
            <w:tcW w:w="1115" w:type="dxa"/>
            <w:tcBorders/>
            <w:shd w:fill="CCEEFF" w:val="clear"/>
            <w:vAlign w:val="center"/>
          </w:tcPr>
          <w:p>
            <w:pPr>
              <w:pStyle w:val="TableContents"/>
              <w:bidi w:val="0"/>
              <w:spacing w:before="0" w:after="283"/>
              <w:jc w:val="right"/>
              <w:rPr/>
            </w:pPr>
            <w:r>
              <w:rPr/>
              <w:t>337</w:t>
            </w:r>
          </w:p>
        </w:tc>
        <w:tc>
          <w:tcPr>
            <w:tcW w:w="215"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450" w:type="dxa"/>
            <w:tcBorders/>
            <w:shd w:fill="CCEEFF" w:val="clear"/>
            <w:vAlign w:val="center"/>
          </w:tcPr>
          <w:p>
            <w:pPr>
              <w:pStyle w:val="TableContents"/>
              <w:bidi w:val="0"/>
              <w:spacing w:before="0" w:after="283"/>
              <w:jc w:val="left"/>
              <w:rPr/>
            </w:pPr>
            <w:r>
              <w:rPr/>
              <w:t xml:space="preserve">$ </w:t>
            </w:r>
          </w:p>
        </w:tc>
        <w:tc>
          <w:tcPr>
            <w:tcW w:w="1418" w:type="dxa"/>
            <w:tcBorders/>
            <w:shd w:fill="CCEEFF" w:val="clear"/>
            <w:vAlign w:val="center"/>
          </w:tcPr>
          <w:p>
            <w:pPr>
              <w:pStyle w:val="TableContents"/>
              <w:bidi w:val="0"/>
              <w:spacing w:before="0" w:after="283"/>
              <w:jc w:val="right"/>
              <w:rPr/>
            </w:pPr>
            <w:r>
              <w:rPr/>
              <w:t>513</w:t>
            </w:r>
          </w:p>
        </w:tc>
        <w:tc>
          <w:tcPr>
            <w:tcW w:w="235" w:type="dxa"/>
            <w:tcBorders/>
            <w:shd w:fill="CCEEFF" w:val="clear"/>
            <w:vAlign w:val="center"/>
          </w:tcPr>
          <w:p>
            <w:pPr>
              <w:pStyle w:val="TableContents"/>
              <w:bidi w:val="0"/>
              <w:spacing w:before="0" w:after="283"/>
              <w:jc w:val="left"/>
              <w:rPr/>
            </w:pPr>
            <w:r>
              <w:rPr/>
              <w:t xml:space="preserve">  </w:t>
            </w:r>
          </w:p>
        </w:tc>
      </w:tr>
      <w:tr>
        <w:trPr/>
        <w:tc>
          <w:tcPr>
            <w:tcW w:w="6144" w:type="dxa"/>
            <w:tcBorders/>
            <w:vAlign w:val="center"/>
          </w:tcPr>
          <w:p>
            <w:pPr>
              <w:pStyle w:val="TableContents"/>
              <w:bidi w:val="0"/>
              <w:spacing w:before="0" w:after="283"/>
              <w:jc w:val="left"/>
              <w:rPr/>
            </w:pPr>
            <w:r>
              <w:rPr/>
              <w:t xml:space="preserve">  </w:t>
            </w:r>
          </w:p>
        </w:tc>
        <w:tc>
          <w:tcPr>
            <w:tcW w:w="110" w:type="dxa"/>
            <w:tcBorders/>
            <w:vAlign w:val="center"/>
          </w:tcPr>
          <w:p>
            <w:pPr>
              <w:pStyle w:val="TableContents"/>
              <w:bidi w:val="0"/>
              <w:spacing w:before="0" w:after="283"/>
              <w:jc w:val="left"/>
              <w:rPr/>
            </w:pPr>
            <w:r>
              <w:rPr/>
              <w:t xml:space="preserve">  </w:t>
            </w:r>
          </w:p>
        </w:tc>
        <w:tc>
          <w:tcPr>
            <w:tcW w:w="408" w:type="dxa"/>
            <w:tcBorders/>
            <w:vAlign w:val="center"/>
          </w:tcPr>
          <w:p>
            <w:pPr>
              <w:pStyle w:val="TableContents"/>
              <w:bidi w:val="0"/>
              <w:spacing w:before="0" w:after="283"/>
              <w:jc w:val="left"/>
              <w:rPr/>
            </w:pPr>
            <w:r>
              <w:rPr/>
              <w:t xml:space="preserve">  </w:t>
            </w:r>
          </w:p>
        </w:tc>
        <w:tc>
          <w:tcPr>
            <w:tcW w:w="1115" w:type="dxa"/>
            <w:tcBorders/>
            <w:vAlign w:val="center"/>
          </w:tcPr>
          <w:p>
            <w:pPr>
              <w:pStyle w:val="TableContents"/>
              <w:bidi w:val="0"/>
              <w:spacing w:before="0" w:after="283"/>
              <w:jc w:val="right"/>
              <w:rPr/>
            </w:pPr>
            <w:r>
              <w:rPr/>
              <w:t xml:space="preserve">  </w:t>
            </w:r>
          </w:p>
        </w:tc>
        <w:tc>
          <w:tcPr>
            <w:tcW w:w="215" w:type="dxa"/>
            <w:tcBorders/>
            <w:vAlign w:val="center"/>
          </w:tcPr>
          <w:p>
            <w:pPr>
              <w:pStyle w:val="TableContents"/>
              <w:bidi w:val="0"/>
              <w:spacing w:before="0" w:after="283"/>
              <w:jc w:val="left"/>
              <w:rPr/>
            </w:pPr>
            <w:r>
              <w:rPr/>
              <w:t xml:space="preserve">  </w:t>
            </w:r>
          </w:p>
        </w:tc>
        <w:tc>
          <w:tcPr>
            <w:tcW w:w="110" w:type="dxa"/>
            <w:tcBorders/>
            <w:vAlign w:val="center"/>
          </w:tcPr>
          <w:p>
            <w:pPr>
              <w:pStyle w:val="TableContents"/>
              <w:bidi w:val="0"/>
              <w:spacing w:before="0" w:after="283"/>
              <w:jc w:val="left"/>
              <w:rPr/>
            </w:pPr>
            <w:r>
              <w:rPr/>
              <w:t xml:space="preserve">  </w:t>
            </w:r>
          </w:p>
        </w:tc>
        <w:tc>
          <w:tcPr>
            <w:tcW w:w="450" w:type="dxa"/>
            <w:tcBorders/>
            <w:vAlign w:val="center"/>
          </w:tcPr>
          <w:p>
            <w:pPr>
              <w:pStyle w:val="TableContents"/>
              <w:bidi w:val="0"/>
              <w:spacing w:before="0" w:after="283"/>
              <w:jc w:val="left"/>
              <w:rPr/>
            </w:pPr>
            <w:r>
              <w:rPr/>
              <w:t xml:space="preserve">  </w:t>
            </w:r>
          </w:p>
        </w:tc>
        <w:tc>
          <w:tcPr>
            <w:tcW w:w="1418" w:type="dxa"/>
            <w:tcBorders/>
            <w:vAlign w:val="center"/>
          </w:tcPr>
          <w:p>
            <w:pPr>
              <w:pStyle w:val="TableContents"/>
              <w:bidi w:val="0"/>
              <w:spacing w:before="0" w:after="283"/>
              <w:jc w:val="right"/>
              <w:rPr/>
            </w:pPr>
            <w:r>
              <w:rPr/>
              <w:t xml:space="preserve">  </w:t>
            </w:r>
          </w:p>
        </w:tc>
        <w:tc>
          <w:tcPr>
            <w:tcW w:w="235" w:type="dxa"/>
            <w:tcBorders/>
            <w:vAlign w:val="center"/>
          </w:tcPr>
          <w:p>
            <w:pPr>
              <w:pStyle w:val="TableContents"/>
              <w:bidi w:val="0"/>
              <w:spacing w:before="0" w:after="283"/>
              <w:jc w:val="left"/>
              <w:rPr/>
            </w:pPr>
            <w:r>
              <w:rPr/>
              <w:t xml:space="preserve">  </w:t>
            </w:r>
          </w:p>
        </w:tc>
      </w:tr>
      <w:tr>
        <w:trPr/>
        <w:tc>
          <w:tcPr>
            <w:tcW w:w="6144" w:type="dxa"/>
            <w:tcBorders/>
            <w:shd w:fill="CCEEFF" w:val="clear"/>
            <w:vAlign w:val="center"/>
          </w:tcPr>
          <w:p>
            <w:pPr>
              <w:pStyle w:val="TableContents"/>
              <w:bidi w:val="0"/>
              <w:spacing w:before="0" w:after="283"/>
              <w:jc w:val="left"/>
              <w:rPr/>
            </w:pPr>
            <w:r>
              <w:rPr/>
              <w:t>Weighted average remaining lease term for operating leases (in years) </w:t>
            </w:r>
          </w:p>
        </w:tc>
        <w:tc>
          <w:tcPr>
            <w:tcW w:w="110" w:type="dxa"/>
            <w:tcBorders/>
            <w:shd w:fill="CCEEFF" w:val="clear"/>
            <w:vAlign w:val="center"/>
          </w:tcPr>
          <w:p>
            <w:pPr>
              <w:pStyle w:val="TableContents"/>
              <w:bidi w:val="0"/>
              <w:spacing w:before="0" w:after="283"/>
              <w:jc w:val="left"/>
              <w:rPr/>
            </w:pPr>
            <w:r>
              <w:rPr/>
            </w:r>
          </w:p>
        </w:tc>
        <w:tc>
          <w:tcPr>
            <w:tcW w:w="408" w:type="dxa"/>
            <w:tcBorders/>
            <w:shd w:fill="CCEEFF" w:val="clear"/>
            <w:vAlign w:val="center"/>
          </w:tcPr>
          <w:p>
            <w:pPr>
              <w:pStyle w:val="TableContents"/>
              <w:bidi w:val="0"/>
              <w:spacing w:before="0" w:after="283"/>
              <w:jc w:val="left"/>
              <w:rPr/>
            </w:pPr>
            <w:r>
              <w:rPr/>
            </w:r>
          </w:p>
        </w:tc>
        <w:tc>
          <w:tcPr>
            <w:tcW w:w="1115" w:type="dxa"/>
            <w:tcBorders/>
            <w:shd w:fill="CCEEFF" w:val="clear"/>
            <w:vAlign w:val="center"/>
          </w:tcPr>
          <w:p>
            <w:pPr>
              <w:pStyle w:val="TableContents"/>
              <w:bidi w:val="0"/>
              <w:spacing w:before="0" w:after="283"/>
              <w:jc w:val="right"/>
              <w:rPr/>
            </w:pPr>
            <w:r>
              <w:rPr/>
              <w:t>1.92</w:t>
            </w:r>
          </w:p>
        </w:tc>
        <w:tc>
          <w:tcPr>
            <w:tcW w:w="215" w:type="dxa"/>
            <w:tcBorders/>
            <w:shd w:fill="CCEEFF" w:val="clear"/>
            <w:vAlign w:val="center"/>
          </w:tcPr>
          <w:p>
            <w:pPr>
              <w:pStyle w:val="TableContents"/>
              <w:bidi w:val="0"/>
              <w:spacing w:before="0" w:after="283"/>
              <w:jc w:val="left"/>
              <w:rPr/>
            </w:pPr>
            <w:r>
              <w:rPr/>
            </w:r>
          </w:p>
        </w:tc>
        <w:tc>
          <w:tcPr>
            <w:tcW w:w="110" w:type="dxa"/>
            <w:tcBorders/>
            <w:shd w:fill="CCEEFF" w:val="clear"/>
            <w:vAlign w:val="center"/>
          </w:tcPr>
          <w:p>
            <w:pPr>
              <w:pStyle w:val="TableContents"/>
              <w:bidi w:val="0"/>
              <w:spacing w:before="0" w:after="283"/>
              <w:jc w:val="left"/>
              <w:rPr/>
            </w:pPr>
            <w:r>
              <w:rPr/>
            </w:r>
          </w:p>
        </w:tc>
        <w:tc>
          <w:tcPr>
            <w:tcW w:w="450" w:type="dxa"/>
            <w:tcBorders/>
            <w:shd w:fill="CCEEFF" w:val="clear"/>
            <w:vAlign w:val="center"/>
          </w:tcPr>
          <w:p>
            <w:pPr>
              <w:pStyle w:val="TableContents"/>
              <w:bidi w:val="0"/>
              <w:spacing w:before="0" w:after="283"/>
              <w:jc w:val="left"/>
              <w:rPr/>
            </w:pPr>
            <w:r>
              <w:rPr/>
            </w:r>
          </w:p>
        </w:tc>
        <w:tc>
          <w:tcPr>
            <w:tcW w:w="1418" w:type="dxa"/>
            <w:tcBorders/>
            <w:shd w:fill="CCEEFF" w:val="clear"/>
            <w:vAlign w:val="center"/>
          </w:tcPr>
          <w:p>
            <w:pPr>
              <w:pStyle w:val="TableContents"/>
              <w:bidi w:val="0"/>
              <w:spacing w:before="0" w:after="283"/>
              <w:jc w:val="right"/>
              <w:rPr/>
            </w:pPr>
            <w:r>
              <w:rPr/>
              <w:t>2.17</w:t>
            </w:r>
          </w:p>
        </w:tc>
        <w:tc>
          <w:tcPr>
            <w:tcW w:w="235" w:type="dxa"/>
            <w:tcBorders/>
            <w:shd w:fill="CCEEFF" w:val="clear"/>
            <w:vAlign w:val="center"/>
          </w:tcPr>
          <w:p>
            <w:pPr>
              <w:pStyle w:val="TableContents"/>
              <w:bidi w:val="0"/>
              <w:spacing w:before="0" w:after="283"/>
              <w:jc w:val="left"/>
              <w:rPr/>
            </w:pPr>
            <w:r>
              <w:rPr/>
            </w:r>
          </w:p>
        </w:tc>
      </w:tr>
      <w:tr>
        <w:trPr/>
        <w:tc>
          <w:tcPr>
            <w:tcW w:w="6144" w:type="dxa"/>
            <w:tcBorders/>
            <w:vAlign w:val="center"/>
          </w:tcPr>
          <w:p>
            <w:pPr>
              <w:pStyle w:val="TableContents"/>
              <w:bidi w:val="0"/>
              <w:spacing w:before="0" w:after="283"/>
              <w:jc w:val="left"/>
              <w:rPr/>
            </w:pPr>
            <w:r>
              <w:rPr/>
              <w:t xml:space="preserve">Weighted average discount rate for operating leases </w:t>
            </w:r>
          </w:p>
        </w:tc>
        <w:tc>
          <w:tcPr>
            <w:tcW w:w="110" w:type="dxa"/>
            <w:tcBorders/>
            <w:vAlign w:val="center"/>
          </w:tcPr>
          <w:p>
            <w:pPr>
              <w:pStyle w:val="TableContents"/>
              <w:bidi w:val="0"/>
              <w:spacing w:before="0" w:after="283"/>
              <w:jc w:val="left"/>
              <w:rPr/>
            </w:pPr>
            <w:r>
              <w:rPr/>
            </w:r>
          </w:p>
        </w:tc>
        <w:tc>
          <w:tcPr>
            <w:tcW w:w="408" w:type="dxa"/>
            <w:tcBorders/>
            <w:vAlign w:val="center"/>
          </w:tcPr>
          <w:p>
            <w:pPr>
              <w:pStyle w:val="TableContents"/>
              <w:bidi w:val="0"/>
              <w:spacing w:before="0" w:after="283"/>
              <w:jc w:val="left"/>
              <w:rPr/>
            </w:pPr>
            <w:r>
              <w:rPr/>
            </w:r>
          </w:p>
        </w:tc>
        <w:tc>
          <w:tcPr>
            <w:tcW w:w="1115" w:type="dxa"/>
            <w:tcBorders/>
            <w:vAlign w:val="center"/>
          </w:tcPr>
          <w:p>
            <w:pPr>
              <w:pStyle w:val="TableContents"/>
              <w:bidi w:val="0"/>
              <w:spacing w:before="0" w:after="283"/>
              <w:jc w:val="right"/>
              <w:rPr/>
            </w:pPr>
            <w:r>
              <w:rPr/>
              <w:t>6.80</w:t>
            </w:r>
          </w:p>
        </w:tc>
        <w:tc>
          <w:tcPr>
            <w:tcW w:w="215"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r>
          </w:p>
        </w:tc>
        <w:tc>
          <w:tcPr>
            <w:tcW w:w="450" w:type="dxa"/>
            <w:tcBorders/>
            <w:vAlign w:val="center"/>
          </w:tcPr>
          <w:p>
            <w:pPr>
              <w:pStyle w:val="TableContents"/>
              <w:bidi w:val="0"/>
              <w:spacing w:before="0" w:after="283"/>
              <w:jc w:val="left"/>
              <w:rPr/>
            </w:pPr>
            <w:r>
              <w:rPr/>
            </w:r>
          </w:p>
        </w:tc>
        <w:tc>
          <w:tcPr>
            <w:tcW w:w="1418" w:type="dxa"/>
            <w:tcBorders/>
            <w:vAlign w:val="center"/>
          </w:tcPr>
          <w:p>
            <w:pPr>
              <w:pStyle w:val="TableContents"/>
              <w:bidi w:val="0"/>
              <w:spacing w:before="0" w:after="283"/>
              <w:jc w:val="right"/>
              <w:rPr/>
            </w:pPr>
            <w:r>
              <w:rPr/>
              <w:t>6.76</w:t>
            </w:r>
          </w:p>
        </w:tc>
        <w:tc>
          <w:tcPr>
            <w:tcW w:w="235" w:type="dxa"/>
            <w:tcBorders/>
            <w:vAlign w:val="center"/>
          </w:tcPr>
          <w:p>
            <w:pPr>
              <w:pStyle w:val="TableContents"/>
              <w:bidi w:val="0"/>
              <w:spacing w:before="0" w:after="283"/>
              <w:jc w:val="left"/>
              <w:rPr/>
            </w:pPr>
            <w:r>
              <w:rPr/>
              <w:t>%</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following represents maturities of operating lease liabilities as of </w:t>
      </w:r>
      <w:bookmarkStart w:id="168" w:name="fs_7DDQ1YXCJK00000000000000000000FM"/>
      <w:bookmarkEnd w:id="168"/>
      <w:r>
        <w:rPr>
          <w:rFonts w:ascii="Times New Roman" w:hAnsi="Times New Roman"/>
          <w:sz w:val="20"/>
        </w:rPr>
        <w:t>March 31, 2026:</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34"/>
        <w:gridCol w:w="383"/>
        <w:gridCol w:w="543"/>
        <w:gridCol w:w="1213"/>
        <w:gridCol w:w="432"/>
      </w:tblGrid>
      <w:tr>
        <w:trPr/>
        <w:tc>
          <w:tcPr>
            <w:tcW w:w="763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w:t>
            </w:r>
            <w:bookmarkStart w:id="169" w:name="fs_JGR0PCZIG000000000000000000000FM"/>
            <w:bookmarkEnd w:id="169"/>
            <w:r>
              <w:rPr>
                <w:rFonts w:ascii="Times New Roman" w:hAnsi="Times New Roman"/>
                <w:b/>
                <w:sz w:val="20"/>
              </w:rPr>
              <w:t xml:space="preserve">December 31,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left"/>
              <w:rPr/>
            </w:pPr>
            <w:r>
              <w:rPr/>
              <w:t xml:space="preserve">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bookmarkStart w:id="170" w:name="fs_KH6XNCDXI800000000000000000000fs"/>
            <w:bookmarkEnd w:id="170"/>
            <w:r>
              <w:rPr>
                <w:rFonts w:ascii="Times New Roman" w:hAnsi="Times New Roman"/>
                <w:sz w:val="20"/>
              </w:rPr>
              <w:t xml:space="preserve">2026 (Remainder)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vAlign w:val="center"/>
          </w:tcPr>
          <w:p>
            <w:pPr>
              <w:pStyle w:val="TableContents"/>
              <w:bidi w:val="0"/>
              <w:spacing w:before="0" w:after="283"/>
              <w:jc w:val="right"/>
              <w:rPr/>
            </w:pPr>
            <w:r>
              <w:rPr/>
              <w:t>139</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bookmarkStart w:id="171" w:name="fs_V78XAEBOJK00000000000000000000fs"/>
            <w:bookmarkEnd w:id="171"/>
            <w:r>
              <w:rPr>
                <w:rFonts w:ascii="Times New Roman" w:hAnsi="Times New Roman"/>
                <w:sz w:val="20"/>
              </w:rPr>
              <w:t xml:space="preserve">2027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190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bookmarkStart w:id="172" w:name="fs_Y7V8Y2WRPC00000000000000000000fs"/>
            <w:bookmarkEnd w:id="172"/>
            <w:r>
              <w:rPr>
                <w:rFonts w:ascii="Times New Roman" w:hAnsi="Times New Roman"/>
                <w:sz w:val="20"/>
              </w:rPr>
              <w:t xml:space="preserve">2028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bookmarkStart w:id="173" w:name="fs_12ODJRNNQ800000000000000000000fs"/>
            <w:bookmarkEnd w:id="173"/>
            <w:r>
              <w:rPr>
                <w:rFonts w:ascii="Times New Roman" w:hAnsi="Times New Roman"/>
                <w:sz w:val="20"/>
              </w:rPr>
              <w:t xml:space="preserve">2029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pPr>
            <w:r>
              <w:rPr/>
              <w:t xml:space="preserve">—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bookmarkStart w:id="174" w:name="fs_YOKBEBOHC000000000000000000000fs"/>
            <w:bookmarkEnd w:id="174"/>
            <w:r>
              <w:rPr>
                <w:rFonts w:ascii="Times New Roman" w:hAnsi="Times New Roman"/>
                <w:sz w:val="20"/>
              </w:rPr>
              <w:t xml:space="preserve">2030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pPr>
            <w:r>
              <w:rPr/>
              <w:t xml:space="preserve">—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lease payments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360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Less: Imputed interest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432" w:type="dxa"/>
            <w:tcBorders/>
            <w:vAlign w:val="center"/>
          </w:tcPr>
          <w:p>
            <w:pPr>
              <w:pStyle w:val="TableContents"/>
              <w:bidi w:val="0"/>
              <w:spacing w:before="0" w:after="283"/>
              <w:jc w:val="left"/>
              <w:rPr/>
            </w:pPr>
            <w:r>
              <w:rPr/>
              <w:t>)</w:t>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w:t>
            </w:r>
          </w:p>
        </w:tc>
        <w:tc>
          <w:tcPr>
            <w:tcW w:w="43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10. Convertible Note Payable</w:t>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On June 20, 2025, </w:t>
      </w:r>
      <w:r>
        <w:rPr>
          <w:rFonts w:ascii="Times New Roman;serif" w:hAnsi="Times New Roman;serif"/>
          <w:sz w:val="20"/>
        </w:rPr>
        <w:t>the Company issued a</w:t>
      </w:r>
      <w:r>
        <w:rPr>
          <w:rFonts w:ascii="times new roman;times" w:hAnsi="times new roman;times"/>
          <w:sz w:val="20"/>
        </w:rPr>
        <w:t xml:space="preserve"> $3,000 convertible note to First Finance Ltd. The note accrued interest at 10% per annum and was mandatorily convertible into Class B Convertible Preferred Stock upon the issuance of Class A Redeemable Preferred Stock (which occurred July 18, 2025).</w:t>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On July 21, 2025, the note (together with accrued interest) automatically converted into 3,026 shares of Class B Convertible Preferred Stock. The conversion was recognized in equity with no gain or loss recorded.</w:t>
      </w:r>
    </w:p>
    <w:p>
      <w:pPr>
        <w:pStyle w:val="TextBody"/>
        <w:bidi w:val="0"/>
        <w:spacing w:lineRule="atLeast" w:line="240" w:before="0" w:after="0"/>
        <w:ind w:left="0" w:right="0" w:hanging="0"/>
        <w:jc w:val="both"/>
        <w:rPr/>
      </w:pPr>
      <w:r>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As of March 31, 2026, there is no outstanding convertible note liability. See Note 4 – Debt and Equity for additional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75" w:name="PageBreakNo15"/>
            <w:bookmarkEnd w:id="175"/>
            <w:r>
              <w:rPr>
                <w:sz w:val="20"/>
              </w:rPr>
              <w:t>15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144" w:right="144" w:hanging="0"/>
        <w:jc w:val="center"/>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11. Shareholders' Equity</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531"/>
        <w:gridCol w:w="150"/>
        <w:gridCol w:w="295"/>
        <w:gridCol w:w="1132"/>
        <w:gridCol w:w="208"/>
        <w:gridCol w:w="208"/>
        <w:gridCol w:w="296"/>
        <w:gridCol w:w="1210"/>
        <w:gridCol w:w="175"/>
      </w:tblGrid>
      <w:tr>
        <w:trPr/>
        <w:tc>
          <w:tcPr>
            <w:tcW w:w="6531" w:type="dxa"/>
            <w:tcBorders/>
            <w:vAlign w:val="center"/>
          </w:tcPr>
          <w:p>
            <w:pPr>
              <w:pStyle w:val="TableContents"/>
              <w:bidi w:val="0"/>
              <w:spacing w:before="0" w:after="0"/>
              <w:ind w:left="0" w:right="0" w:hanging="0"/>
              <w:jc w:val="left"/>
              <w:rPr/>
            </w:pPr>
            <w:r>
              <w:rPr/>
              <w:t xml:space="preserve">  </w:t>
            </w:r>
          </w:p>
        </w:tc>
        <w:tc>
          <w:tcPr>
            <w:tcW w:w="150" w:type="dxa"/>
            <w:tcBorders/>
            <w:vAlign w:val="center"/>
          </w:tcPr>
          <w:p>
            <w:pPr>
              <w:pStyle w:val="TableContents"/>
              <w:bidi w:val="0"/>
              <w:spacing w:before="0" w:after="0"/>
              <w:ind w:left="0" w:right="0" w:hanging="0"/>
              <w:jc w:val="left"/>
              <w:rPr/>
            </w:pPr>
            <w:r>
              <w:rPr/>
              <w:t xml:space="preserve">  </w:t>
            </w:r>
          </w:p>
        </w:tc>
        <w:tc>
          <w:tcPr>
            <w:tcW w:w="3349" w:type="dxa"/>
            <w:gridSpan w:val="6"/>
            <w:tcBorders/>
            <w:vAlign w:val="center"/>
          </w:tcPr>
          <w:p>
            <w:pPr>
              <w:pStyle w:val="TableContents"/>
              <w:bidi w:val="0"/>
              <w:spacing w:before="0" w:after="0"/>
              <w:ind w:left="0" w:right="0" w:hanging="0"/>
              <w:jc w:val="center"/>
              <w:rPr>
                <w:rFonts w:ascii="Times New Roman" w:hAnsi="Times New Roman"/>
                <w:b/>
                <w:sz w:val="20"/>
              </w:rPr>
            </w:pPr>
            <w:bookmarkStart w:id="176" w:name="fs_AUX7ASH61S00000000000000000000FM"/>
            <w:bookmarkEnd w:id="176"/>
            <w:r>
              <w:rPr>
                <w:rFonts w:ascii="Times New Roman" w:hAnsi="Times New Roman"/>
                <w:b/>
                <w:sz w:val="20"/>
              </w:rPr>
              <w:t xml:space="preserve">Three months ended March 31, </w:t>
            </w:r>
          </w:p>
        </w:tc>
        <w:tc>
          <w:tcPr>
            <w:tcW w:w="175" w:type="dxa"/>
            <w:tcBorders/>
            <w:vAlign w:val="center"/>
          </w:tcPr>
          <w:p>
            <w:pPr>
              <w:pStyle w:val="TableContents"/>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pPr>
            <w:r>
              <w:rPr/>
              <w:t xml:space="preserve">  </w:t>
            </w:r>
          </w:p>
        </w:tc>
        <w:tc>
          <w:tcPr>
            <w:tcW w:w="150" w:type="dxa"/>
            <w:tcBorders/>
            <w:vAlign w:val="center"/>
          </w:tcPr>
          <w:p>
            <w:pPr>
              <w:pStyle w:val="TableContents"/>
              <w:bidi w:val="0"/>
              <w:spacing w:before="0" w:after="0"/>
              <w:ind w:left="0" w:right="0" w:hanging="0"/>
              <w:jc w:val="left"/>
              <w:rPr/>
            </w:pPr>
            <w:r>
              <w:rPr/>
              <w:t xml:space="preserve">  </w:t>
            </w:r>
          </w:p>
        </w:tc>
        <w:tc>
          <w:tcPr>
            <w:tcW w:w="1427" w:type="dxa"/>
            <w:gridSpan w:val="2"/>
            <w:tcBorders/>
            <w:vAlign w:val="center"/>
          </w:tcPr>
          <w:p>
            <w:pPr>
              <w:pStyle w:val="TableContents"/>
              <w:bidi w:val="0"/>
              <w:spacing w:before="0" w:after="0"/>
              <w:ind w:left="0" w:right="0" w:hanging="0"/>
              <w:jc w:val="center"/>
              <w:rPr>
                <w:rFonts w:ascii="Times New Roman" w:hAnsi="Times New Roman"/>
                <w:b/>
                <w:sz w:val="20"/>
              </w:rPr>
            </w:pPr>
            <w:bookmarkStart w:id="177" w:name="fs_MFDNO928HC00000000000000000000fs"/>
            <w:bookmarkEnd w:id="177"/>
            <w:r>
              <w:rPr>
                <w:rFonts w:ascii="Times New Roman" w:hAnsi="Times New Roman"/>
                <w:b/>
                <w:sz w:val="20"/>
              </w:rPr>
              <w:t xml:space="preserve">2026 </w:t>
            </w:r>
          </w:p>
        </w:tc>
        <w:tc>
          <w:tcPr>
            <w:tcW w:w="208"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1506" w:type="dxa"/>
            <w:gridSpan w:val="2"/>
            <w:tcBorders/>
            <w:vAlign w:val="center"/>
          </w:tcPr>
          <w:p>
            <w:pPr>
              <w:pStyle w:val="TableContents"/>
              <w:bidi w:val="0"/>
              <w:spacing w:before="0" w:after="0"/>
              <w:ind w:left="0" w:right="0" w:hanging="0"/>
              <w:jc w:val="center"/>
              <w:rPr>
                <w:rFonts w:ascii="Times New Roman" w:hAnsi="Times New Roman"/>
                <w:b/>
                <w:sz w:val="20"/>
              </w:rPr>
            </w:pPr>
            <w:bookmarkStart w:id="178" w:name="fs_967RHZ2JQO00000000000000000000fs"/>
            <w:bookmarkEnd w:id="178"/>
            <w:r>
              <w:rPr>
                <w:rFonts w:ascii="Times New Roman" w:hAnsi="Times New Roman"/>
                <w:b/>
                <w:sz w:val="20"/>
              </w:rPr>
              <w:t xml:space="preserve">2025 </w:t>
            </w:r>
          </w:p>
        </w:tc>
        <w:tc>
          <w:tcPr>
            <w:tcW w:w="175" w:type="dxa"/>
            <w:tcBorders/>
            <w:vAlign w:val="center"/>
          </w:tcPr>
          <w:p>
            <w:pPr>
              <w:pStyle w:val="TableContents"/>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Preferred stock, common stock and additional paid-in capital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1132"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296" w:type="dxa"/>
            <w:tcBorders/>
            <w:vAlign w:val="center"/>
          </w:tcPr>
          <w:p>
            <w:pPr>
              <w:pStyle w:val="TableContents"/>
              <w:bidi w:val="0"/>
              <w:spacing w:before="0" w:after="0"/>
              <w:ind w:left="0" w:right="0" w:hanging="0"/>
              <w:jc w:val="left"/>
              <w:rPr/>
            </w:pPr>
            <w:r>
              <w:rPr/>
              <w:t xml:space="preserve">  </w:t>
            </w:r>
          </w:p>
        </w:tc>
        <w:tc>
          <w:tcPr>
            <w:tcW w:w="1210" w:type="dxa"/>
            <w:tcBorders/>
            <w:vAlign w:val="center"/>
          </w:tcPr>
          <w:p>
            <w:pPr>
              <w:pStyle w:val="TableContents"/>
              <w:bidi w:val="0"/>
              <w:spacing w:before="0" w:after="0"/>
              <w:ind w:left="0" w:right="0" w:hanging="0"/>
              <w:jc w:val="left"/>
              <w:rPr/>
            </w:pPr>
            <w:r>
              <w:rPr/>
              <w:t xml:space="preserve">  </w:t>
            </w:r>
          </w:p>
        </w:tc>
        <w:tc>
          <w:tcPr>
            <w:tcW w:w="175" w:type="dxa"/>
            <w:tcBorders/>
            <w:vAlign w:val="center"/>
          </w:tcPr>
          <w:p>
            <w:pPr>
              <w:pStyle w:val="TableContents"/>
              <w:bidi w:val="0"/>
              <w:spacing w:before="0" w:after="0"/>
              <w:ind w:left="0" w:right="0" w:hanging="0"/>
              <w:jc w:val="left"/>
              <w:rPr/>
            </w:pPr>
            <w:r>
              <w:rPr/>
              <w:t xml:space="preserve">  </w:t>
            </w:r>
          </w:p>
        </w:tc>
      </w:tr>
      <w:tr>
        <w:trPr/>
        <w:tc>
          <w:tcPr>
            <w:tcW w:w="65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35,769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31,696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Return of dividend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r>
          </w:p>
        </w:tc>
        <w:tc>
          <w:tcPr>
            <w:tcW w:w="113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w:t>
            </w:r>
          </w:p>
        </w:tc>
        <w:tc>
          <w:tcPr>
            <w:tcW w:w="208" w:type="dxa"/>
            <w:tcBorders/>
            <w:vAlign w:val="bottom"/>
          </w:tcPr>
          <w:p>
            <w:pPr>
              <w:pStyle w:val="TableContents"/>
              <w:bidi w:val="0"/>
              <w:spacing w:before="0" w:after="283"/>
              <w:ind w:left="0" w:right="0" w:hanging="0"/>
              <w:jc w:val="left"/>
              <w:rPr>
                <w:sz w:val="4"/>
                <w:szCs w:val="4"/>
              </w:rPr>
            </w:pPr>
            <w:r>
              <w:rPr>
                <w:sz w:val="4"/>
                <w:szCs w:val="4"/>
              </w:rPr>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pPr>
            <w:r>
              <w:rPr/>
            </w:r>
          </w:p>
        </w:tc>
        <w:tc>
          <w:tcPr>
            <w:tcW w:w="1210" w:type="dxa"/>
            <w:tcBorders/>
            <w:vAlign w:val="bottom"/>
          </w:tcPr>
          <w:p>
            <w:pPr>
              <w:pStyle w:val="TableContents"/>
              <w:pBdr/>
              <w:bidi w:val="0"/>
              <w:spacing w:before="0" w:after="0"/>
              <w:ind w:left="0" w:right="0" w:hanging="0"/>
              <w:jc w:val="right"/>
              <w:rPr/>
            </w:pPr>
            <w:r>
              <w:rPr/>
              <w:t>—</w:t>
            </w:r>
          </w:p>
        </w:tc>
        <w:tc>
          <w:tcPr>
            <w:tcW w:w="175" w:type="dxa"/>
            <w:tcBorders/>
            <w:vAlign w:val="bottom"/>
          </w:tcPr>
          <w:p>
            <w:pPr>
              <w:pStyle w:val="TableContents"/>
              <w:bidi w:val="0"/>
              <w:spacing w:before="0" w:after="283"/>
              <w:jc w:val="left"/>
              <w:rPr>
                <w:sz w:val="4"/>
                <w:szCs w:val="4"/>
              </w:rPr>
            </w:pPr>
            <w:r>
              <w:rPr>
                <w:sz w:val="4"/>
                <w:szCs w:val="4"/>
              </w:rPr>
            </w:r>
          </w:p>
        </w:tc>
      </w:tr>
      <w:tr>
        <w:trPr/>
        <w:tc>
          <w:tcPr>
            <w:tcW w:w="6531" w:type="dxa"/>
            <w:tcBorders/>
            <w:shd w:fill="CCEEFF" w:val="clear"/>
            <w:vAlign w:val="center"/>
          </w:tcPr>
          <w:p>
            <w:pPr>
              <w:pStyle w:val="TableContents"/>
              <w:bidi w:val="0"/>
              <w:spacing w:before="0" w:after="283"/>
              <w:jc w:val="left"/>
              <w:rPr>
                <w:rFonts w:ascii="Times New Roman;serif" w:hAnsi="Times New Roman;serif"/>
                <w:color w:val="212529"/>
                <w:sz w:val="20"/>
              </w:rPr>
            </w:pPr>
            <w:r>
              <w:rPr>
                <w:rFonts w:ascii="Times New Roman;serif" w:hAnsi="Times New Roman;serif"/>
                <w:color w:val="212529"/>
                <w:sz w:val="20"/>
              </w:rPr>
              <w:t xml:space="preserve">Repurchase of warrants </w:t>
            </w:r>
          </w:p>
        </w:tc>
        <w:tc>
          <w:tcPr>
            <w:tcW w:w="150" w:type="dxa"/>
            <w:tcBorders/>
            <w:shd w:fill="CCEEFF" w:val="clear"/>
            <w:vAlign w:val="center"/>
          </w:tcPr>
          <w:p>
            <w:pPr>
              <w:pStyle w:val="TableContents"/>
              <w:bidi w:val="0"/>
              <w:spacing w:before="0" w:after="283"/>
              <w:jc w:val="left"/>
              <w:rPr/>
            </w:pPr>
            <w:r>
              <w:rPr/>
            </w:r>
          </w:p>
        </w:tc>
        <w:tc>
          <w:tcPr>
            <w:tcW w:w="295" w:type="dxa"/>
            <w:tcBorders/>
            <w:shd w:fill="CCEEFF" w:val="clear"/>
            <w:vAlign w:val="center"/>
          </w:tcPr>
          <w:p>
            <w:pPr>
              <w:pStyle w:val="TableContents"/>
              <w:bidi w:val="0"/>
              <w:spacing w:before="0" w:after="283"/>
              <w:ind w:left="0" w:right="0" w:hanging="0"/>
              <w:jc w:val="left"/>
              <w:rPr/>
            </w:pPr>
            <w:r>
              <w:rPr/>
            </w:r>
          </w:p>
        </w:tc>
        <w:tc>
          <w:tcPr>
            <w:tcW w:w="1132" w:type="dxa"/>
            <w:tcBorders/>
            <w:shd w:fill="CCEEFF" w:val="clear"/>
            <w:vAlign w:val="center"/>
          </w:tcPr>
          <w:p>
            <w:pPr>
              <w:pStyle w:val="TableContents"/>
              <w:bidi w:val="0"/>
              <w:spacing w:before="0" w:after="0"/>
              <w:ind w:left="0" w:right="0" w:hanging="0"/>
              <w:jc w:val="right"/>
              <w:rPr/>
            </w:pPr>
            <w:r>
              <w:rPr/>
              <w:t>(22</w:t>
            </w:r>
          </w:p>
        </w:tc>
        <w:tc>
          <w:tcPr>
            <w:tcW w:w="208"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283"/>
              <w:ind w:left="0" w:right="0" w:hanging="0"/>
              <w:jc w:val="left"/>
              <w:rPr/>
            </w:pPr>
            <w:r>
              <w:rPr/>
            </w:r>
          </w:p>
        </w:tc>
        <w:tc>
          <w:tcPr>
            <w:tcW w:w="296" w:type="dxa"/>
            <w:tcBorders/>
            <w:shd w:fill="CCEEFF" w:val="clear"/>
            <w:vAlign w:val="center"/>
          </w:tcPr>
          <w:p>
            <w:pPr>
              <w:pStyle w:val="TableContents"/>
              <w:bidi w:val="0"/>
              <w:spacing w:before="0" w:after="283"/>
              <w:ind w:left="0" w:right="0" w:hanging="0"/>
              <w:jc w:val="left"/>
              <w:rPr/>
            </w:pPr>
            <w:r>
              <w:rPr/>
            </w:r>
          </w:p>
        </w:tc>
        <w:tc>
          <w:tcPr>
            <w:tcW w:w="1210" w:type="dxa"/>
            <w:tcBorders/>
            <w:shd w:fill="CCEEFF" w:val="clear"/>
            <w:vAlign w:val="center"/>
          </w:tcPr>
          <w:p>
            <w:pPr>
              <w:pStyle w:val="TableContents"/>
              <w:bidi w:val="0"/>
              <w:spacing w:before="0" w:after="0"/>
              <w:ind w:left="0" w:right="0" w:hanging="0"/>
              <w:jc w:val="right"/>
              <w:rPr/>
            </w:pPr>
            <w:r>
              <w:rPr/>
              <w:t>—</w:t>
            </w:r>
          </w:p>
        </w:tc>
        <w:tc>
          <w:tcPr>
            <w:tcW w:w="175" w:type="dxa"/>
            <w:tcBorders/>
            <w:shd w:fill="CCEEFF" w:val="clear"/>
            <w:vAlign w:val="center"/>
          </w:tcPr>
          <w:p>
            <w:pPr>
              <w:pStyle w:val="TableContents"/>
              <w:bidi w:val="0"/>
              <w:spacing w:before="0" w:after="283"/>
              <w:jc w:val="left"/>
              <w:rPr/>
            </w:pPr>
            <w:r>
              <w:rPr/>
            </w:r>
          </w:p>
        </w:tc>
      </w:tr>
      <w:tr>
        <w:trPr/>
        <w:tc>
          <w:tcPr>
            <w:tcW w:w="6531"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212529"/>
                <w:spacing w:val="0"/>
                <w:sz w:val="20"/>
              </w:rPr>
            </w:pPr>
            <w:r>
              <w:rPr>
                <w:rFonts w:ascii="times new roman" w:hAnsi="times new roman"/>
                <w:b w:val="false"/>
                <w:i w:val="false"/>
                <w:caps w:val="false"/>
                <w:smallCaps w:val="false"/>
                <w:color w:val="212529"/>
                <w:spacing w:val="0"/>
                <w:sz w:val="20"/>
              </w:rPr>
              <w:t>Issuance of common stock and warrants, net</w:t>
            </w:r>
          </w:p>
        </w:tc>
        <w:tc>
          <w:tcPr>
            <w:tcW w:w="150"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ind w:left="0" w:right="0" w:hanging="0"/>
              <w:jc w:val="left"/>
              <w:rPr/>
            </w:pPr>
            <w:r>
              <w:rPr/>
            </w:r>
          </w:p>
        </w:tc>
        <w:tc>
          <w:tcPr>
            <w:tcW w:w="1132" w:type="dxa"/>
            <w:tcBorders/>
            <w:vAlign w:val="center"/>
          </w:tcPr>
          <w:p>
            <w:pPr>
              <w:pStyle w:val="TableContents"/>
              <w:bidi w:val="0"/>
              <w:spacing w:before="0" w:after="0"/>
              <w:ind w:left="0" w:right="0" w:hanging="0"/>
              <w:jc w:val="right"/>
              <w:rPr/>
            </w:pPr>
            <w:r>
              <w:rPr/>
              <w:t>1,750</w:t>
            </w:r>
          </w:p>
        </w:tc>
        <w:tc>
          <w:tcPr>
            <w:tcW w:w="208" w:type="dxa"/>
            <w:tcBorders/>
            <w:vAlign w:val="center"/>
          </w:tcPr>
          <w:p>
            <w:pPr>
              <w:pStyle w:val="TableContents"/>
              <w:bidi w:val="0"/>
              <w:spacing w:before="0" w:after="283"/>
              <w:ind w:left="0" w:right="0" w:hanging="0"/>
              <w:jc w:val="left"/>
              <w:rPr>
                <w:sz w:val="4"/>
                <w:szCs w:val="4"/>
              </w:rPr>
            </w:pPr>
            <w:r>
              <w:rPr>
                <w:sz w:val="4"/>
                <w:szCs w:val="4"/>
              </w:rPr>
            </w:r>
          </w:p>
        </w:tc>
        <w:tc>
          <w:tcPr>
            <w:tcW w:w="208" w:type="dxa"/>
            <w:tcBorders/>
            <w:vAlign w:val="center"/>
          </w:tcPr>
          <w:p>
            <w:pPr>
              <w:pStyle w:val="TableContents"/>
              <w:bidi w:val="0"/>
              <w:spacing w:before="0" w:after="283"/>
              <w:ind w:left="0" w:right="0" w:hanging="0"/>
              <w:jc w:val="left"/>
              <w:rPr/>
            </w:pPr>
            <w:r>
              <w:rPr/>
            </w:r>
          </w:p>
        </w:tc>
        <w:tc>
          <w:tcPr>
            <w:tcW w:w="296" w:type="dxa"/>
            <w:tcBorders/>
            <w:vAlign w:val="center"/>
          </w:tcPr>
          <w:p>
            <w:pPr>
              <w:pStyle w:val="TableContents"/>
              <w:bidi w:val="0"/>
              <w:spacing w:before="0" w:after="283"/>
              <w:ind w:left="0" w:right="0" w:hanging="0"/>
              <w:jc w:val="left"/>
              <w:rPr/>
            </w:pPr>
            <w:r>
              <w:rPr/>
            </w:r>
          </w:p>
        </w:tc>
        <w:tc>
          <w:tcPr>
            <w:tcW w:w="1210" w:type="dxa"/>
            <w:tcBorders/>
            <w:vAlign w:val="center"/>
          </w:tcPr>
          <w:p>
            <w:pPr>
              <w:pStyle w:val="TableContents"/>
              <w:bidi w:val="0"/>
              <w:spacing w:before="0" w:after="0"/>
              <w:ind w:left="0" w:right="0" w:hanging="0"/>
              <w:jc w:val="right"/>
              <w:rPr/>
            </w:pPr>
            <w:r>
              <w:rPr/>
              <w:t>1,000</w:t>
            </w:r>
          </w:p>
        </w:tc>
        <w:tc>
          <w:tcPr>
            <w:tcW w:w="175" w:type="dxa"/>
            <w:tcBorders/>
            <w:vAlign w:val="center"/>
          </w:tcPr>
          <w:p>
            <w:pPr>
              <w:pStyle w:val="TableContents"/>
              <w:bidi w:val="0"/>
              <w:spacing w:before="0" w:after="283"/>
              <w:jc w:val="left"/>
              <w:rPr/>
            </w:pPr>
            <w:r>
              <w:rPr/>
            </w:r>
          </w:p>
        </w:tc>
      </w:tr>
      <w:tr>
        <w:trPr/>
        <w:tc>
          <w:tcPr>
            <w:tcW w:w="65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1132" w:type="dxa"/>
            <w:tcBorders/>
            <w:vAlign w:val="bottom"/>
          </w:tcPr>
          <w:p>
            <w:pPr>
              <w:pStyle w:val="TableContents"/>
              <w:pBdr/>
              <w:bidi w:val="0"/>
              <w:spacing w:before="0" w:after="0"/>
              <w:ind w:left="0" w:right="0" w:hanging="0"/>
              <w:jc w:val="right"/>
              <w:rPr/>
            </w:pPr>
            <w:r>
              <w:rPr/>
              <w:t>—</w:t>
            </w:r>
          </w:p>
        </w:tc>
        <w:tc>
          <w:tcPr>
            <w:tcW w:w="208" w:type="dxa"/>
            <w:tcBorders/>
            <w:vAlign w:val="bottom"/>
          </w:tcPr>
          <w:p>
            <w:pPr>
              <w:pStyle w:val="TableContents"/>
              <w:bidi w:val="0"/>
              <w:spacing w:before="0" w:after="283"/>
              <w:ind w:left="0" w:right="0" w:hanging="0"/>
              <w:jc w:val="left"/>
              <w:rPr>
                <w:sz w:val="4"/>
                <w:szCs w:val="4"/>
              </w:rPr>
            </w:pPr>
            <w:r>
              <w:rPr>
                <w:sz w:val="4"/>
                <w:szCs w:val="4"/>
              </w:rPr>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pPr>
            <w:r>
              <w:rPr/>
              <w:t xml:space="preserve">  </w:t>
            </w:r>
          </w:p>
        </w:tc>
        <w:tc>
          <w:tcPr>
            <w:tcW w:w="121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75" w:type="dxa"/>
            <w:tcBorders/>
            <w:vAlign w:val="bottom"/>
          </w:tcPr>
          <w:p>
            <w:pPr>
              <w:pStyle w:val="TableContents"/>
              <w:bidi w:val="0"/>
              <w:spacing w:before="0" w:after="283"/>
              <w:jc w:val="left"/>
              <w:rPr>
                <w:sz w:val="4"/>
                <w:szCs w:val="4"/>
              </w:rPr>
            </w:pPr>
            <w:r>
              <w:rPr>
                <w:sz w:val="4"/>
                <w:szCs w:val="4"/>
              </w:rPr>
            </w:r>
          </w:p>
        </w:tc>
      </w:tr>
      <w:tr>
        <w:trPr/>
        <w:tc>
          <w:tcPr>
            <w:tcW w:w="65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37,503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32,726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pPr>
            <w:r>
              <w:rPr/>
              <w:t xml:space="preserve">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1132" w:type="dxa"/>
            <w:tcBorders/>
            <w:vAlign w:val="bottom"/>
          </w:tcPr>
          <w:p>
            <w:pPr>
              <w:pStyle w:val="TableContents"/>
              <w:pBdr/>
              <w:bidi w:val="0"/>
              <w:spacing w:before="0" w:after="0"/>
              <w:ind w:left="0" w:right="0" w:hanging="0"/>
              <w:jc w:val="righ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pPr>
            <w:r>
              <w:rPr/>
              <w:t xml:space="preserve">  </w:t>
            </w:r>
          </w:p>
        </w:tc>
        <w:tc>
          <w:tcPr>
            <w:tcW w:w="1210" w:type="dxa"/>
            <w:tcBorders/>
            <w:vAlign w:val="bottom"/>
          </w:tcPr>
          <w:p>
            <w:pPr>
              <w:pStyle w:val="TableContents"/>
              <w:pBdr/>
              <w:bidi w:val="0"/>
              <w:spacing w:before="0" w:after="0"/>
              <w:ind w:left="0" w:right="0" w:hanging="0"/>
              <w:jc w:val="right"/>
              <w:rPr/>
            </w:pPr>
            <w:r>
              <w:rPr/>
              <w:t xml:space="preserve">  </w:t>
            </w:r>
          </w:p>
        </w:tc>
        <w:tc>
          <w:tcPr>
            <w:tcW w:w="175" w:type="dxa"/>
            <w:tcBorders/>
            <w:vAlign w:val="bottom"/>
          </w:tcPr>
          <w:p>
            <w:pPr>
              <w:pStyle w:val="TableContents"/>
              <w:pBdr/>
              <w:bidi w:val="0"/>
              <w:spacing w:before="0" w:after="0"/>
              <w:ind w:left="0" w:right="0" w:hanging="0"/>
              <w:jc w:val="left"/>
              <w:rPr/>
            </w:pPr>
            <w:r>
              <w:rPr/>
              <w:t xml:space="preserve">  </w:t>
            </w:r>
          </w:p>
        </w:tc>
      </w:tr>
      <w:tr>
        <w:trPr/>
        <w:tc>
          <w:tcPr>
            <w:tcW w:w="653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other comprehensive loss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w:t>
            </w:r>
          </w:p>
        </w:tc>
        <w:tc>
          <w:tcPr>
            <w:tcW w:w="208" w:type="dxa"/>
            <w:tcBorders/>
            <w:vAlign w:val="bottom"/>
          </w:tcPr>
          <w:p>
            <w:pPr>
              <w:pStyle w:val="TableContents"/>
              <w:bidi w:val="0"/>
              <w:spacing w:before="0" w:after="0"/>
              <w:ind w:left="0" w:right="0" w:hanging="0"/>
              <w:jc w:val="left"/>
              <w:rPr/>
            </w:pPr>
            <w:r>
              <w:rPr/>
              <w:t>)</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(306</w:t>
            </w:r>
          </w:p>
        </w:tc>
        <w:tc>
          <w:tcPr>
            <w:tcW w:w="175" w:type="dxa"/>
            <w:tcBorders/>
            <w:vAlign w:val="bottom"/>
          </w:tcPr>
          <w:p>
            <w:pPr>
              <w:pStyle w:val="TableContents"/>
              <w:bidi w:val="0"/>
              <w:spacing w:before="0" w:after="0"/>
              <w:jc w:val="left"/>
              <w:rPr/>
            </w:pPr>
            <w:r>
              <w:rPr/>
              <w:t>)</w:t>
            </w:r>
          </w:p>
        </w:tc>
      </w:tr>
      <w:tr>
        <w:trPr/>
        <w:tc>
          <w:tcPr>
            <w:tcW w:w="6531"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50" w:type="dxa"/>
            <w:tcBorders/>
            <w:shd w:fill="CCEEFF" w:val="clear"/>
            <w:vAlign w:val="bottom"/>
          </w:tcPr>
          <w:p>
            <w:pPr>
              <w:pStyle w:val="TableContents"/>
              <w:bidi w:val="0"/>
              <w:spacing w:before="0" w:after="0"/>
              <w:ind w:left="0" w:right="0" w:hanging="0"/>
              <w:jc w:val="left"/>
              <w:rPr/>
            </w:pPr>
            <w:r>
              <w:rPr/>
              <w:t xml:space="preserve">  </w:t>
            </w:r>
          </w:p>
        </w:tc>
        <w:tc>
          <w:tcPr>
            <w:tcW w:w="295" w:type="dxa"/>
            <w:tcBorders/>
            <w:shd w:fill="CCEEFF" w:val="clear"/>
            <w:vAlign w:val="bottom"/>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rFonts w:ascii="Times New Roman" w:hAnsi="Times New Roman"/>
              </w:rPr>
            </w:pPr>
            <w:r>
              <w:rPr>
                <w:rFonts w:ascii="Times New Roman" w:hAnsi="Times New Roman"/>
              </w:rPr>
              <w:t>(1</w:t>
            </w:r>
          </w:p>
        </w:tc>
        <w:tc>
          <w:tcPr>
            <w:tcW w:w="208" w:type="dxa"/>
            <w:tcBorders/>
            <w:shd w:fill="CCEEFF" w:val="clear"/>
            <w:vAlign w:val="bottom"/>
          </w:tcPr>
          <w:p>
            <w:pPr>
              <w:pStyle w:val="TableContents"/>
              <w:bidi w:val="0"/>
              <w:spacing w:before="0" w:after="0"/>
              <w:ind w:left="0" w:right="0" w:hanging="0"/>
              <w:jc w:val="left"/>
              <w:rPr/>
            </w:pPr>
            <w:r>
              <w:rPr/>
              <w:t>)</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w:t>
            </w:r>
          </w:p>
        </w:tc>
        <w:tc>
          <w:tcPr>
            <w:tcW w:w="175" w:type="dxa"/>
            <w:tcBorders/>
            <w:shd w:fill="CCEEFF" w:val="clear"/>
            <w:vAlign w:val="bottom"/>
          </w:tcPr>
          <w:p>
            <w:pPr>
              <w:pStyle w:val="TableContents"/>
              <w:bidi w:val="0"/>
              <w:spacing w:before="0" w:after="0"/>
              <w:jc w:val="left"/>
              <w:rPr/>
            </w:pPr>
            <w:r>
              <w:rPr/>
              <w:t>)</w:t>
            </w:r>
          </w:p>
        </w:tc>
      </w:tr>
      <w:tr>
        <w:trPr/>
        <w:tc>
          <w:tcPr>
            <w:tcW w:w="653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0" w:type="dxa"/>
            <w:tcBorders/>
            <w:vAlign w:val="bottom"/>
          </w:tcPr>
          <w:p>
            <w:pPr>
              <w:pStyle w:val="TableContents"/>
              <w:bidi w:val="0"/>
              <w:spacing w:before="0" w:after="0"/>
              <w:ind w:left="0" w:right="0" w:hanging="0"/>
              <w:jc w:val="left"/>
              <w:rPr/>
            </w:pPr>
            <w:r>
              <w:rPr/>
              <w:t xml:space="preserve">  </w:t>
            </w:r>
          </w:p>
        </w:tc>
        <w:tc>
          <w:tcPr>
            <w:tcW w:w="2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(341</w:t>
            </w:r>
          </w:p>
        </w:tc>
        <w:tc>
          <w:tcPr>
            <w:tcW w:w="208" w:type="dxa"/>
            <w:tcBorders/>
            <w:vAlign w:val="bottom"/>
          </w:tcPr>
          <w:p>
            <w:pPr>
              <w:pStyle w:val="TableContents"/>
              <w:bidi w:val="0"/>
              <w:spacing w:before="0" w:after="0"/>
              <w:ind w:left="0" w:right="0" w:hanging="0"/>
              <w:jc w:val="left"/>
              <w:rPr/>
            </w:pPr>
            <w:r>
              <w:rPr/>
              <w:t>)</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(319</w:t>
            </w:r>
          </w:p>
        </w:tc>
        <w:tc>
          <w:tcPr>
            <w:tcW w:w="175" w:type="dxa"/>
            <w:tcBorders/>
            <w:vAlign w:val="bottom"/>
          </w:tcPr>
          <w:p>
            <w:pPr>
              <w:pStyle w:val="TableContents"/>
              <w:bidi w:val="0"/>
              <w:spacing w:before="0" w:after="0"/>
              <w:jc w:val="left"/>
              <w:rPr/>
            </w:pPr>
            <w:r>
              <w:rPr/>
              <w:t>)</w:t>
            </w:r>
          </w:p>
        </w:tc>
      </w:tr>
      <w:tr>
        <w:trPr/>
        <w:tc>
          <w:tcPr>
            <w:tcW w:w="6531" w:type="dxa"/>
            <w:tcBorders/>
            <w:shd w:fill="CCEEFF" w:val="cle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1132" w:type="dxa"/>
            <w:tcBorders/>
            <w:vAlign w:val="bottom"/>
          </w:tcPr>
          <w:p>
            <w:pPr>
              <w:pStyle w:val="TableContents"/>
              <w:pBdr/>
              <w:bidi w:val="0"/>
              <w:spacing w:before="0" w:after="0"/>
              <w:ind w:left="0" w:right="0" w:hanging="0"/>
              <w:jc w:val="righ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pPr>
            <w:r>
              <w:rPr/>
              <w:t xml:space="preserve">  </w:t>
            </w:r>
          </w:p>
        </w:tc>
        <w:tc>
          <w:tcPr>
            <w:tcW w:w="1210" w:type="dxa"/>
            <w:tcBorders/>
            <w:vAlign w:val="bottom"/>
          </w:tcPr>
          <w:p>
            <w:pPr>
              <w:pStyle w:val="TableContents"/>
              <w:pBdr/>
              <w:bidi w:val="0"/>
              <w:spacing w:before="0" w:after="0"/>
              <w:ind w:left="0" w:right="0" w:hanging="0"/>
              <w:jc w:val="right"/>
              <w:rPr/>
            </w:pPr>
            <w:r>
              <w:rPr/>
              <w:t xml:space="preserve">  </w:t>
            </w:r>
          </w:p>
        </w:tc>
        <w:tc>
          <w:tcPr>
            <w:tcW w:w="175" w:type="dxa"/>
            <w:tcBorders/>
            <w:vAlign w:val="bottom"/>
          </w:tcPr>
          <w:p>
            <w:pPr>
              <w:pStyle w:val="TableContents"/>
              <w:pBdr/>
              <w:bidi w:val="0"/>
              <w:spacing w:before="0" w:after="0"/>
              <w:ind w:left="0" w:right="0" w:hanging="0"/>
              <w:jc w:val="left"/>
              <w:rPr/>
            </w:pPr>
            <w:r>
              <w:rPr/>
              <w:t xml:space="preserve">  </w:t>
            </w:r>
          </w:p>
        </w:tc>
      </w:tr>
      <w:tr>
        <w:trPr/>
        <w:tc>
          <w:tcPr>
            <w:tcW w:w="65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(36,143</w:t>
            </w:r>
          </w:p>
        </w:tc>
        <w:tc>
          <w:tcPr>
            <w:tcW w:w="208" w:type="dxa"/>
            <w:tcBorders/>
            <w:shd w:fill="CCEEFF" w:val="clear"/>
            <w:vAlign w:val="bottom"/>
          </w:tcPr>
          <w:p>
            <w:pPr>
              <w:pStyle w:val="TableContents"/>
              <w:bidi w:val="0"/>
              <w:spacing w:before="0" w:after="0"/>
              <w:ind w:left="0" w:right="0" w:hanging="0"/>
              <w:jc w:val="left"/>
              <w:rPr/>
            </w:pPr>
            <w:r>
              <w:rPr/>
              <w:t>)</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(10,059</w:t>
            </w:r>
          </w:p>
        </w:tc>
        <w:tc>
          <w:tcPr>
            <w:tcW w:w="175" w:type="dxa"/>
            <w:tcBorders/>
            <w:shd w:fill="CCEEFF" w:val="clear"/>
            <w:vAlign w:val="bottom"/>
          </w:tcPr>
          <w:p>
            <w:pPr>
              <w:pStyle w:val="TableContents"/>
              <w:bidi w:val="0"/>
              <w:spacing w:before="0" w:after="0"/>
              <w:jc w:val="left"/>
              <w:rPr/>
            </w:pPr>
            <w:r>
              <w:rPr/>
              <w:t>)</w:t>
            </w:r>
          </w:p>
        </w:tc>
      </w:tr>
      <w:tr>
        <w:trPr/>
        <w:tc>
          <w:tcPr>
            <w:tcW w:w="6531" w:type="dxa"/>
            <w:tcBorders/>
            <w:vAlign w:val="center"/>
          </w:tcPr>
          <w:p>
            <w:pPr>
              <w:pStyle w:val="TableContents"/>
              <w:bidi w:val="0"/>
              <w:spacing w:before="0" w:after="283"/>
              <w:jc w:val="left"/>
              <w:rPr/>
            </w:pPr>
            <w:r>
              <w:rPr>
                <w:rFonts w:ascii="Times New Roman;serif" w:hAnsi="Times New Roman;serif"/>
                <w:color w:val="000000"/>
                <w:sz w:val="20"/>
              </w:rPr>
              <w:t>Net income (loss) – discontinued operations</w:t>
            </w:r>
            <w:r>
              <w:rPr/>
              <w:t xml:space="preserve"> </w:t>
            </w:r>
          </w:p>
        </w:tc>
        <w:tc>
          <w:tcPr>
            <w:tcW w:w="150"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ind w:left="0" w:right="0" w:hanging="0"/>
              <w:jc w:val="left"/>
              <w:rPr/>
            </w:pPr>
            <w:r>
              <w:rPr/>
            </w:r>
          </w:p>
        </w:tc>
        <w:tc>
          <w:tcPr>
            <w:tcW w:w="1132" w:type="dxa"/>
            <w:tcBorders/>
            <w:vAlign w:val="center"/>
          </w:tcPr>
          <w:p>
            <w:pPr>
              <w:pStyle w:val="TableContents"/>
              <w:bidi w:val="0"/>
              <w:spacing w:before="0" w:after="0"/>
              <w:ind w:left="0" w:right="0" w:hanging="0"/>
              <w:jc w:val="right"/>
              <w:rPr/>
            </w:pPr>
            <w:r>
              <w:rPr/>
              <w:t>363</w:t>
            </w:r>
          </w:p>
        </w:tc>
        <w:tc>
          <w:tcPr>
            <w:tcW w:w="208" w:type="dxa"/>
            <w:tcBorders/>
            <w:vAlign w:val="center"/>
          </w:tcPr>
          <w:p>
            <w:pPr>
              <w:pStyle w:val="TableContents"/>
              <w:bidi w:val="0"/>
              <w:spacing w:before="0" w:after="283"/>
              <w:ind w:left="0" w:right="0" w:hanging="0"/>
              <w:jc w:val="left"/>
              <w:rPr>
                <w:sz w:val="4"/>
                <w:szCs w:val="4"/>
              </w:rPr>
            </w:pPr>
            <w:r>
              <w:rPr>
                <w:sz w:val="4"/>
                <w:szCs w:val="4"/>
              </w:rPr>
            </w:r>
          </w:p>
        </w:tc>
        <w:tc>
          <w:tcPr>
            <w:tcW w:w="208" w:type="dxa"/>
            <w:tcBorders/>
            <w:vAlign w:val="center"/>
          </w:tcPr>
          <w:p>
            <w:pPr>
              <w:pStyle w:val="TableContents"/>
              <w:bidi w:val="0"/>
              <w:spacing w:before="0" w:after="283"/>
              <w:ind w:left="0" w:right="0" w:hanging="0"/>
              <w:jc w:val="left"/>
              <w:rPr/>
            </w:pPr>
            <w:r>
              <w:rPr/>
            </w:r>
          </w:p>
        </w:tc>
        <w:tc>
          <w:tcPr>
            <w:tcW w:w="296" w:type="dxa"/>
            <w:tcBorders/>
            <w:vAlign w:val="center"/>
          </w:tcPr>
          <w:p>
            <w:pPr>
              <w:pStyle w:val="TableContents"/>
              <w:bidi w:val="0"/>
              <w:spacing w:before="0" w:after="283"/>
              <w:ind w:left="0" w:right="0" w:hanging="0"/>
              <w:jc w:val="left"/>
              <w:rPr/>
            </w:pPr>
            <w:r>
              <w:rPr/>
            </w:r>
          </w:p>
        </w:tc>
        <w:tc>
          <w:tcPr>
            <w:tcW w:w="1210" w:type="dxa"/>
            <w:tcBorders/>
            <w:vAlign w:val="center"/>
          </w:tcPr>
          <w:p>
            <w:pPr>
              <w:pStyle w:val="TableContents"/>
              <w:bidi w:val="0"/>
              <w:spacing w:before="0" w:after="0"/>
              <w:ind w:left="0" w:right="0" w:hanging="0"/>
              <w:jc w:val="right"/>
              <w:rPr/>
            </w:pPr>
            <w:r>
              <w:rPr/>
              <w:t>(814</w:t>
            </w:r>
          </w:p>
        </w:tc>
        <w:tc>
          <w:tcPr>
            <w:tcW w:w="175" w:type="dxa"/>
            <w:tcBorders/>
            <w:vAlign w:val="center"/>
          </w:tcPr>
          <w:p>
            <w:pPr>
              <w:pStyle w:val="TableContents"/>
              <w:bidi w:val="0"/>
              <w:spacing w:before="0" w:after="0"/>
              <w:jc w:val="left"/>
              <w:rPr/>
            </w:pPr>
            <w:r>
              <w:rPr/>
              <w:t>)</w:t>
            </w:r>
          </w:p>
        </w:tc>
      </w:tr>
      <w:tr>
        <w:trPr/>
        <w:tc>
          <w:tcPr>
            <w:tcW w:w="6531" w:type="dxa"/>
            <w:tcBorders/>
            <w:shd w:fill="CCEEFF" w:val="clear"/>
            <w:vAlign w:val="bottom"/>
          </w:tcPr>
          <w:p>
            <w:pPr>
              <w:pStyle w:val="TableContents"/>
              <w:widowControl/>
              <w:bidi w:val="0"/>
              <w:spacing w:before="0" w:after="283"/>
              <w:ind w:left="0" w:right="0" w:hanging="0"/>
              <w:jc w:val="both"/>
              <w:rPr/>
            </w:pPr>
            <w:r>
              <w:rPr/>
              <w:t>Net loss </w:t>
            </w:r>
            <w:r>
              <w:rPr>
                <w:caps w:val="false"/>
                <w:smallCaps w:val="false"/>
                <w:color w:val="000000"/>
                <w:spacing w:val="0"/>
              </w:rPr>
              <w:t xml:space="preserve">– </w:t>
            </w:r>
            <w:r>
              <w:rPr>
                <w:rFonts w:ascii="Times New Roman;serif" w:hAnsi="Times New Roman;serif"/>
                <w:b w:val="false"/>
                <w:i w:val="false"/>
                <w:caps w:val="false"/>
                <w:smallCaps w:val="false"/>
                <w:color w:val="000000"/>
                <w:spacing w:val="0"/>
                <w:sz w:val="20"/>
              </w:rPr>
              <w:t>continuing operations</w:t>
            </w:r>
          </w:p>
        </w:tc>
        <w:tc>
          <w:tcPr>
            <w:tcW w:w="150" w:type="dxa"/>
            <w:tcBorders/>
            <w:shd w:fill="CCEEFF" w:val="clear"/>
            <w:vAlign w:val="bottom"/>
          </w:tcPr>
          <w:p>
            <w:pPr>
              <w:pStyle w:val="TableContents"/>
              <w:bidi w:val="0"/>
              <w:spacing w:before="0" w:after="0"/>
              <w:ind w:left="0" w:right="0" w:hanging="0"/>
              <w:jc w:val="left"/>
              <w:rPr/>
            </w:pPr>
            <w:r>
              <w:rPr/>
              <w:t xml:space="preserve">  </w:t>
            </w:r>
          </w:p>
        </w:tc>
        <w:tc>
          <w:tcPr>
            <w:tcW w:w="295" w:type="dxa"/>
            <w:tcBorders/>
            <w:shd w:fill="CCEEFF" w:val="clear"/>
            <w:vAlign w:val="bottom"/>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(850</w:t>
            </w:r>
          </w:p>
        </w:tc>
        <w:tc>
          <w:tcPr>
            <w:tcW w:w="208" w:type="dxa"/>
            <w:tcBorders/>
            <w:shd w:fill="CCEEFF" w:val="clear"/>
            <w:vAlign w:val="bottom"/>
          </w:tcPr>
          <w:p>
            <w:pPr>
              <w:pStyle w:val="TableContents"/>
              <w:bidi w:val="0"/>
              <w:spacing w:before="0" w:after="0"/>
              <w:ind w:left="0" w:right="0" w:hanging="0"/>
              <w:jc w:val="left"/>
              <w:rPr/>
            </w:pPr>
            <w:r>
              <w:rPr/>
              <w:t>)</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(2,020 </w:t>
            </w:r>
          </w:p>
        </w:tc>
        <w:tc>
          <w:tcPr>
            <w:tcW w:w="17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(36,630</w:t>
            </w:r>
          </w:p>
        </w:tc>
        <w:tc>
          <w:tcPr>
            <w:tcW w:w="208" w:type="dxa"/>
            <w:tcBorders/>
            <w:vAlign w:val="bottom"/>
          </w:tcPr>
          <w:p>
            <w:pPr>
              <w:pStyle w:val="TableContents"/>
              <w:bidi w:val="0"/>
              <w:spacing w:before="0" w:after="0"/>
              <w:ind w:left="0" w:right="0" w:hanging="0"/>
              <w:jc w:val="left"/>
              <w:rPr/>
            </w:pPr>
            <w:r>
              <w:rPr/>
              <w:t>)</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(12,893 </w:t>
            </w:r>
          </w:p>
        </w:tc>
        <w:tc>
          <w:tcPr>
            <w:tcW w:w="17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531" w:type="dxa"/>
            <w:tcBorders/>
            <w:shd w:fill="CCEEFF" w:val="clear"/>
            <w:vAlign w:val="center"/>
          </w:tcPr>
          <w:p>
            <w:pPr>
              <w:pStyle w:val="TableContents"/>
              <w:bidi w:val="0"/>
              <w:spacing w:before="0" w:after="0"/>
              <w:ind w:left="0" w:right="0" w:hanging="0"/>
              <w:jc w:val="left"/>
              <w:rPr/>
            </w:pPr>
            <w:r>
              <w:rPr/>
              <w:t xml:space="preserve">  </w:t>
            </w:r>
          </w:p>
        </w:tc>
        <w:tc>
          <w:tcPr>
            <w:tcW w:w="150"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pPr>
            <w:r>
              <w:rPr/>
              <w:t xml:space="preserve">  </w:t>
            </w:r>
          </w:p>
        </w:tc>
        <w:tc>
          <w:tcPr>
            <w:tcW w:w="1132" w:type="dxa"/>
            <w:tcBorders/>
            <w:shd w:fill="CCEEFF" w:val="clear"/>
            <w:vAlign w:val="bottom"/>
          </w:tcPr>
          <w:p>
            <w:pPr>
              <w:pStyle w:val="TableContents"/>
              <w:pBdr/>
              <w:bidi w:val="0"/>
              <w:spacing w:before="0" w:after="0"/>
              <w:ind w:left="0" w:right="0" w:hanging="0"/>
              <w:jc w:val="righ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296" w:type="dxa"/>
            <w:tcBorders/>
            <w:shd w:fill="CCEEFF" w:val="clear"/>
            <w:vAlign w:val="bottom"/>
          </w:tcPr>
          <w:p>
            <w:pPr>
              <w:pStyle w:val="TableContents"/>
              <w:pBdr/>
              <w:bidi w:val="0"/>
              <w:spacing w:before="0" w:after="0"/>
              <w:ind w:left="0" w:right="0" w:hanging="0"/>
              <w:jc w:val="left"/>
              <w:rPr/>
            </w:pPr>
            <w:r>
              <w:rPr/>
              <w:t xml:space="preserve">  </w:t>
            </w:r>
          </w:p>
        </w:tc>
        <w:tc>
          <w:tcPr>
            <w:tcW w:w="1210" w:type="dxa"/>
            <w:tcBorders/>
            <w:shd w:fill="CCEEFF" w:val="clear"/>
            <w:vAlign w:val="bottom"/>
          </w:tcPr>
          <w:p>
            <w:pPr>
              <w:pStyle w:val="TableContents"/>
              <w:pBdr/>
              <w:bidi w:val="0"/>
              <w:spacing w:before="0" w:after="0"/>
              <w:ind w:left="0" w:right="0" w:hanging="0"/>
              <w:jc w:val="right"/>
              <w:rPr/>
            </w:pPr>
            <w:r>
              <w:rPr/>
              <w:t xml:space="preserve">  </w:t>
            </w:r>
          </w:p>
        </w:tc>
        <w:tc>
          <w:tcPr>
            <w:tcW w:w="175" w:type="dxa"/>
            <w:tcBorders/>
            <w:shd w:fill="CCEEFF" w:val="clear"/>
            <w:vAlign w:val="bottom"/>
          </w:tcPr>
          <w:p>
            <w:pPr>
              <w:pStyle w:val="TableContents"/>
              <w:pBdr/>
              <w:bidi w:val="0"/>
              <w:spacing w:before="0" w:after="0"/>
              <w:ind w:left="0" w:right="0" w:hanging="0"/>
              <w:jc w:val="left"/>
              <w:rPr/>
            </w:pPr>
            <w:r>
              <w:rPr/>
              <w:t xml:space="preserve">  </w:t>
            </w:r>
          </w:p>
        </w:tc>
      </w:tr>
      <w:tr>
        <w:trPr/>
        <w:tc>
          <w:tcPr>
            <w:tcW w:w="65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50"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532</w:t>
            </w:r>
          </w:p>
        </w:tc>
        <w:tc>
          <w:tcPr>
            <w:tcW w:w="208"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29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19,514</w:t>
            </w:r>
          </w:p>
        </w:tc>
        <w:tc>
          <w:tcPr>
            <w:tcW w:w="175" w:type="dxa"/>
            <w:tcBorders/>
            <w:vAlign w:val="bottom"/>
          </w:tcPr>
          <w:p>
            <w:pPr>
              <w:pStyle w:val="TableContents"/>
              <w:pBdr/>
              <w:bidi w:val="0"/>
              <w:spacing w:before="0" w:after="0"/>
              <w:ind w:left="0" w:right="0" w:hanging="0"/>
              <w:jc w:val="left"/>
              <w:rPr/>
            </w:pPr>
            <w:r>
              <w:rPr/>
              <w:t xml:space="preserve">  </w:t>
            </w:r>
          </w:p>
        </w:tc>
      </w:tr>
    </w:tbl>
    <w:p>
      <w:pPr>
        <w:pStyle w:val="TextBody"/>
        <w:bidi w:val="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serif" w:hAnsi="Times New Roman;serif"/>
          <w:b/>
          <w:i/>
          <w:color w:val="000000"/>
          <w:spacing w:val="0"/>
          <w:sz w:val="20"/>
        </w:rPr>
      </w:pPr>
      <w:r>
        <w:rPr>
          <w:rFonts w:ascii="Times New Roman;serif" w:hAnsi="Times New Roman;serif"/>
          <w:b/>
          <w:i/>
          <w:color w:val="000000"/>
          <w:spacing w:val="0"/>
          <w:sz w:val="20"/>
        </w:rPr>
        <w:t>Issue of Common Stock</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On February 26, 2025 the Company entered into a securities purchase agreement with Edward D. Bagley, pursuant to which the Company agreed to issue and sell, in a private placement at-the-market offering of 133,334 shares of the Company’s common stock, par value $0.001 per share, at a purchase price of $7.50 per share of Common Stock. The Company received $1,000 in cash in connection with the sale. Mr. Bagley is an affiliate of the Company and was the Company’s single largest stockholder.</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79" w:name="PageBreakNo16"/>
            <w:bookmarkEnd w:id="179"/>
            <w:r>
              <w:rPr>
                <w:sz w:val="20"/>
              </w:rPr>
              <w:t>16</w:t>
            </w:r>
          </w:p>
        </w:tc>
      </w:tr>
    </w:tbl>
    <w:p>
      <w:pPr>
        <w:pStyle w:val="TextBody"/>
        <w:bidi w:val="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jc w:val="both"/>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Amendments to Certificate of Incorporation and Reverse Stock Split</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At the special meeting of stockholders held on May 30, 2025, stockholders approved amendments to the Certificate of Incorporation to: (i) increase the authorized number of shares of common stock from 50,000,000 to 150,000,000; (ii) authorize 50,000,000 shares of "blank check" preferred stock; (iii) effect a reverse stock split at a ratio between 1-for-10 and 1-for-15, with the exact ratio to be determined by the Board of Directors; and (iv) eliminate the prohibition on stockholder action by written consent and to allow such actions. Following stockholder approval, on June 4, 2025, the Company filed a Certificate of Amendment to its Certificate of Incorporation to effect these changes, including the selection of a 1-for-15 reverse stock split ratio, which became effective at </w:t>
      </w:r>
      <w:bookmarkStart w:id="180" w:name="fs_RB282SHDS000000000000000000000fs"/>
      <w:bookmarkEnd w:id="180"/>
      <w:r>
        <w:rPr>
          <w:rFonts w:ascii="times new roman;times" w:hAnsi="times new roman;times"/>
          <w:sz w:val="20"/>
        </w:rPr>
        <w:t>5:</w:t>
      </w:r>
      <w:bookmarkStart w:id="181" w:name="fs_SHUFQCR8BK00000000000000000000fs"/>
      <w:bookmarkEnd w:id="181"/>
      <w:r>
        <w:rPr>
          <w:rFonts w:ascii="times new roman;times" w:hAnsi="times new roman;times"/>
          <w:sz w:val="20"/>
        </w:rPr>
        <w:t xml:space="preserve">00 p.m. Eastern Time on June 9, 2025. The common stock began trading on a split-adjusted basis on the Nasdaq Capital Market on June 10, 2025, under the symbol "CLRO" and a new CUSIP number of </w:t>
      </w:r>
      <w:bookmarkStart w:id="182" w:name="fs_3DPTSTN2R400000000000000000000fs"/>
      <w:bookmarkEnd w:id="182"/>
      <w:r>
        <w:rPr>
          <w:rFonts w:ascii="times new roman;times" w:hAnsi="times new roman;times"/>
          <w:sz w:val="20"/>
        </w:rPr>
        <w:t>18506U</w:t>
      </w:r>
      <w:bookmarkStart w:id="183" w:name="fs_U9U4KWIW5S00000000000000000000fs"/>
      <w:bookmarkEnd w:id="183"/>
      <w:r>
        <w:rPr>
          <w:rFonts w:ascii="times new roman;times" w:hAnsi="times new roman;times"/>
          <w:sz w:val="20"/>
        </w:rPr>
        <w:t xml:space="preserve">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184" w:name="fs_J70FJJNNKW00000000000000000000fs"/>
      <w:bookmarkEnd w:id="184"/>
      <w:r>
        <w:rPr>
          <w:rFonts w:ascii="times new roman;times" w:hAnsi="times new roman;times"/>
          <w:sz w:val="20"/>
        </w:rPr>
        <w:t>one share, with no fractional shares issued (any fractional interests were converted to one whole share). The reverse stock split did not change the par value of the common stock but reduced the number of issued and outstanding shares from approximately 26.0 million to approximately 1.7 million, with proportional adjustments to outstanding stock options, warrants, and shares reserved under equity incentive plans. All share and per-share amounts in these condensed consolidated financial statements and related notes have been retroactively adjusted to reflect the reverse stock split for all periods presented.</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including the Certificate of Amendment, refer to the Company's Current Report on Form 8-K filed with the SEC on June 2, 2025, including the press release attached as Exhibit </w:t>
      </w:r>
      <w:bookmarkStart w:id="185" w:name="fs_HOKXEHGOJK00000000000000000000fs"/>
      <w:bookmarkEnd w:id="185"/>
      <w:r>
        <w:rPr>
          <w:rFonts w:ascii="times new roman;times" w:hAnsi="times new roman;times"/>
          <w:b w:val="false"/>
          <w:color w:val="000000"/>
          <w:spacing w:val="0"/>
          <w:sz w:val="20"/>
        </w:rPr>
        <w:t xml:space="preserve">99.1 and the Certificate of Amendment attached as Exhibit </w:t>
      </w:r>
      <w:bookmarkStart w:id="186" w:name="fs_MI0R9IL9DC00000000000000000000fs"/>
      <w:bookmarkEnd w:id="186"/>
      <w:r>
        <w:rPr>
          <w:rFonts w:ascii="times new roman;times" w:hAnsi="times new roman;times"/>
          <w:b w:val="false"/>
          <w:color w:val="000000"/>
          <w:spacing w:val="0"/>
          <w:sz w:val="20"/>
        </w:rPr>
        <w:t xml:space="preserve">3.1 thereto.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Preferred Stock Designations and Related Matters</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June 24, 2025, the Company filed Certificates of Designation with the State of Delaware authorizing up to 2,069,066 shares of Class A Redeemable Preferred Stock and 5,100 shares of Class B Convertible Preferred Stock. The Class A Redeemable Preferred Stock, which ranks senior to common stock and is redeemable upon an Asset Sale (defined as the sale of all or substantially all of the Company's current assets and operations, which the Company is required to pursue using reasonable best efforts within 180 days of issuance), was issued on July 18, 2025 as a dividend to holders of common stock and common stock equivalents of record as of July 11, 2025. Net proceeds from any Asset Sale will be distributed pro rata to holders of Class A Redeemable Preferred Stock. The Class B Convertible Preferred Stock ranks senior to common stock and other equity (except Class A Redeemable Preferred Stock), with specific rights including dividends, voting (on an as-converted basis), and liquidation preferences.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Additionally, effective June 20, 2025, the Board of Directors was expanded from four to five members, with Eric Boehnke and Youngsun Park (a/k/a Sunny Park), nominees of First Finance Ltd., appointed as directors to serve until the next annual meeting or until their successors are elected and qualified. Neither appointee has any material arrangements or family relationships with the Company requiring disclosure under Item </w:t>
      </w:r>
      <w:bookmarkStart w:id="187" w:name="fs_2V5G9ME8SG00000000000000000000fs"/>
      <w:bookmarkEnd w:id="187"/>
      <w:r>
        <w:rPr>
          <w:rFonts w:ascii="times new roman;times" w:hAnsi="times new roman;times"/>
          <w:sz w:val="20"/>
        </w:rPr>
        <w:t>404(a) of Regulation S-K, and they will receive standard director compensation.</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refer to the Company's Current Report on Form 8-K filed with the SEC on June 25, 2025, including the Certificates of Designation attached as Exhibits </w:t>
      </w:r>
      <w:bookmarkStart w:id="188" w:name="fs_BW68VDVK0000000000000000000000fs"/>
      <w:bookmarkEnd w:id="188"/>
      <w:r>
        <w:rPr>
          <w:rFonts w:ascii="times new roman;times" w:hAnsi="times new roman;times"/>
          <w:b w:val="false"/>
          <w:color w:val="000000"/>
          <w:spacing w:val="0"/>
          <w:sz w:val="20"/>
        </w:rPr>
        <w:t xml:space="preserve">3.1 and </w:t>
      </w:r>
      <w:bookmarkStart w:id="189" w:name="fs_3SFAJTAZI800000000000000000000fs"/>
      <w:bookmarkEnd w:id="189"/>
      <w:r>
        <w:rPr>
          <w:rFonts w:ascii="times new roman;times" w:hAnsi="times new roman;times"/>
          <w:b w:val="false"/>
          <w:color w:val="000000"/>
          <w:spacing w:val="0"/>
          <w:sz w:val="20"/>
        </w:rPr>
        <w:t xml:space="preserve">3.2, the Note Purchase Agreement attached as Exhibit </w:t>
      </w:r>
      <w:bookmarkStart w:id="190" w:name="fs_XYU6YCKHO000000000000000000000fs"/>
      <w:bookmarkEnd w:id="190"/>
      <w:r>
        <w:rPr>
          <w:rFonts w:ascii="times new roman;times" w:hAnsi="times new roman;times"/>
          <w:b w:val="false"/>
          <w:color w:val="000000"/>
          <w:spacing w:val="0"/>
          <w:sz w:val="20"/>
        </w:rPr>
        <w:t xml:space="preserve">10.1, and the Convertible Note attached as Exhibit </w:t>
      </w:r>
      <w:bookmarkStart w:id="191" w:name="fs_CHZCQ3JWZK00000000000000000000fs"/>
      <w:bookmarkEnd w:id="191"/>
      <w:r>
        <w:rPr>
          <w:rFonts w:ascii="times new roman;times" w:hAnsi="times new roman;times"/>
          <w:b w:val="false"/>
          <w:color w:val="000000"/>
          <w:spacing w:val="0"/>
          <w:sz w:val="20"/>
        </w:rPr>
        <w:t xml:space="preserve">10.2 thereto.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March 2, 2026 Private Placement</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spacing w:val="0"/>
          <w:sz w:val="20"/>
        </w:rPr>
      </w:pPr>
      <w:r>
        <w:rPr>
          <w:rFonts w:ascii="times new roman;times" w:hAnsi="times new roman;times"/>
          <w:b w:val="false"/>
          <w:i w:val="false"/>
          <w:caps w:val="false"/>
          <w:smallCaps w:val="false"/>
          <w:spacing w:val="0"/>
          <w:sz w:val="20"/>
        </w:rPr>
        <w:t>On March 2, 2026, the Company entered into a Securities Purchase Agreement with First Finance Ltd. the Company’s largest stockholder, pursuant to which the Company issued and sold 437,500 shares of common stock at a purchase price of $4.00 per share and a warrant to purchase up to 437,500 additional shares of common stock at an exercise price of $5.00 per share. The warrant has a two-year term expiring on March 2, 2028 and becomes exercisable on September 2, 2026. The warrant is classified in stockholders’ equity in accordance with ASC 815-40. The Company received gross proceeds of $1,750. The fair value of the warrants was determined using the Black-Scholes option pricing model. The Company allocated the proceeds between the common stock and the warrants based on their relative fair values. The portion of the proceeds allocated to the warrants, $618, was recorded in additional paid-in capital – warrants. The Company also entered into a Registration Rights Agreement with First Finance Ltd. providing for the registration of the shares and warrant shares for resale.</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issuance was made in reliance on the exemption from registration provided by Section </w:t>
      </w:r>
      <w:bookmarkStart w:id="192" w:name="fs_FY084VHXF400000000000000000000fs"/>
      <w:bookmarkEnd w:id="192"/>
      <w:r>
        <w:rPr>
          <w:rFonts w:ascii="times new roman;times" w:hAnsi="times new roman;times"/>
          <w:b w:val="false"/>
          <w:i w:val="false"/>
          <w:caps w:val="false"/>
          <w:smallCaps w:val="false"/>
          <w:color w:val="000000"/>
          <w:spacing w:val="0"/>
          <w:sz w:val="20"/>
        </w:rPr>
        <w:t>4(a)(</w:t>
      </w:r>
      <w:bookmarkStart w:id="193" w:name="fs_YWQ4N7TFC000000000000000000000fs"/>
      <w:bookmarkEnd w:id="193"/>
      <w:r>
        <w:rPr>
          <w:rFonts w:ascii="times new roman;times" w:hAnsi="times new roman;times"/>
          <w:b w:val="false"/>
          <w:i w:val="false"/>
          <w:caps w:val="false"/>
          <w:smallCaps w:val="false"/>
          <w:color w:val="000000"/>
          <w:spacing w:val="0"/>
          <w:sz w:val="20"/>
        </w:rPr>
        <w:t xml:space="preserve">2) of the Securities Act of </w:t>
      </w:r>
      <w:bookmarkStart w:id="194" w:name="fs_O3WU99MK9S00000000000000000000fs"/>
      <w:bookmarkEnd w:id="194"/>
      <w:r>
        <w:rPr>
          <w:rFonts w:ascii="times new roman;times" w:hAnsi="times new roman;times"/>
          <w:b w:val="false"/>
          <w:i w:val="false"/>
          <w:caps w:val="false"/>
          <w:smallCaps w:val="false"/>
          <w:color w:val="000000"/>
          <w:spacing w:val="0"/>
          <w:sz w:val="20"/>
        </w:rPr>
        <w:t xml:space="preserve">1933, as amended, and Rule </w:t>
      </w:r>
      <w:bookmarkStart w:id="195" w:name="fs_WO1ZPZM2EO00000000000000000000fs"/>
      <w:bookmarkEnd w:id="195"/>
      <w:r>
        <w:rPr>
          <w:rFonts w:ascii="times new roman;times" w:hAnsi="times new roman;times"/>
          <w:b w:val="false"/>
          <w:i w:val="false"/>
          <w:caps w:val="false"/>
          <w:smallCaps w:val="false"/>
          <w:color w:val="000000"/>
          <w:spacing w:val="0"/>
          <w:sz w:val="20"/>
        </w:rPr>
        <w:t>506(b) promulgated thereunder. The transaction was approved by the Board of Directors (with interested directors recusing themselves as appropriate).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sz w:val="20"/>
          <w:szCs w:val="20"/>
        </w:rPr>
      </w:pPr>
      <w:r>
        <w:rPr>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96" w:name="PageBreakNo17"/>
            <w:bookmarkEnd w:id="196"/>
            <w:r>
              <w:rPr>
                <w:sz w:val="20"/>
              </w:rPr>
              <w:t>17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ind w:left="0" w:right="0" w:hanging="0"/>
        <w:jc w:val="left"/>
        <w:rPr/>
      </w:pPr>
      <w:r>
        <w:rPr>
          <w:rFonts w:ascii="Times New Roman" w:hAnsi="Times New Roman"/>
          <w:b/>
          <w:sz w:val="20"/>
        </w:rPr>
        <w:t>12</w:t>
      </w:r>
      <w:r>
        <w:rPr>
          <w:rFonts w:ascii="Times New Roman" w:hAnsi="Times New Roman"/>
          <w:b/>
          <w:sz w:val="20"/>
        </w:rPr>
        <w:t>. Share-based Compensation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w:t>
      </w:r>
      <w:r>
        <w:rPr>
          <w:rFonts w:ascii="times new roman;times" w:hAnsi="times new roman;times"/>
          <w:sz w:val="20"/>
        </w:rPr>
        <w:t>718</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 summary of the stock option activity under the Company’s plans for the </w:t>
      </w:r>
      <w:bookmarkStart w:id="197" w:name="fs_NP86LQKGLC00000000000000000000FM"/>
      <w:bookmarkEnd w:id="197"/>
      <w:r>
        <w:rPr>
          <w:rFonts w:ascii="Times New Roman" w:hAnsi="Times New Roman"/>
          <w:sz w:val="20"/>
        </w:rPr>
        <w:t>three months ended March 31, 2026,</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454"/>
        <w:gridCol w:w="141"/>
        <w:gridCol w:w="291"/>
        <w:gridCol w:w="1539"/>
        <w:gridCol w:w="142"/>
        <w:gridCol w:w="142"/>
        <w:gridCol w:w="682"/>
        <w:gridCol w:w="2654"/>
        <w:gridCol w:w="160"/>
      </w:tblGrid>
      <w:tr>
        <w:trPr/>
        <w:tc>
          <w:tcPr>
            <w:tcW w:w="4454" w:type="dxa"/>
            <w:tcBorders/>
            <w:vAlign w:val="bottom"/>
          </w:tcPr>
          <w:p>
            <w:pPr>
              <w:pStyle w:val="TableContents"/>
              <w:bidi w:val="0"/>
              <w:spacing w:before="0" w:after="0"/>
              <w:ind w:left="0" w:right="0" w:hanging="0"/>
              <w:jc w:val="left"/>
              <w:rPr/>
            </w:pPr>
            <w:r>
              <w:rPr/>
              <w:t xml:space="preserve">  </w:t>
            </w:r>
          </w:p>
        </w:tc>
        <w:tc>
          <w:tcPr>
            <w:tcW w:w="141" w:type="dxa"/>
            <w:tcBorders/>
            <w:vAlign w:val="bottom"/>
          </w:tcPr>
          <w:p>
            <w:pPr>
              <w:pStyle w:val="TableContents"/>
              <w:pBdr/>
              <w:bidi w:val="0"/>
              <w:spacing w:before="0" w:after="0"/>
              <w:ind w:left="0" w:right="0" w:hanging="0"/>
              <w:jc w:val="left"/>
              <w:rPr/>
            </w:pPr>
            <w:r>
              <w:rPr/>
              <w:t xml:space="preserve">  </w:t>
            </w:r>
          </w:p>
        </w:tc>
        <w:tc>
          <w:tcPr>
            <w:tcW w:w="1830"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Number of shares </w:t>
            </w:r>
          </w:p>
        </w:tc>
        <w:tc>
          <w:tcPr>
            <w:tcW w:w="142"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3336" w:type="dxa"/>
            <w:gridSpan w:val="2"/>
            <w:tcBorders/>
            <w:vAlign w:val="bottom"/>
          </w:tcPr>
          <w:p>
            <w:pPr>
              <w:pStyle w:val="TableContents"/>
              <w:bidi w:val="0"/>
              <w:spacing w:lineRule="auto" w:line="264" w:before="0" w:after="0"/>
              <w:ind w:left="0" w:right="0" w:hanging="0"/>
              <w:jc w:val="center"/>
              <w:rPr>
                <w:rFonts w:ascii="Times New Roman" w:hAnsi="Times New Roman"/>
                <w:b/>
                <w:sz w:val="20"/>
              </w:rPr>
            </w:pPr>
            <w:r>
              <w:rPr>
                <w:rFonts w:ascii="Times New Roman" w:hAnsi="Times New Roman"/>
                <w:b/>
                <w:sz w:val="20"/>
              </w:rPr>
              <w:t xml:space="preserve">Weighted average exercise price </w:t>
            </w:r>
          </w:p>
        </w:tc>
        <w:tc>
          <w:tcPr>
            <w:tcW w:w="160" w:type="dxa"/>
            <w:tcBorders/>
            <w:vAlign w:val="bottom"/>
          </w:tcPr>
          <w:p>
            <w:pPr>
              <w:pStyle w:val="TableContents"/>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beginning of year </w:t>
            </w:r>
          </w:p>
        </w:tc>
        <w:tc>
          <w:tcPr>
            <w:tcW w:w="141" w:type="dxa"/>
            <w:tcBorders/>
            <w:shd w:fill="CCEEFF" w:val="clear"/>
            <w:vAlign w:val="bottom"/>
          </w:tcPr>
          <w:p>
            <w:pPr>
              <w:pStyle w:val="TableContents"/>
              <w:pBdr/>
              <w:bidi w:val="0"/>
              <w:spacing w:before="0" w:after="0"/>
              <w:ind w:left="0" w:right="0" w:hanging="0"/>
              <w:jc w:val="left"/>
              <w:rPr/>
            </w:pPr>
            <w:r>
              <w:rPr/>
              <w:t xml:space="preserve">  </w:t>
            </w:r>
          </w:p>
        </w:tc>
        <w:tc>
          <w:tcPr>
            <w:tcW w:w="291" w:type="dxa"/>
            <w:tcBorders/>
            <w:shd w:fill="CCEEFF" w:val="clear"/>
            <w:vAlign w:val="bottom"/>
          </w:tcPr>
          <w:p>
            <w:pPr>
              <w:pStyle w:val="TableContents"/>
              <w:bidi w:val="0"/>
              <w:spacing w:before="0" w:after="0"/>
              <w:ind w:left="0" w:right="0" w:hanging="0"/>
              <w:jc w:val="left"/>
              <w:rPr/>
            </w:pPr>
            <w:r>
              <w:rPr/>
              <w:t xml:space="preserve">  </w:t>
            </w:r>
          </w:p>
        </w:tc>
        <w:tc>
          <w:tcPr>
            <w:tcW w:w="153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19,716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6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35.33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141" w:type="dxa"/>
            <w:tcBorders/>
            <w:vAlign w:val="bottom"/>
          </w:tcPr>
          <w:p>
            <w:pPr>
              <w:pStyle w:val="TableContents"/>
              <w:pBdr/>
              <w:bidi w:val="0"/>
              <w:spacing w:before="0" w:after="0"/>
              <w:ind w:left="0" w:right="0" w:hanging="0"/>
              <w:jc w:val="left"/>
              <w:rPr/>
            </w:pPr>
            <w:r>
              <w:rPr/>
              <w:t xml:space="preserve">  </w:t>
            </w:r>
          </w:p>
        </w:tc>
        <w:tc>
          <w:tcPr>
            <w:tcW w:w="291" w:type="dxa"/>
            <w:tcBorders/>
            <w:vAlign w:val="bottom"/>
          </w:tcPr>
          <w:p>
            <w:pPr>
              <w:pStyle w:val="TableContents"/>
              <w:bidi w:val="0"/>
              <w:spacing w:before="0" w:after="0"/>
              <w:ind w:left="0" w:right="0" w:hanging="0"/>
              <w:jc w:val="left"/>
              <w:rPr/>
            </w:pPr>
            <w:r>
              <w:rPr/>
              <w:t xml:space="preserve">  </w:t>
            </w:r>
          </w:p>
        </w:tc>
        <w:tc>
          <w:tcPr>
            <w:tcW w:w="1539" w:type="dxa"/>
            <w:tcBorders/>
            <w:vAlign w:val="bottom"/>
          </w:tcPr>
          <w:p>
            <w:pPr>
              <w:pStyle w:val="TableContents"/>
              <w:pBdr/>
              <w:bidi w:val="0"/>
              <w:spacing w:before="0" w:after="0"/>
              <w:ind w:left="0" w:right="0" w:hanging="0"/>
              <w:jc w:val="righ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682" w:type="dxa"/>
            <w:tcBorders/>
            <w:vAlign w:val="bottom"/>
          </w:tcPr>
          <w:p>
            <w:pPr>
              <w:pStyle w:val="TableContents"/>
              <w:pBdr/>
              <w:bidi w:val="0"/>
              <w:spacing w:before="0" w:after="0"/>
              <w:ind w:left="0" w:right="0" w:hanging="0"/>
              <w:jc w:val="left"/>
              <w:rPr/>
            </w:pPr>
            <w:r>
              <w:rPr/>
              <w:t xml:space="preserve">  </w:t>
            </w:r>
          </w:p>
        </w:tc>
        <w:tc>
          <w:tcPr>
            <w:tcW w:w="2654" w:type="dxa"/>
            <w:tcBorders/>
            <w:vAlign w:val="bottom"/>
          </w:tcPr>
          <w:p>
            <w:pPr>
              <w:pStyle w:val="TableContents"/>
              <w:pBdr/>
              <w:bidi w:val="0"/>
              <w:spacing w:before="0" w:after="0"/>
              <w:ind w:left="0" w:right="0" w:hanging="0"/>
              <w:jc w:val="right"/>
              <w:rPr/>
            </w:pPr>
            <w:r>
              <w:rPr/>
              <w:t>—</w:t>
            </w:r>
          </w:p>
        </w:tc>
        <w:tc>
          <w:tcPr>
            <w:tcW w:w="160" w:type="dxa"/>
            <w:tcBorders/>
            <w:vAlign w:val="bottom"/>
          </w:tcPr>
          <w:p>
            <w:pPr>
              <w:pStyle w:val="TableContents"/>
              <w:pBdr/>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w:t>
            </w:r>
          </w:p>
        </w:tc>
        <w:tc>
          <w:tcPr>
            <w:tcW w:w="141" w:type="dxa"/>
            <w:tcBorders/>
            <w:shd w:fill="CCEEFF" w:val="clear"/>
            <w:vAlign w:val="bottom"/>
          </w:tcPr>
          <w:p>
            <w:pPr>
              <w:pStyle w:val="TableContents"/>
              <w:pBdr/>
              <w:bidi w:val="0"/>
              <w:spacing w:before="0" w:after="0"/>
              <w:ind w:left="0" w:right="0" w:hanging="0"/>
              <w:jc w:val="left"/>
              <w:rPr/>
            </w:pPr>
            <w:r>
              <w:rPr/>
              <w:t xml:space="preserve">  </w:t>
            </w:r>
          </w:p>
        </w:tc>
        <w:tc>
          <w:tcPr>
            <w:tcW w:w="291" w:type="dxa"/>
            <w:tcBorders/>
            <w:shd w:fill="CCEEFF" w:val="clear"/>
            <w:vAlign w:val="bottom"/>
          </w:tcPr>
          <w:p>
            <w:pPr>
              <w:pStyle w:val="TableContents"/>
              <w:bidi w:val="0"/>
              <w:spacing w:before="0" w:after="0"/>
              <w:ind w:left="0" w:right="0" w:hanging="0"/>
              <w:jc w:val="left"/>
              <w:rPr/>
            </w:pPr>
            <w:r>
              <w:rPr/>
              <w:t xml:space="preserve">  </w:t>
            </w:r>
          </w:p>
        </w:tc>
        <w:tc>
          <w:tcPr>
            <w:tcW w:w="1539"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682" w:type="dxa"/>
            <w:tcBorders/>
            <w:shd w:fill="CCEEFF" w:val="clear"/>
            <w:vAlign w:val="bottom"/>
          </w:tcPr>
          <w:p>
            <w:pPr>
              <w:pStyle w:val="TableContents"/>
              <w:pBdr/>
              <w:bidi w:val="0"/>
              <w:spacing w:before="0" w:after="0"/>
              <w:ind w:left="0" w:right="0" w:hanging="0"/>
              <w:jc w:val="left"/>
              <w:rPr/>
            </w:pPr>
            <w:r>
              <w:rPr/>
              <w:t xml:space="preserve">  </w:t>
            </w:r>
          </w:p>
        </w:tc>
        <w:tc>
          <w:tcPr>
            <w:tcW w:w="2654" w:type="dxa"/>
            <w:tcBorders/>
            <w:shd w:fill="CCEEFF" w:val="clear"/>
            <w:vAlign w:val="bottom"/>
          </w:tcPr>
          <w:p>
            <w:pPr>
              <w:pStyle w:val="TableContents"/>
              <w:pBdr/>
              <w:bidi w:val="0"/>
              <w:spacing w:before="0" w:after="0"/>
              <w:ind w:left="0" w:right="0" w:hanging="0"/>
              <w:jc w:val="left"/>
              <w:rPr/>
            </w:pPr>
            <w:r>
              <w:rPr/>
              <w:t xml:space="preserve">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Canceled or expired </w:t>
            </w:r>
          </w:p>
        </w:tc>
        <w:tc>
          <w:tcPr>
            <w:tcW w:w="141" w:type="dxa"/>
            <w:tcBorders/>
            <w:vAlign w:val="bottom"/>
          </w:tcPr>
          <w:p>
            <w:pPr>
              <w:pStyle w:val="TableContents"/>
              <w:pBdr/>
              <w:bidi w:val="0"/>
              <w:spacing w:before="0" w:after="0"/>
              <w:ind w:left="0" w:right="0" w:hanging="0"/>
              <w:jc w:val="left"/>
              <w:rPr/>
            </w:pPr>
            <w:r>
              <w:rPr/>
              <w:t xml:space="preserve">  </w:t>
            </w:r>
          </w:p>
        </w:tc>
        <w:tc>
          <w:tcPr>
            <w:tcW w:w="291" w:type="dxa"/>
            <w:tcBorders/>
            <w:vAlign w:val="bottom"/>
          </w:tcPr>
          <w:p>
            <w:pPr>
              <w:pStyle w:val="TableContents"/>
              <w:bidi w:val="0"/>
              <w:spacing w:before="0" w:after="0"/>
              <w:ind w:left="0" w:right="0" w:hanging="0"/>
              <w:jc w:val="left"/>
              <w:rPr/>
            </w:pPr>
            <w:r>
              <w:rPr/>
              <w:t xml:space="preserve">  </w:t>
            </w:r>
          </w:p>
        </w:tc>
        <w:tc>
          <w:tcPr>
            <w:tcW w:w="153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14,382</w:t>
            </w:r>
          </w:p>
        </w:tc>
        <w:tc>
          <w:tcPr>
            <w:tcW w:w="142" w:type="dxa"/>
            <w:tcBorders/>
            <w:vAlign w:val="bottom"/>
          </w:tcPr>
          <w:p>
            <w:pPr>
              <w:pStyle w:val="TableContents"/>
              <w:bidi w:val="0"/>
              <w:spacing w:before="0" w:after="283"/>
              <w:ind w:left="0" w:right="0" w:hanging="0"/>
              <w:jc w:val="left"/>
              <w:rPr>
                <w:sz w:val="4"/>
                <w:szCs w:val="4"/>
              </w:rPr>
            </w:pPr>
            <w:r>
              <w:rPr>
                <w:sz w:val="4"/>
                <w:szCs w:val="4"/>
              </w:rPr>
            </w:r>
          </w:p>
        </w:tc>
        <w:tc>
          <w:tcPr>
            <w:tcW w:w="142" w:type="dxa"/>
            <w:tcBorders/>
            <w:vAlign w:val="bottom"/>
          </w:tcPr>
          <w:p>
            <w:pPr>
              <w:pStyle w:val="TableContents"/>
              <w:pBdr/>
              <w:bidi w:val="0"/>
              <w:spacing w:before="0" w:after="0"/>
              <w:ind w:left="0" w:right="0" w:hanging="0"/>
              <w:jc w:val="left"/>
              <w:rPr/>
            </w:pPr>
            <w:r>
              <w:rPr/>
              <w:t xml:space="preserve">  </w:t>
            </w:r>
          </w:p>
        </w:tc>
        <w:tc>
          <w:tcPr>
            <w:tcW w:w="682" w:type="dxa"/>
            <w:tcBorders/>
            <w:vAlign w:val="bottom"/>
          </w:tcPr>
          <w:p>
            <w:pPr>
              <w:pStyle w:val="TableContents"/>
              <w:pBdr/>
              <w:bidi w:val="0"/>
              <w:spacing w:before="0" w:after="0"/>
              <w:ind w:left="0" w:right="0" w:hanging="0"/>
              <w:jc w:val="left"/>
              <w:rPr/>
            </w:pPr>
            <w:r>
              <w:rPr/>
              <w:t xml:space="preserve">  </w:t>
            </w:r>
          </w:p>
        </w:tc>
        <w:tc>
          <w:tcPr>
            <w:tcW w:w="265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12.58 </w:t>
            </w:r>
          </w:p>
        </w:tc>
        <w:tc>
          <w:tcPr>
            <w:tcW w:w="160" w:type="dxa"/>
            <w:tcBorders/>
            <w:vAlign w:val="bottom"/>
          </w:tcPr>
          <w:p>
            <w:pPr>
              <w:pStyle w:val="TableContents"/>
              <w:pBdr/>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Options outstanding at </w:t>
            </w:r>
            <w:bookmarkStart w:id="198" w:name="fs_IAE5M66CHS00000000000000000000FM"/>
            <w:bookmarkEnd w:id="198"/>
            <w:r>
              <w:rPr>
                <w:rFonts w:ascii="Times New Roman" w:hAnsi="Times New Roman"/>
                <w:b/>
                <w:sz w:val="20"/>
              </w:rPr>
              <w:t xml:space="preserve">March 31, 2026 </w:t>
            </w:r>
          </w:p>
        </w:tc>
        <w:tc>
          <w:tcPr>
            <w:tcW w:w="141" w:type="dxa"/>
            <w:tcBorders/>
            <w:shd w:fill="CCEEFF" w:val="clear"/>
            <w:vAlign w:val="bottom"/>
          </w:tcPr>
          <w:p>
            <w:pPr>
              <w:pStyle w:val="TableContents"/>
              <w:pBdr/>
              <w:bidi w:val="0"/>
              <w:spacing w:before="0" w:after="0"/>
              <w:ind w:left="0" w:right="0" w:hanging="0"/>
              <w:jc w:val="left"/>
              <w:rPr/>
            </w:pPr>
            <w:r>
              <w:rPr/>
              <w:t xml:space="preserve">  </w:t>
            </w:r>
          </w:p>
        </w:tc>
        <w:tc>
          <w:tcPr>
            <w:tcW w:w="291" w:type="dxa"/>
            <w:tcBorders/>
            <w:shd w:fill="CCEEFF" w:val="clear"/>
            <w:vAlign w:val="bottom"/>
          </w:tcPr>
          <w:p>
            <w:pPr>
              <w:pStyle w:val="TableContents"/>
              <w:bidi w:val="0"/>
              <w:spacing w:before="0" w:after="0"/>
              <w:ind w:left="0" w:right="0" w:hanging="0"/>
              <w:jc w:val="left"/>
              <w:rPr/>
            </w:pPr>
            <w:r>
              <w:rPr/>
              <w:t xml:space="preserve">  </w:t>
            </w:r>
          </w:p>
        </w:tc>
        <w:tc>
          <w:tcPr>
            <w:tcW w:w="153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5,334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682" w:type="dxa"/>
            <w:tcBorders/>
            <w:shd w:fill="CCEEFF" w:val="clear"/>
            <w:vAlign w:val="bottom"/>
          </w:tcPr>
          <w:p>
            <w:pPr>
              <w:pStyle w:val="TableContents"/>
              <w:pBdr/>
              <w:bidi w:val="0"/>
              <w:spacing w:before="0" w:after="0"/>
              <w:ind w:left="0" w:right="0" w:hanging="0"/>
              <w:jc w:val="left"/>
              <w:rPr/>
            </w:pPr>
            <w:r>
              <w:rPr/>
              <w:t xml:space="preserve">  </w:t>
            </w:r>
          </w:p>
        </w:tc>
        <w:tc>
          <w:tcPr>
            <w:tcW w:w="26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96.60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exercisable at end of </w:t>
            </w:r>
            <w:bookmarkStart w:id="199" w:name="fs_KP15R479VK00000000000000000000FM"/>
            <w:bookmarkEnd w:id="199"/>
            <w:r>
              <w:rPr>
                <w:rFonts w:ascii="Times New Roman" w:hAnsi="Times New Roman"/>
                <w:sz w:val="20"/>
              </w:rPr>
              <w:t xml:space="preserve">March 31, 2026 </w:t>
            </w:r>
          </w:p>
        </w:tc>
        <w:tc>
          <w:tcPr>
            <w:tcW w:w="141" w:type="dxa"/>
            <w:tcBorders/>
            <w:vAlign w:val="bottom"/>
          </w:tcPr>
          <w:p>
            <w:pPr>
              <w:pStyle w:val="TableContents"/>
              <w:pBdr/>
              <w:bidi w:val="0"/>
              <w:spacing w:before="0" w:after="0"/>
              <w:ind w:left="0" w:right="0" w:hanging="0"/>
              <w:jc w:val="left"/>
              <w:rPr/>
            </w:pPr>
            <w:r>
              <w:rPr/>
              <w:t xml:space="preserve">  </w:t>
            </w:r>
          </w:p>
        </w:tc>
        <w:tc>
          <w:tcPr>
            <w:tcW w:w="291" w:type="dxa"/>
            <w:tcBorders/>
            <w:vAlign w:val="bottom"/>
          </w:tcPr>
          <w:p>
            <w:pPr>
              <w:pStyle w:val="TableContents"/>
              <w:bidi w:val="0"/>
              <w:spacing w:before="0" w:after="0"/>
              <w:ind w:left="0" w:right="0" w:hanging="0"/>
              <w:jc w:val="left"/>
              <w:rPr/>
            </w:pPr>
            <w:r>
              <w:rPr/>
              <w:t xml:space="preserve">  </w:t>
            </w:r>
          </w:p>
        </w:tc>
        <w:tc>
          <w:tcPr>
            <w:tcW w:w="153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5,334</w:t>
            </w:r>
          </w:p>
        </w:tc>
        <w:tc>
          <w:tcPr>
            <w:tcW w:w="142" w:type="dxa"/>
            <w:tcBorders/>
            <w:vAlign w:val="bottom"/>
          </w:tcPr>
          <w:p>
            <w:pPr>
              <w:pStyle w:val="TableContents"/>
              <w:bidi w:val="0"/>
              <w:spacing w:before="0" w:after="283"/>
              <w:ind w:left="0" w:right="0" w:hanging="0"/>
              <w:jc w:val="left"/>
              <w:rPr>
                <w:sz w:val="4"/>
                <w:szCs w:val="4"/>
              </w:rPr>
            </w:pPr>
            <w:r>
              <w:rPr>
                <w:sz w:val="4"/>
                <w:szCs w:val="4"/>
              </w:rPr>
            </w:r>
          </w:p>
        </w:tc>
        <w:tc>
          <w:tcPr>
            <w:tcW w:w="142" w:type="dxa"/>
            <w:tcBorders/>
            <w:vAlign w:val="bottom"/>
          </w:tcPr>
          <w:p>
            <w:pPr>
              <w:pStyle w:val="TableContents"/>
              <w:pBdr/>
              <w:bidi w:val="0"/>
              <w:spacing w:before="0" w:after="0"/>
              <w:ind w:left="0" w:right="0" w:hanging="0"/>
              <w:jc w:val="left"/>
              <w:rPr/>
            </w:pPr>
            <w:r>
              <w:rPr/>
              <w:t xml:space="preserve">  </w:t>
            </w:r>
          </w:p>
        </w:tc>
        <w:tc>
          <w:tcPr>
            <w:tcW w:w="682"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65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96.60 </w:t>
            </w:r>
          </w:p>
        </w:tc>
        <w:tc>
          <w:tcPr>
            <w:tcW w:w="160" w:type="dxa"/>
            <w:tcBorders/>
            <w:vAlign w:val="bottom"/>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200" w:name="fs_WFRRH67BLC00000000000000000000FM"/>
      <w:bookmarkEnd w:id="200"/>
      <w:r>
        <w:rPr>
          <w:rFonts w:ascii="times new roman;times" w:hAnsi="times new roman;times"/>
          <w:sz w:val="20"/>
        </w:rPr>
        <w:t xml:space="preserve">March 31, 2026, </w:t>
      </w:r>
      <w:r>
        <w:rPr>
          <w:rFonts w:ascii="Times New Roman" w:hAnsi="Times New Roman"/>
          <w:sz w:val="20"/>
        </w:rPr>
        <w:t>the total remaining unrecognized compensation cost related to non-vested stock options, net of forfeitures, was $0.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Share based compensation expense has been recorded as follows: </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106"/>
        <w:gridCol w:w="208"/>
        <w:gridCol w:w="648"/>
        <w:gridCol w:w="1222"/>
        <w:gridCol w:w="458"/>
        <w:gridCol w:w="458"/>
        <w:gridCol w:w="648"/>
        <w:gridCol w:w="1222"/>
        <w:gridCol w:w="235"/>
      </w:tblGrid>
      <w:tr>
        <w:trPr/>
        <w:tc>
          <w:tcPr>
            <w:tcW w:w="5106"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4656" w:type="dxa"/>
            <w:gridSpan w:val="6"/>
            <w:tcBorders/>
            <w:vAlign w:val="bottom"/>
          </w:tcPr>
          <w:p>
            <w:pPr>
              <w:pStyle w:val="TableContents"/>
              <w:pBdr/>
              <w:bidi w:val="0"/>
              <w:spacing w:before="0" w:after="0"/>
              <w:ind w:left="0" w:right="0" w:hanging="0"/>
              <w:jc w:val="center"/>
              <w:rPr>
                <w:rFonts w:ascii="Times New Roman" w:hAnsi="Times New Roman"/>
                <w:b/>
                <w:sz w:val="20"/>
              </w:rPr>
            </w:pPr>
            <w:bookmarkStart w:id="201" w:name="fs_TFYKBO3QIO00000000000000000000FM"/>
            <w:bookmarkEnd w:id="201"/>
            <w:r>
              <w:rPr>
                <w:rFonts w:ascii="Times New Roman" w:hAnsi="Times New Roman"/>
                <w:b/>
                <w:sz w:val="20"/>
              </w:rPr>
              <w:t xml:space="preserve">Three months ended March 31, </w:t>
            </w:r>
          </w:p>
        </w:tc>
        <w:tc>
          <w:tcPr>
            <w:tcW w:w="235" w:type="dxa"/>
            <w:tcBorders/>
            <w:vAlign w:val="bottom"/>
          </w:tcPr>
          <w:p>
            <w:pPr>
              <w:pStyle w:val="TableContents"/>
              <w:pBdr/>
              <w:bidi w:val="0"/>
              <w:spacing w:before="0" w:after="0"/>
              <w:ind w:left="0" w:right="0" w:hanging="0"/>
              <w:jc w:val="left"/>
              <w:rPr/>
            </w:pPr>
            <w:r>
              <w:rPr/>
              <w:t xml:space="preserve">  </w:t>
            </w:r>
          </w:p>
        </w:tc>
      </w:tr>
      <w:tr>
        <w:trPr/>
        <w:tc>
          <w:tcPr>
            <w:tcW w:w="5106"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1870"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02" w:name="fs_VKWCKGDRKW00000000000000000000fs"/>
            <w:bookmarkEnd w:id="202"/>
            <w:r>
              <w:rPr>
                <w:rFonts w:ascii="Times New Roman" w:hAnsi="Times New Roman"/>
                <w:b/>
                <w:sz w:val="20"/>
              </w:rPr>
              <w:t xml:space="preserve">2026 </w:t>
            </w:r>
          </w:p>
        </w:tc>
        <w:tc>
          <w:tcPr>
            <w:tcW w:w="458" w:type="dxa"/>
            <w:tcBorders/>
            <w:vAlign w:val="bottom"/>
          </w:tcPr>
          <w:p>
            <w:pPr>
              <w:pStyle w:val="TableContents"/>
              <w:pBdr/>
              <w:bidi w:val="0"/>
              <w:spacing w:before="0" w:after="0"/>
              <w:ind w:left="0" w:right="0" w:hanging="0"/>
              <w:jc w:val="left"/>
              <w:rPr/>
            </w:pPr>
            <w:r>
              <w:rPr/>
              <w:t xml:space="preserve">  </w:t>
            </w:r>
          </w:p>
        </w:tc>
        <w:tc>
          <w:tcPr>
            <w:tcW w:w="458" w:type="dxa"/>
            <w:tcBorders/>
            <w:vAlign w:val="bottom"/>
          </w:tcPr>
          <w:p>
            <w:pPr>
              <w:pStyle w:val="TableContents"/>
              <w:pBdr/>
              <w:bidi w:val="0"/>
              <w:spacing w:before="0" w:after="0"/>
              <w:ind w:left="0" w:right="0" w:hanging="0"/>
              <w:jc w:val="left"/>
              <w:rPr/>
            </w:pPr>
            <w:r>
              <w:rPr/>
              <w:t xml:space="preserve">  </w:t>
            </w:r>
          </w:p>
        </w:tc>
        <w:tc>
          <w:tcPr>
            <w:tcW w:w="1870"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03" w:name="fs_V6FSZIKM0G00000000000000000000fs"/>
            <w:bookmarkEnd w:id="203"/>
            <w:r>
              <w:rPr>
                <w:rFonts w:ascii="Times New Roman" w:hAnsi="Times New Roman"/>
                <w:b/>
                <w:sz w:val="20"/>
              </w:rPr>
              <w:t xml:space="preserve">2025 </w:t>
            </w:r>
          </w:p>
        </w:tc>
        <w:tc>
          <w:tcPr>
            <w:tcW w:w="235" w:type="dxa"/>
            <w:tcBorders/>
            <w:vAlign w:val="bottom"/>
          </w:tcPr>
          <w:p>
            <w:pPr>
              <w:pStyle w:val="TableContents"/>
              <w:pBdr/>
              <w:bidi w:val="0"/>
              <w:spacing w:before="0" w:after="0"/>
              <w:ind w:left="0" w:right="0" w:hanging="0"/>
              <w:jc w:val="left"/>
              <w:rPr/>
            </w:pPr>
            <w:r>
              <w:rPr/>
              <w:t xml:space="preserve">  </w:t>
            </w:r>
          </w:p>
        </w:tc>
      </w:tr>
      <w:tr>
        <w:trPr/>
        <w:tc>
          <w:tcPr>
            <w:tcW w:w="5106" w:type="dxa"/>
            <w:tcBorders/>
            <w:shd w:fill="CCEEFF" w:val="clear"/>
            <w:vAlign w:val="bottom"/>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 xml:space="preserve">Cost of goods sold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22" w:type="dxa"/>
            <w:tcBorders/>
            <w:shd w:fill="CCEEFF" w:val="clear"/>
            <w:vAlign w:val="bottom"/>
          </w:tcPr>
          <w:p>
            <w:pPr>
              <w:pStyle w:val="TableContents"/>
              <w:pBdr/>
              <w:bidi w:val="0"/>
              <w:spacing w:before="0" w:after="0"/>
              <w:ind w:left="0" w:right="0" w:hanging="0"/>
              <w:jc w:val="righ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22" w:type="dxa"/>
            <w:tcBorders/>
            <w:shd w:fill="CCEEFF" w:val="clear"/>
            <w:vAlign w:val="bottom"/>
          </w:tcPr>
          <w:p>
            <w:pPr>
              <w:pStyle w:val="TableContents"/>
              <w:pBdr/>
              <w:bidi w:val="0"/>
              <w:spacing w:before="0" w:after="0"/>
              <w:ind w:left="0" w:right="0" w:hanging="0"/>
              <w:jc w:val="right"/>
              <w:rPr/>
            </w:pPr>
            <w:r>
              <w:rPr/>
              <w:t xml:space="preserve">— </w:t>
            </w:r>
          </w:p>
        </w:tc>
        <w:tc>
          <w:tcPr>
            <w:tcW w:w="235" w:type="dxa"/>
            <w:tcBorders/>
            <w:shd w:fill="CCEEFF" w:val="clear"/>
            <w:vAlign w:val="bottom"/>
          </w:tcPr>
          <w:p>
            <w:pPr>
              <w:pStyle w:val="TableContents"/>
              <w:pBdr/>
              <w:bidi w:val="0"/>
              <w:spacing w:before="0" w:after="0"/>
              <w:ind w:left="0" w:right="0" w:hanging="0"/>
              <w:jc w:val="left"/>
              <w:rPr/>
            </w:pPr>
            <w:r>
              <w:rPr/>
              <w:t xml:space="preserve">  </w:t>
            </w:r>
          </w:p>
        </w:tc>
      </w:tr>
      <w:tr>
        <w:trPr/>
        <w:tc>
          <w:tcPr>
            <w:tcW w:w="510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208" w:type="dxa"/>
            <w:tcBorders/>
            <w:vAlign w:val="bottom"/>
          </w:tcPr>
          <w:p>
            <w:pPr>
              <w:pStyle w:val="TableContents"/>
              <w:pBdr/>
              <w:bidi w:val="0"/>
              <w:spacing w:before="0" w:after="0"/>
              <w:ind w:left="0" w:right="0" w:hanging="0"/>
              <w:jc w:val="left"/>
              <w:rPr/>
            </w:pPr>
            <w:r>
              <w:rPr/>
              <w:t xml:space="preserve">  </w:t>
            </w:r>
          </w:p>
        </w:tc>
        <w:tc>
          <w:tcPr>
            <w:tcW w:w="648" w:type="dxa"/>
            <w:tcBorders/>
            <w:vAlign w:val="bottom"/>
          </w:tcPr>
          <w:p>
            <w:pPr>
              <w:pStyle w:val="TableContents"/>
              <w:pBdr/>
              <w:bidi w:val="0"/>
              <w:spacing w:before="0" w:after="0"/>
              <w:ind w:left="0" w:right="0" w:hanging="0"/>
              <w:jc w:val="left"/>
              <w:rPr/>
            </w:pPr>
            <w:r>
              <w:rPr/>
              <w:t xml:space="preserve">  </w:t>
            </w:r>
          </w:p>
        </w:tc>
        <w:tc>
          <w:tcPr>
            <w:tcW w:w="1222" w:type="dxa"/>
            <w:tcBorders/>
            <w:vAlign w:val="bottom"/>
          </w:tcPr>
          <w:p>
            <w:pPr>
              <w:pStyle w:val="TableContents"/>
              <w:pBdr/>
              <w:bidi w:val="0"/>
              <w:spacing w:before="0" w:after="0"/>
              <w:ind w:left="0" w:right="0" w:hanging="0"/>
              <w:jc w:val="right"/>
              <w:rPr/>
            </w:pPr>
            <w:r>
              <w:rPr/>
              <w:t>—</w:t>
            </w:r>
          </w:p>
        </w:tc>
        <w:tc>
          <w:tcPr>
            <w:tcW w:w="458" w:type="dxa"/>
            <w:tcBorders/>
            <w:vAlign w:val="bottom"/>
          </w:tcPr>
          <w:p>
            <w:pPr>
              <w:pStyle w:val="TableContents"/>
              <w:bidi w:val="0"/>
              <w:spacing w:before="0" w:after="283"/>
              <w:ind w:left="0" w:right="0" w:hanging="0"/>
              <w:jc w:val="left"/>
              <w:rPr>
                <w:sz w:val="4"/>
                <w:szCs w:val="4"/>
              </w:rPr>
            </w:pPr>
            <w:r>
              <w:rPr>
                <w:sz w:val="4"/>
                <w:szCs w:val="4"/>
              </w:rPr>
            </w:r>
          </w:p>
        </w:tc>
        <w:tc>
          <w:tcPr>
            <w:tcW w:w="458" w:type="dxa"/>
            <w:tcBorders/>
            <w:vAlign w:val="bottom"/>
          </w:tcPr>
          <w:p>
            <w:pPr>
              <w:pStyle w:val="TableContents"/>
              <w:pBdr/>
              <w:bidi w:val="0"/>
              <w:spacing w:before="0" w:after="0"/>
              <w:ind w:left="0" w:right="0" w:hanging="0"/>
              <w:jc w:val="left"/>
              <w:rPr/>
            </w:pPr>
            <w:r>
              <w:rPr/>
              <w:t xml:space="preserve">  </w:t>
            </w:r>
          </w:p>
        </w:tc>
        <w:tc>
          <w:tcPr>
            <w:tcW w:w="648" w:type="dxa"/>
            <w:tcBorders/>
            <w:vAlign w:val="bottom"/>
          </w:tcPr>
          <w:p>
            <w:pPr>
              <w:pStyle w:val="TableContents"/>
              <w:pBdr/>
              <w:bidi w:val="0"/>
              <w:spacing w:before="0" w:after="0"/>
              <w:ind w:left="0" w:right="0" w:hanging="0"/>
              <w:jc w:val="left"/>
              <w:rPr/>
            </w:pPr>
            <w:r>
              <w:rPr/>
              <w:t xml:space="preserve">  </w:t>
            </w:r>
          </w:p>
        </w:tc>
        <w:tc>
          <w:tcPr>
            <w:tcW w:w="122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235" w:type="dxa"/>
            <w:tcBorders/>
            <w:vAlign w:val="bottom"/>
          </w:tcPr>
          <w:p>
            <w:pPr>
              <w:pStyle w:val="TableContents"/>
              <w:pBdr/>
              <w:bidi w:val="0"/>
              <w:spacing w:before="0" w:after="0"/>
              <w:ind w:left="0" w:right="0" w:hanging="0"/>
              <w:jc w:val="left"/>
              <w:rPr/>
            </w:pPr>
            <w:r>
              <w:rPr/>
              <w:t xml:space="preserve">  </w:t>
            </w:r>
          </w:p>
        </w:tc>
      </w:tr>
      <w:tr>
        <w:trPr/>
        <w:tc>
          <w:tcPr>
            <w:tcW w:w="510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pPr>
            <w:r>
              <w:rPr/>
              <w:t xml:space="preserve">  </w:t>
            </w:r>
          </w:p>
        </w:tc>
        <w:tc>
          <w:tcPr>
            <w:tcW w:w="1222" w:type="dxa"/>
            <w:tcBorders/>
            <w:shd w:fill="CCEEFF" w:val="clear"/>
            <w:vAlign w:val="bottom"/>
          </w:tcPr>
          <w:p>
            <w:pPr>
              <w:pStyle w:val="TableContents"/>
              <w:pBdr/>
              <w:bidi w:val="0"/>
              <w:spacing w:before="0" w:after="0"/>
              <w:ind w:left="0" w:right="0" w:hanging="0"/>
              <w:jc w:val="righ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pPr>
            <w:r>
              <w:rPr/>
              <w:t xml:space="preserve">  </w:t>
            </w:r>
          </w:p>
        </w:tc>
        <w:tc>
          <w:tcPr>
            <w:tcW w:w="122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 </w:t>
            </w:r>
          </w:p>
        </w:tc>
        <w:tc>
          <w:tcPr>
            <w:tcW w:w="235" w:type="dxa"/>
            <w:tcBorders/>
            <w:shd w:fill="CCEEFF" w:val="clear"/>
            <w:vAlign w:val="bottom"/>
          </w:tcPr>
          <w:p>
            <w:pPr>
              <w:pStyle w:val="TableContents"/>
              <w:pBdr/>
              <w:bidi w:val="0"/>
              <w:spacing w:before="0" w:after="0"/>
              <w:ind w:left="0" w:right="0" w:hanging="0"/>
              <w:jc w:val="left"/>
              <w:rPr/>
            </w:pPr>
            <w:r>
              <w:rPr/>
              <w:t xml:space="preserve">  </w:t>
            </w:r>
          </w:p>
        </w:tc>
      </w:tr>
      <w:tr>
        <w:trPr/>
        <w:tc>
          <w:tcPr>
            <w:tcW w:w="510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208" w:type="dxa"/>
            <w:tcBorders/>
            <w:vAlign w:val="bottom"/>
          </w:tcPr>
          <w:p>
            <w:pPr>
              <w:pStyle w:val="TableContents"/>
              <w:pBdr/>
              <w:bidi w:val="0"/>
              <w:spacing w:before="0" w:after="0"/>
              <w:ind w:left="0" w:right="0" w:hanging="0"/>
              <w:jc w:val="left"/>
              <w:rPr/>
            </w:pPr>
            <w:r>
              <w:rPr/>
              <w:t xml:space="preserve">  </w:t>
            </w:r>
          </w:p>
        </w:tc>
        <w:tc>
          <w:tcPr>
            <w:tcW w:w="648" w:type="dxa"/>
            <w:tcBorders/>
            <w:vAlign w:val="bottom"/>
          </w:tcPr>
          <w:p>
            <w:pPr>
              <w:pStyle w:val="TableContents"/>
              <w:pBdr/>
              <w:bidi w:val="0"/>
              <w:spacing w:before="0" w:after="0"/>
              <w:ind w:left="0" w:right="0" w:hanging="0"/>
              <w:jc w:val="left"/>
              <w:rPr/>
            </w:pPr>
            <w:r>
              <w:rPr/>
              <w:t xml:space="preserve">  </w:t>
            </w:r>
          </w:p>
        </w:tc>
        <w:tc>
          <w:tcPr>
            <w:tcW w:w="1222" w:type="dxa"/>
            <w:tcBorders/>
            <w:vAlign w:val="bottom"/>
          </w:tcPr>
          <w:p>
            <w:pPr>
              <w:pStyle w:val="TableContents"/>
              <w:pBdr/>
              <w:bidi w:val="0"/>
              <w:spacing w:before="0" w:after="0"/>
              <w:ind w:left="0" w:right="0" w:hanging="0"/>
              <w:jc w:val="right"/>
              <w:rPr/>
            </w:pPr>
            <w:r>
              <w:rPr/>
              <w:t xml:space="preserve">— </w:t>
            </w:r>
          </w:p>
        </w:tc>
        <w:tc>
          <w:tcPr>
            <w:tcW w:w="458" w:type="dxa"/>
            <w:tcBorders/>
            <w:vAlign w:val="bottom"/>
          </w:tcPr>
          <w:p>
            <w:pPr>
              <w:pStyle w:val="TableContents"/>
              <w:pBdr/>
              <w:bidi w:val="0"/>
              <w:spacing w:before="0" w:after="0"/>
              <w:ind w:left="0" w:right="0" w:hanging="0"/>
              <w:jc w:val="left"/>
              <w:rPr/>
            </w:pPr>
            <w:r>
              <w:rPr/>
              <w:t xml:space="preserve">  </w:t>
            </w:r>
          </w:p>
        </w:tc>
        <w:tc>
          <w:tcPr>
            <w:tcW w:w="458" w:type="dxa"/>
            <w:tcBorders/>
            <w:vAlign w:val="bottom"/>
          </w:tcPr>
          <w:p>
            <w:pPr>
              <w:pStyle w:val="TableContents"/>
              <w:pBdr/>
              <w:bidi w:val="0"/>
              <w:spacing w:before="0" w:after="0"/>
              <w:ind w:left="0" w:right="0" w:hanging="0"/>
              <w:jc w:val="left"/>
              <w:rPr/>
            </w:pPr>
            <w:r>
              <w:rPr/>
              <w:t xml:space="preserve">  </w:t>
            </w:r>
          </w:p>
        </w:tc>
        <w:tc>
          <w:tcPr>
            <w:tcW w:w="648" w:type="dxa"/>
            <w:tcBorders/>
            <w:vAlign w:val="bottom"/>
          </w:tcPr>
          <w:p>
            <w:pPr>
              <w:pStyle w:val="TableContents"/>
              <w:pBdr/>
              <w:bidi w:val="0"/>
              <w:spacing w:before="0" w:after="0"/>
              <w:ind w:left="0" w:right="0" w:hanging="0"/>
              <w:jc w:val="left"/>
              <w:rPr/>
            </w:pPr>
            <w:r>
              <w:rPr/>
              <w:t xml:space="preserve">  </w:t>
            </w:r>
          </w:p>
        </w:tc>
        <w:tc>
          <w:tcPr>
            <w:tcW w:w="122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 </w:t>
            </w:r>
          </w:p>
        </w:tc>
        <w:tc>
          <w:tcPr>
            <w:tcW w:w="235" w:type="dxa"/>
            <w:tcBorders/>
            <w:vAlign w:val="bottom"/>
          </w:tcPr>
          <w:p>
            <w:pPr>
              <w:pStyle w:val="TableContents"/>
              <w:pBdr/>
              <w:bidi w:val="0"/>
              <w:spacing w:before="0" w:after="0"/>
              <w:ind w:left="0" w:right="0" w:hanging="0"/>
              <w:jc w:val="left"/>
              <w:rPr/>
            </w:pPr>
            <w:r>
              <w:rPr/>
              <w:t xml:space="preserve">  </w:t>
            </w:r>
          </w:p>
        </w:tc>
      </w:tr>
      <w:tr>
        <w:trPr/>
        <w:tc>
          <w:tcPr>
            <w:tcW w:w="5106"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22" w:type="dxa"/>
            <w:tcBorders/>
            <w:shd w:fill="CCEEFF" w:val="clear"/>
            <w:vAlign w:val="bottom"/>
          </w:tcPr>
          <w:p>
            <w:pPr>
              <w:pStyle w:val="TableContents"/>
              <w:pBdr/>
              <w:bidi w:val="0"/>
              <w:spacing w:before="0" w:after="0"/>
              <w:ind w:left="0" w:right="0" w:hanging="0"/>
              <w:jc w:val="righ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458" w:type="dxa"/>
            <w:tcBorders/>
            <w:shd w:fill="CCEEFF" w:val="clear"/>
            <w:vAlign w:val="bottom"/>
          </w:tcPr>
          <w:p>
            <w:pPr>
              <w:pStyle w:val="TableContents"/>
              <w:pBdr/>
              <w:bidi w:val="0"/>
              <w:spacing w:before="0" w:after="0"/>
              <w:ind w:left="0" w:right="0" w:hanging="0"/>
              <w:jc w:val="left"/>
              <w:rPr/>
            </w:pPr>
            <w:r>
              <w:rPr/>
              <w:t xml:space="preserve">  </w:t>
            </w:r>
          </w:p>
        </w:tc>
        <w:tc>
          <w:tcPr>
            <w:tcW w:w="64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2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235" w:type="dxa"/>
            <w:tcBorders/>
            <w:shd w:fill="CCEEFF" w:val="clear"/>
            <w:vAlign w:val="bottom"/>
          </w:tcPr>
          <w:p>
            <w:pPr>
              <w:pStyle w:val="TableContents"/>
              <w:pBdr/>
              <w:bidi w:val="0"/>
              <w:spacing w:before="0" w:after="0"/>
              <w:ind w:left="0" w:right="0" w:hanging="0"/>
              <w:jc w:val="left"/>
              <w:rPr/>
            </w:pPr>
            <w:r>
              <w:rPr/>
              <w:t xml:space="preserve">  </w:t>
            </w:r>
          </w:p>
        </w:tc>
      </w:tr>
    </w:tbl>
    <w:p>
      <w:pPr>
        <w:pStyle w:val="TextBody"/>
        <w:bidi w:val="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04" w:name="PageBreakNo18"/>
            <w:bookmarkEnd w:id="204"/>
            <w:r>
              <w:rPr>
                <w:sz w:val="20"/>
              </w:rPr>
              <w:t>18</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13</w:t>
      </w:r>
      <w:r>
        <w:rPr>
          <w:rFonts w:ascii="times new roman;times" w:hAnsi="times new roman;times"/>
          <w:b/>
          <w:sz w:val="20"/>
        </w:rPr>
        <w:t>. Income Taxes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w:t>
      </w:r>
      <w:bookmarkStart w:id="205" w:name="fs_IR5KPDJQMO00000000000000000000FM"/>
      <w:bookmarkEnd w:id="205"/>
      <w:r>
        <w:rPr>
          <w:rFonts w:ascii="times new roman;times" w:hAnsi="times new roman;times"/>
          <w:sz w:val="20"/>
        </w:rPr>
        <w:t>three months ended March 31, 2026 mostly represents income tax expense (benefit) recorded for jurisdictions outside the United States.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Effective July 1, 2007, the Company adopted the accounting standards related to uncertain tax positions. This standard requires that tax positions be assessed using a </w:t>
      </w:r>
      <w:bookmarkStart w:id="206" w:name="fs_6BZRRINLLS00000000000000000000fs"/>
      <w:bookmarkEnd w:id="206"/>
      <w:r>
        <w:rPr>
          <w:rFonts w:ascii="times new roman;times" w:hAnsi="times new roman;times"/>
          <w:sz w:val="20"/>
        </w:rPr>
        <w:t xml:space="preserve">two-step process. A tax position is recognized if it meets a “more likely than not” threshold and is measured at the largest amount of benefit that is greater than </w:t>
      </w:r>
      <w:bookmarkStart w:id="207" w:name="fs_9GWAGOC4E800000000000000000000fs"/>
      <w:bookmarkEnd w:id="207"/>
      <w:r>
        <w:rPr>
          <w:rFonts w:ascii="times new roman;times" w:hAnsi="times new roman;times"/>
          <w:sz w:val="20"/>
        </w:rPr>
        <w:t xml:space="preserve">50 percent likely of being realized. Uncertain tax positions must be reviewed at each balance sheet date. Liabilities recorded as a result of this analysis must generally be recorded separately from any current or deferred income tax accounts.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total amount of unrecognized tax benefits for continuing operations as of March 31, 2026, that would favorably impact our effective tax rate if recognized was $417. As of March 31, 2026, we accrued $80 in interest and penalties related to unrecognized tax benefits. We account for interest expense and penalties for unrecognized tax benefits as part of our income tax provision.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reconciliation of the beginning and ending amount of liabilities associated with uncertain tax positions is as follows: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002"/>
        <w:gridCol w:w="741"/>
        <w:gridCol w:w="2114"/>
        <w:gridCol w:w="348"/>
      </w:tblGrid>
      <w:tr>
        <w:trPr/>
        <w:tc>
          <w:tcPr>
            <w:tcW w:w="700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3203" w:type="dxa"/>
            <w:gridSpan w:val="3"/>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Quarter ended March 31,</w:t>
            </w:r>
          </w:p>
        </w:tc>
      </w:tr>
      <w:tr>
        <w:trPr/>
        <w:tc>
          <w:tcPr>
            <w:tcW w:w="7002" w:type="dxa"/>
            <w:tcBorders/>
            <w:vAlign w:val="bottom"/>
          </w:tcPr>
          <w:p>
            <w:pPr>
              <w:pStyle w:val="TableContents"/>
              <w:bidi w:val="0"/>
              <w:spacing w:before="0" w:after="283"/>
              <w:jc w:val="left"/>
              <w:rPr>
                <w:strike w:val="false"/>
                <w:dstrike w:val="false"/>
                <w:color w:val="000000"/>
                <w:u w:val="none"/>
                <w:effect w:val="none"/>
              </w:rPr>
            </w:pPr>
            <w:r>
              <w:rPr>
                <w:strike w:val="false"/>
                <w:dstrike w:val="false"/>
                <w:color w:val="000000"/>
                <w:u w:val="none"/>
                <w:effect w:val="none"/>
              </w:rPr>
              <w:t> </w:t>
            </w:r>
          </w:p>
        </w:tc>
        <w:tc>
          <w:tcPr>
            <w:tcW w:w="3203" w:type="dxa"/>
            <w:gridSpan w:val="3"/>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208" w:name="fs_PG3S3U090W00000000000000000000fs"/>
            <w:bookmarkEnd w:id="208"/>
            <w:r>
              <w:rPr>
                <w:rFonts w:ascii="times new roman;times" w:hAnsi="times new roman;times"/>
                <w:b/>
                <w:strike w:val="false"/>
                <w:dstrike w:val="false"/>
                <w:color w:val="000000"/>
                <w:sz w:val="20"/>
                <w:u w:val="none"/>
                <w:effect w:val="none"/>
              </w:rPr>
              <w:t>2026</w:t>
            </w:r>
          </w:p>
        </w:tc>
      </w:tr>
      <w:tr>
        <w:trPr/>
        <w:tc>
          <w:tcPr>
            <w:tcW w:w="700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Balance – beginning of year</w:t>
            </w:r>
          </w:p>
        </w:tc>
        <w:tc>
          <w:tcPr>
            <w:tcW w:w="741"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211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1,030</w:t>
            </w:r>
          </w:p>
        </w:tc>
        <w:tc>
          <w:tcPr>
            <w:tcW w:w="348"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r>
        <w:trPr/>
        <w:tc>
          <w:tcPr>
            <w:tcW w:w="700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Additions based on tax positions related to current quarter</w:t>
            </w:r>
          </w:p>
        </w:tc>
        <w:tc>
          <w:tcPr>
            <w:tcW w:w="741"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114" w:type="dxa"/>
            <w:tcBorders/>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348"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r>
        <w:trPr/>
        <w:tc>
          <w:tcPr>
            <w:tcW w:w="700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Reductions for tax positions of prior years</w:t>
            </w:r>
          </w:p>
        </w:tc>
        <w:tc>
          <w:tcPr>
            <w:tcW w:w="741"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11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(61</w:t>
            </w:r>
          </w:p>
        </w:tc>
        <w:tc>
          <w:tcPr>
            <w:tcW w:w="348"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r>
      <w:tr>
        <w:trPr/>
        <w:tc>
          <w:tcPr>
            <w:tcW w:w="700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Lapse in statues of limitations</w:t>
            </w:r>
          </w:p>
        </w:tc>
        <w:tc>
          <w:tcPr>
            <w:tcW w:w="741"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114"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(595</w:t>
            </w:r>
          </w:p>
        </w:tc>
        <w:tc>
          <w:tcPr>
            <w:tcW w:w="348" w:type="dxa"/>
            <w:tcBorders/>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r>
      <w:tr>
        <w:trPr/>
        <w:tc>
          <w:tcPr>
            <w:tcW w:w="700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Uncertain tax positions, ending balance</w:t>
            </w:r>
          </w:p>
        </w:tc>
        <w:tc>
          <w:tcPr>
            <w:tcW w:w="741" w:type="dxa"/>
            <w:tcBorders/>
            <w:shd w:fill="CCEEFF" w:val="clear"/>
            <w:vAlign w:val="bottom"/>
          </w:tcPr>
          <w:p>
            <w:pPr>
              <w:pStyle w:val="TableContents"/>
              <w:widowControl/>
              <w:bidi w:val="0"/>
              <w:spacing w:before="0" w:after="283"/>
              <w:ind w:left="0" w:right="0" w:hanging="0"/>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w:t>
            </w:r>
            <w:r>
              <w:rPr>
                <w:rFonts w:ascii="times new roman;times" w:hAnsi="times new roman;times"/>
                <w:b w:val="false"/>
                <w:strike w:val="false"/>
                <w:dstrike w:val="false"/>
                <w:color w:val="000000"/>
                <w:sz w:val="20"/>
                <w:u w:val="none"/>
                <w:effect w:val="none"/>
              </w:rPr>
              <w:t> </w:t>
            </w:r>
          </w:p>
        </w:tc>
        <w:tc>
          <w:tcPr>
            <w:tcW w:w="211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374</w:t>
            </w:r>
          </w:p>
        </w:tc>
        <w:tc>
          <w:tcPr>
            <w:tcW w:w="348"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 Company’s U.S. federal income tax returns for 2022 through 2025 are subject to examination. The Company also files in various state and foreign jurisdictions. With few exceptions, the Company is no longer subject to federal, state, or non-U.S. income tax examinations by tax authorities for years prior to 2022.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09" w:name="PageBreakNo19"/>
            <w:bookmarkEnd w:id="209"/>
            <w:r>
              <w:rPr>
                <w:sz w:val="20"/>
              </w:rPr>
              <w:t>19</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14. </w:t>
      </w:r>
      <w:r>
        <w:rPr>
          <w:rFonts w:ascii="Times New Roman;serif" w:hAnsi="Times New Roman;serif"/>
          <w:b/>
          <w:sz w:val="20"/>
        </w:rPr>
        <w:t>Operating Segment</w:t>
      </w:r>
      <w:r>
        <w:rPr>
          <w:rFonts w:ascii="times new roman;times" w:hAnsi="times new roman;times"/>
          <w:b/>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15. Subsequent Events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i/>
          <w:caps w:val="false"/>
          <w:smallCaps w:val="false"/>
          <w:spacing w:val="0"/>
          <w:sz w:val="20"/>
        </w:rPr>
      </w:pPr>
      <w:r>
        <w:rPr>
          <w:rFonts w:ascii="times new roman;times" w:hAnsi="times new roman;times"/>
          <w:b w:val="false"/>
          <w:i/>
          <w:caps w:val="false"/>
          <w:smallCaps w:val="false"/>
          <w:spacing w:val="0"/>
          <w:sz w:val="20"/>
        </w:rPr>
        <w:t>April 1, 2026 – CEO Transition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The Company entered into a letter agreement with Derek L. Graham to provide for his continued service as Chief Executive Officer on a transitional consulting basis following the expiration of his employment agreement on March 31, 2026. Under the agreement, Mr. Graham provides consulting services for up to ten hours per week at a rate of $160 per hour while continuing to perform all functions of the CEO. The agreement has no fixed term and may be terminated by either party at any time.</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caps w:val="false"/>
          <w:smallCaps w:val="false"/>
          <w:spacing w:val="0"/>
          <w:sz w:val="20"/>
        </w:rPr>
      </w:pPr>
      <w:r>
        <w:rPr>
          <w:rFonts w:ascii="times new roman;times" w:hAnsi="times new roman;times"/>
          <w:b w:val="false"/>
          <w:i/>
          <w:caps w:val="false"/>
          <w:smallCaps w:val="false"/>
          <w:spacing w:val="0"/>
          <w:sz w:val="20"/>
        </w:rPr>
        <w:t>April 7, 2026 – Lease Termination and Nasdaq Notice</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The Company entered into a lease termination agreement with Edgewater Corporate Park, LLC, terminating its lease at </w:t>
      </w:r>
      <w:bookmarkStart w:id="210" w:name="fs_WKLB5CD20G00000000000000000000fs"/>
      <w:bookmarkEnd w:id="210"/>
      <w:r>
        <w:rPr>
          <w:rFonts w:ascii="Times New Roman;serif" w:hAnsi="Times New Roman;serif"/>
          <w:b w:val="false"/>
          <w:i w:val="false"/>
          <w:caps w:val="false"/>
          <w:smallCaps w:val="false"/>
          <w:color w:val="000000"/>
          <w:spacing w:val="0"/>
          <w:sz w:val="20"/>
        </w:rPr>
        <w:t>5225 Wiley Post Way, Salt Lake City, Utah for a $300 termination fee. The termination released the Company from approximately $376 in remaining rent and $53 in restoration charges. See Note 9 – Leases for additional details.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On the same date, the Company received a letter from Nasdaq informing it that it is not in compliance with the continued listing standards under Nasdaq Marketplace Rule </w:t>
      </w:r>
      <w:bookmarkStart w:id="211" w:name="fs_XD7Q1584KG00000000000000000000fs"/>
      <w:bookmarkEnd w:id="211"/>
      <w:r>
        <w:rPr>
          <w:rFonts w:ascii="Times New Roman;serif" w:hAnsi="Times New Roman;serif"/>
          <w:b w:val="false"/>
          <w:i w:val="false"/>
          <w:caps w:val="false"/>
          <w:smallCaps w:val="false"/>
          <w:color w:val="000000"/>
          <w:spacing w:val="0"/>
          <w:sz w:val="20"/>
        </w:rPr>
        <w:t xml:space="preserve">5550(b). The Company has </w:t>
      </w:r>
      <w:bookmarkStart w:id="212" w:name="fs_DSVWP76IS000000000000000000000fs"/>
      <w:bookmarkEnd w:id="212"/>
      <w:r>
        <w:rPr>
          <w:rFonts w:ascii="Times New Roman;serif" w:hAnsi="Times New Roman;serif"/>
          <w:b w:val="false"/>
          <w:i w:val="false"/>
          <w:caps w:val="false"/>
          <w:smallCaps w:val="false"/>
          <w:color w:val="000000"/>
          <w:spacing w:val="0"/>
          <w:sz w:val="20"/>
        </w:rPr>
        <w:t xml:space="preserve">45 calendar days (until May 22, 2026) to submit a compliance plan. See “Risk Factors” in Item </w:t>
      </w:r>
      <w:bookmarkStart w:id="213" w:name="fs_WWMO82KMRK00000000000000000000fs"/>
      <w:bookmarkEnd w:id="213"/>
      <w:r>
        <w:rPr>
          <w:rFonts w:ascii="Times New Roman;serif" w:hAnsi="Times New Roman;serif"/>
          <w:b w:val="false"/>
          <w:i w:val="false"/>
          <w:caps w:val="false"/>
          <w:smallCaps w:val="false"/>
          <w:color w:val="000000"/>
          <w:spacing w:val="0"/>
          <w:sz w:val="20"/>
        </w:rPr>
        <w:t>1A for additional information.</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caps w:val="false"/>
          <w:smallCaps w:val="false"/>
          <w:color w:val="000000"/>
          <w:spacing w:val="0"/>
          <w:sz w:val="20"/>
        </w:rPr>
      </w:pPr>
      <w:r>
        <w:rPr>
          <w:rFonts w:ascii="Times New Roman;serif" w:hAnsi="Times New Roman;serif"/>
          <w:b w:val="false"/>
          <w:i/>
          <w:caps w:val="false"/>
          <w:smallCaps w:val="false"/>
          <w:color w:val="000000"/>
          <w:spacing w:val="0"/>
          <w:sz w:val="20"/>
        </w:rPr>
        <w:t xml:space="preserve">April 10, 2026 – Class A Preferred Redemption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The Company’s Board of Directors approved the redemption of all 2,069,065 outstanding shares of Class A Redeemable Preferred Stock on April 21, 2026 at the par value of $0.001 per share (aggregate redemption amount of approximately $2). See Note </w:t>
      </w:r>
      <w:bookmarkStart w:id="214" w:name="fs_FJE9CFJ80000000000000000000000fs"/>
      <w:bookmarkEnd w:id="214"/>
      <w:r>
        <w:rPr>
          <w:rFonts w:ascii="Times New Roman;serif" w:hAnsi="Times New Roman;serif"/>
          <w:b w:val="false"/>
          <w:i w:val="false"/>
          <w:caps w:val="false"/>
          <w:smallCaps w:val="false"/>
          <w:color w:val="000000"/>
          <w:spacing w:val="0"/>
          <w:sz w:val="20"/>
        </w:rPr>
        <w:t>3 – Class A Redeemable Preferred Stock (Current Liability) for additional details.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caps w:val="false"/>
          <w:smallCaps w:val="false"/>
          <w:color w:val="000000"/>
          <w:spacing w:val="0"/>
          <w:sz w:val="20"/>
        </w:rPr>
      </w:pPr>
      <w:r>
        <w:rPr>
          <w:rFonts w:ascii="Times New Roman;serif" w:hAnsi="Times New Roman;serif"/>
          <w:b w:val="false"/>
          <w:i/>
          <w:caps w:val="false"/>
          <w:smallCaps w:val="false"/>
          <w:color w:val="000000"/>
          <w:spacing w:val="0"/>
          <w:sz w:val="20"/>
        </w:rPr>
        <w:t xml:space="preserve">April 22, 2026 – Nevada Reincorporation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 xml:space="preserve">The Company completed its reincorporation from Delaware to Nevada by conversion, effective on or about April 22, 2026, pursuant to the Plan of Conversion approved by stockholders on March 12, 2026. The Company is now a Nevada corporation. See Note </w:t>
      </w:r>
      <w:bookmarkStart w:id="215" w:name="fs_B4MQI76T0W00000000000000000000fs"/>
      <w:bookmarkEnd w:id="215"/>
      <w:r>
        <w:rPr>
          <w:rFonts w:ascii="Times New Roman;serif" w:hAnsi="Times New Roman;serif"/>
          <w:b w:val="false"/>
          <w:i w:val="false"/>
          <w:caps w:val="false"/>
          <w:smallCaps w:val="false"/>
          <w:color w:val="000000"/>
          <w:spacing w:val="0"/>
          <w:sz w:val="20"/>
        </w:rPr>
        <w:t>1 – Business Description for additional information regarding the impact on governing law and stockholder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16" w:name="PageBreakNo20"/>
            <w:bookmarkEnd w:id="216"/>
            <w:r>
              <w:rPr>
                <w:sz w:val="20"/>
              </w:rPr>
              <w:t>20</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before="0" w:after="0"/>
        <w:ind w:left="0" w:right="0" w:hanging="0"/>
        <w:jc w:val="left"/>
        <w:rPr/>
      </w:pPr>
      <w:r>
        <w:rPr/>
      </w:r>
    </w:p>
    <w:p>
      <w:pPr>
        <w:pStyle w:val="TextBody"/>
        <w:bidi w:val="0"/>
        <w:spacing w:lineRule="auto" w:line="288" w:before="0" w:after="0"/>
        <w:ind w:left="0" w:right="0" w:hanging="0"/>
        <w:jc w:val="both"/>
        <w:rPr/>
      </w:pPr>
      <w:hyperlink r:id="rId10">
        <w:bookmarkStart w:id="217" w:name="BG_ZROYRYR1OG00000000000000000000"/>
        <w:bookmarkEnd w:id="217"/>
        <w:r>
          <w:rPr>
            <w:rStyle w:val="InternetLink"/>
            <w:rFonts w:ascii="Times New Roman" w:hAnsi="Times New Roman"/>
            <w:b/>
            <w:strike w:val="false"/>
            <w:dstrike w:val="false"/>
            <w:color w:val="000000"/>
            <w:sz w:val="20"/>
            <w:u w:val="none"/>
            <w:effect w:val="none"/>
          </w:rPr>
          <w:t xml:space="preserve">Item </w:t>
        </w:r>
      </w:hyperlink>
      <w:hyperlink r:id="rId11">
        <w:bookmarkStart w:id="218" w:name="fs_BMFT3MDC7400000000000000000000fs"/>
        <w:bookmarkEnd w:id="218"/>
        <w:r>
          <w:rPr>
            <w:rStyle w:val="InternetLink"/>
            <w:rFonts w:ascii="Times New Roman" w:hAnsi="Times New Roman"/>
            <w:b/>
            <w:strike w:val="false"/>
            <w:dstrike w:val="false"/>
            <w:color w:val="000000"/>
            <w:sz w:val="20"/>
            <w:u w:val="none"/>
            <w:effect w:val="none"/>
          </w:rPr>
          <w:t>2</w:t>
        </w:r>
      </w:hyperlink>
      <w:hyperlink r:id="rId12">
        <w:r>
          <w:rPr>
            <w:rStyle w:val="InternetLink"/>
            <w:rFonts w:ascii="Times New Roman" w:hAnsi="Times New Roman"/>
            <w:b/>
            <w:strike w:val="false"/>
            <w:dstrike w:val="false"/>
            <w:color w:val="000000"/>
            <w:sz w:val="20"/>
            <w:u w:val="none"/>
            <w:effect w:val="none"/>
          </w:rPr>
          <w:t>. MANAGEMENT’S DISCUSSION AND ANALYSIS OF FINANCIAL CONDITION AND RESULTS OF OPERATIONS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This report on Form 10-Q includes “forward-looking statements” within the meaning of Section </w:t>
      </w:r>
      <w:bookmarkStart w:id="219" w:name="fs_T1E5U0S62O00000000000000000000fs"/>
      <w:bookmarkEnd w:id="219"/>
      <w:r>
        <w:rPr>
          <w:rFonts w:ascii="Times New Roman" w:hAnsi="Times New Roman"/>
          <w:sz w:val="20"/>
        </w:rPr>
        <w:t xml:space="preserve">27A of the Securities Act of </w:t>
      </w:r>
      <w:bookmarkStart w:id="220" w:name="fs_2I8WWHBTC000000000000000000000fs"/>
      <w:bookmarkEnd w:id="220"/>
      <w:r>
        <w:rPr>
          <w:rFonts w:ascii="Times New Roman" w:hAnsi="Times New Roman"/>
          <w:sz w:val="20"/>
        </w:rPr>
        <w:t xml:space="preserve">1933, as amended, and Section </w:t>
      </w:r>
      <w:bookmarkStart w:id="221" w:name="fs_DBYV08CI4G00000000000000000000fs"/>
      <w:bookmarkEnd w:id="221"/>
      <w:r>
        <w:rPr>
          <w:rFonts w:ascii="Times New Roman" w:hAnsi="Times New Roman"/>
          <w:sz w:val="20"/>
        </w:rPr>
        <w:t xml:space="preserve">21E of the Securities Exchange Act of </w:t>
      </w:r>
      <w:bookmarkStart w:id="222" w:name="fs_CAZN3LFYTC00000000000000000000fs"/>
      <w:bookmarkEnd w:id="222"/>
      <w:r>
        <w:rPr>
          <w:rFonts w:ascii="Times New Roman" w:hAnsi="Times New Roman"/>
          <w:sz w:val="20"/>
        </w:rPr>
        <w:t>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w:t>
      </w:r>
      <w:r>
        <w:rPr>
          <w:rFonts w:ascii="times new roman;times" w:hAnsi="times new roman;times"/>
          <w:sz w:val="20"/>
        </w:rPr>
        <w:t> </w:t>
      </w:r>
      <w:r>
        <w:rPr>
          <w:rFonts w:ascii="Times New Roman" w:hAnsi="Times New Roman"/>
          <w:sz w:val="20"/>
        </w:rPr>
        <w:t xml:space="preserve">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descriptions of our review of strategic alternatives and the timing and impact of any potential strategic transactions, the proposed development, manufacturing, and sale of our products; statements that describe expectations regarding pricing trends, our ability to collect accounts receivable and recover prepaid assets, our ability to regain compliance with the continued listing standards of the Nasdaq Capital Market; statements with respect to the anticipated sources of and need for future financing; and statements with respect to future strategic plans, goals, and objectives and forecasts of future growth and value; and other factors referred to in our reports filed with the SEC, including our Annual Report on Form 10-K for the year ended </w:t>
      </w:r>
      <w:bookmarkStart w:id="223" w:name="fs_5PSKX0SG2800000000000000000000FM"/>
      <w:bookmarkEnd w:id="223"/>
      <w:r>
        <w:rPr>
          <w:rFonts w:ascii="Times New Roman" w:hAnsi="Times New Roman"/>
          <w:sz w:val="20"/>
        </w:rPr>
        <w:t xml:space="preserve">December 31, 2025. All subsequent forward-looking statements attributable to us or persons acting on our behalf are expressly qualified in their entirety by these cautionary statements. Additional factors that may have a direct bearing on our operating results are discussed in Part I, Item </w:t>
      </w:r>
      <w:bookmarkStart w:id="224" w:name="fs_A5SL3SWBPC00000000000000000000fs"/>
      <w:bookmarkEnd w:id="224"/>
      <w:r>
        <w:rPr>
          <w:rFonts w:ascii="Times New Roman" w:hAnsi="Times New Roman"/>
          <w:sz w:val="20"/>
        </w:rPr>
        <w:t>1A “Risk Factors” in our Annual Report on Form 10-K for the year ended </w:t>
      </w:r>
      <w:bookmarkStart w:id="225" w:name="fs_J8RK2ZXTOW00000000000000000000FM"/>
      <w:bookmarkEnd w:id="225"/>
      <w:r>
        <w:rPr>
          <w:rFonts w:ascii="Times New Roman" w:hAnsi="Times New Roman"/>
          <w:sz w:val="20"/>
        </w:rPr>
        <w:t>December 31, 2025. Beginning September 30, 2025</w:t>
      </w:r>
      <w:r>
        <w:rPr>
          <w:rFonts w:ascii="Times New Roman;serif" w:hAnsi="Times New Roman;serif"/>
          <w:sz w:val="20"/>
        </w:rPr>
        <w:t xml:space="preserve">, we classified substantially all operating assets related to our product business as held for sale and began presenting the results of that component as discontinued operations. Accordingly, the discussion below focuses on continuing operations unless otherwise indicated. See Note </w:t>
      </w:r>
      <w:bookmarkStart w:id="226" w:name="fs_3ZG1ZS3VGG00000000000000000000fs"/>
      <w:bookmarkEnd w:id="226"/>
      <w:r>
        <w:rPr>
          <w:rFonts w:ascii="Times New Roman;serif" w:hAnsi="Times New Roman;serif"/>
          <w:sz w:val="20"/>
        </w:rPr>
        <w:t>2.</w:t>
      </w:r>
      <w:r>
        <w:rPr>
          <w:rFonts w:ascii="Times New Roman" w:hAnsi="Times New Roman"/>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BUSINESS OVERVIEW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ClearOne, Inc. (the “Company,” “we,” “us,” or “our”) was historically a global provider of conferencing, collaboration, and AV streaming solutions for voice and visual communications. Following the October 24, 2025 disposition of substantially all operating assets and intellectual property to Biamp Systems, LLC (the “Asset Sale”), the Company no longer manufactures or sells products. Our continuing operations are now limited to (i) fulfilling warranty and technical support obligations for legacy products, (ii) maintaining public-company compliance and governance, (iii) collecting accounts receivable and recovering prepaid assets and (iv) evaluating and pursuing strategic alternatives, including a potential mergers or other transaction intended to maximize stockholder value.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27" w:name="PageBreakNo21"/>
            <w:bookmarkEnd w:id="227"/>
            <w:r>
              <w:rPr>
                <w:sz w:val="20"/>
              </w:rPr>
              <w:t>21</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September 2025, the Company’s Board of Directors approved a plan (the “Strategic Plan”) to seek the sale of a significant portion of the Company’s operating assets related to its product business, reduce the Company’s continuing operations to warranty and product support, and position the Company as a reverse merger vehicle for a possible strategic transaction (a “Strategic Transaction”). Accordingly, as of September 30, 2025, we classified the related disposal group of assets as held for sale and measured it at the lower of carrying amount or fair value less costs to sell; the assets held for sale were sold in October 2025 and certain assets and liabilities related to discontinued operations remained after the October 2025 sale (see Note 2 — Discontinued Operations and Assets Held for Sale). Because the planned disposal represents a strategic shift that will have a significant effect on our operations and financial results, we present the results of that component as discontinued operations for all periods shown. Accordingly, this MD&amp;A discusses continuing operations separately from discontinued operations where relevant.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Strategic actions during </w:t>
      </w:r>
      <w:r>
        <w:rPr>
          <w:rFonts w:ascii="times new roman;times" w:hAnsi="times new roman;times"/>
          <w:sz w:val="20"/>
        </w:rPr>
        <w:t>2025 and 2026</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July 2025</w:t>
      </w:r>
      <w:r>
        <w:rPr>
          <w:rFonts w:ascii="times new roman;times" w:hAnsi="times new roman;times"/>
          <w:sz w:val="20"/>
        </w:rPr>
        <w:t xml:space="preserve"> – Issuance of Class A Redeemable Preferred Stock as a special stock dividend and automatic conversion of the $3.0 million convertible note into Class B Convertible Preferred Stock (see Notes 3 and 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September 2025</w:t>
      </w:r>
      <w:r>
        <w:rPr>
          <w:rFonts w:ascii="times new roman;times" w:hAnsi="times new roman;times"/>
          <w:sz w:val="20"/>
        </w:rPr>
        <w:t xml:space="preserve"> – Repurchase and cancellation of all then-outstanding warrants (see Note 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October 24, 2025</w:t>
      </w:r>
      <w:r>
        <w:rPr>
          <w:rFonts w:ascii="times new roman;times" w:hAnsi="times new roman;times"/>
          <w:sz w:val="20"/>
        </w:rPr>
        <w:t xml:space="preserve"> – Completion of the Asset Sale to Biamp Systems, LLC for $3.0 million in cash. The transaction represented a strategic shift that had a major effect on the Company’s operations and financial results. The results of the disposed component are presented as discontinued operations for all periods presented (see Note 2).</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March 2, 2026</w:t>
      </w:r>
      <w:r>
        <w:rPr>
          <w:rFonts w:ascii="times new roman;times" w:hAnsi="times new roman;times"/>
          <w:sz w:val="20"/>
        </w:rPr>
        <w:t xml:space="preserve"> – Private placement with First Finance Ltd. (largest stockholder) for 437,500 shares and a warrant to purchase 437,500 additional shares (see Note 11).</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March 9, 2026</w:t>
      </w:r>
      <w:r>
        <w:rPr>
          <w:rFonts w:ascii="times new roman;times" w:hAnsi="times new roman;times"/>
          <w:sz w:val="20"/>
        </w:rPr>
        <w:t xml:space="preserve"> – Repurchase of 24,155 warrants from CVI Investments, Inc. (see Note 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1, 2026</w:t>
      </w:r>
      <w:r>
        <w:rPr>
          <w:rFonts w:ascii="times new roman;times" w:hAnsi="times new roman;times"/>
          <w:sz w:val="20"/>
        </w:rPr>
        <w:t xml:space="preserve"> – Transition of CEO Derek Graham to a consulting arrangement (see Note 15).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7, 2026</w:t>
      </w:r>
      <w:r>
        <w:rPr>
          <w:rFonts w:ascii="times new roman;times" w:hAnsi="times new roman;times"/>
          <w:sz w:val="20"/>
        </w:rPr>
        <w:t xml:space="preserve"> – Termination of the Edgewater Corporate Park lease and receipt of Nasdaq continued listing deficiency notice (see Notes 9 and 15).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10, 2026</w:t>
      </w:r>
      <w:r>
        <w:rPr>
          <w:rFonts w:ascii="times new roman;times" w:hAnsi="times new roman;times"/>
          <w:sz w:val="20"/>
        </w:rPr>
        <w:t xml:space="preserve"> – Board approval of Class A Preferred Stock redemption at par (April 21, 2026) (see Notes 3 and 15).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22, 2026</w:t>
      </w:r>
      <w:r>
        <w:rPr>
          <w:rFonts w:ascii="times new roman;times" w:hAnsi="times new roman;times"/>
          <w:sz w:val="20"/>
        </w:rPr>
        <w:t xml:space="preserve"> – Completion of reincorporation from Delaware to Nevada (see Note 1).</w:t>
      </w:r>
      <w:r>
        <w:rPr>
          <w:sz w:val="20"/>
        </w:rPr>
        <w:t xml:space="preserve"> </w:t>
      </w:r>
    </w:p>
    <w:p>
      <w:pPr>
        <w:pStyle w:val="TextBody"/>
        <w:bidi w:val="0"/>
        <w:spacing w:before="0" w:after="200"/>
        <w:ind w:left="0" w:right="0" w:hanging="0"/>
        <w:jc w:val="both"/>
        <w:rPr>
          <w:rFonts w:ascii="times new roman;times" w:hAnsi="times new roman;times"/>
          <w:i/>
          <w:sz w:val="20"/>
        </w:rPr>
      </w:pPr>
      <w:r>
        <w:rPr>
          <w:rFonts w:ascii="times new roman;times" w:hAnsi="times new roman;times"/>
          <w:i/>
          <w:sz w:val="20"/>
        </w:rPr>
        <w:t>Operating context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Following the Asset Sale, our continuing operations generate minimal revenue and consist primarily of warranty support, collecting accounts receivable and recovering prepaid assets, public-company compliance costs, and restructuring activities. Management’s primary focus is preserving liquidity, and evaluating strategic alternatives (including a potential reverse merger or other transaction) to maximize stockholder value. The Company has incurred net losses and used cash in operations, and substantial doubt exists about its ability to continue as a going concern (see Note 1 – Going Concern).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Continuing operations and post-disposition plan</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Following the Asset Sale on October 24, 2025, our continuing operations are limited to (i) fulfilling warranty and technical support obligations for legacy products, (ii) maintaining public-company compliance and governance, (iii) collecting accounts receivable and recovering prepaid assets and (iv) evaluating and pursuing strategic alternatives. We do not expect to generate material revenue from continuing operations in the foreseeable future.</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Warranty support activities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retained responsibility for legacy product support and warranty obligations. The Company maintains a small technical support function and limited service inventory to honor these obligations. Any immaterial service or parts revenue, if recognized, is reported within continuing operations. We evaluate warranty accruals each period and adjust estimates based on observed claim rates and resolution costs.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28" w:name="PageBreakNo22"/>
            <w:bookmarkEnd w:id="228"/>
            <w:r>
              <w:rPr>
                <w:sz w:val="20"/>
              </w:rPr>
              <w:t>22</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Corporate infrastructure and compliance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maintain a lean corporate staff, including accounting/finance, IT, and senior management (CEO/CFO). Ongoing costs include audit and tax services, legal and advisory fees, SEC reporting, D&amp;O insurance, IT/licensing, and Board and compliance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Monetization of residual assets and settlement of obligations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Management’s near-term priorities include monetizing any remaining assets, collecting receivables, settling liabilities, and completing the Class A Preferred redemption. All three facility leases were terminated by April 7, 2026 (see Note 9 and Note 15).</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Presentation and comparability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t> </w:t>
      </w:r>
      <w:r>
        <w:rPr>
          <w:rFonts w:ascii="times new roman;times" w:hAnsi="times new roman;times"/>
          <w:sz w:val="20"/>
        </w:rPr>
        <w:t xml:space="preserve">Results of the disposed product business are presented as discontinued operations for all periods shown. Continuing operations primarily comprise warranty support, corporate and restructuring costs. The balance sheet reflects assets and liabilities related to discontinued operations. The statement of operations presents (loss) from continuing operations separately from gain (loss) from discontinued operations, net of tax, and basic/diluted income (loss) per share is shown for continuing operations, discontinued operations, and total (see Note </w:t>
      </w:r>
      <w:bookmarkStart w:id="229" w:name="fs_86XRE2IRM800000000000000000000fs"/>
      <w:bookmarkEnd w:id="229"/>
      <w:r>
        <w:rPr>
          <w:rFonts w:ascii="times new roman;times" w:hAnsi="times new roman;times"/>
          <w:sz w:val="20"/>
        </w:rPr>
        <w:t>7</w:t>
      </w:r>
      <w:r>
        <w:rPr>
          <w:rFonts w:ascii="times new roman;times" w:hAnsi="times new roman;times"/>
          <w:sz w:val="20"/>
        </w:rPr>
        <w:t xml:space="preserve"> — Income (Loss) Per Share).</w:t>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Critical accounting estimates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classification of the disposal group of assets as held for sale and presentation as discontinued operations required management to make significant estimates, including the measurement of fair value less costs to selloff the disposal group of assets (ASC </w:t>
      </w:r>
      <w:bookmarkStart w:id="230" w:name="fs_AYUC7M1XZ400000000000000000000fs"/>
      <w:bookmarkEnd w:id="230"/>
      <w:r>
        <w:rPr>
          <w:rFonts w:ascii="times new roman;times" w:hAnsi="times new roman;times"/>
          <w:sz w:val="20"/>
        </w:rPr>
        <w:t xml:space="preserve">360) and the warranty obligation retained by the Company (ASC </w:t>
      </w:r>
      <w:bookmarkStart w:id="231" w:name="fs_XWFHEWX3RK00000000000000000000fs"/>
      <w:bookmarkEnd w:id="231"/>
      <w:r>
        <w:rPr>
          <w:rFonts w:ascii="times new roman;times" w:hAnsi="times new roman;times"/>
          <w:sz w:val="20"/>
        </w:rPr>
        <w:t>460). These estimates use assumptions regarding market participant pricing, transaction costs, expected claim rates and unit repair costs. Actual results could differ materially from these estimates.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Liquidity and going-concern considerations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incurred net losses and used cash in operations for the periods presented. Our ability to meet obligations as they come due depends on the timing and magnitude of cash from residual asset monetization, collections, and access to additional financing or a Strategic Transaction. These conditions raise substantial doubt about our ability to continue as a going concern within one year after the issuance of these financial statements. Management’s plans include managing warranty exposure, collecting accounts receivable and recovering prepaid assets, and pursuing strategic alternatives. See Note 1 — Going Concern for additional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Key risks and uncertainties</w:t>
      </w:r>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Execution of the restructuring and any Strategic Transaction involves risks, including warranty claim variability, timing of asset monetization, and the cost and availability of essential public-company services. Actual outcomes may differ materially from current expectations.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Off-balance sheet arrangements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We had no off-balance sheet arrangements as of </w:t>
      </w:r>
      <w:bookmarkStart w:id="232" w:name="fs_39MHTKLM3K00000000000000000000FM"/>
      <w:bookmarkEnd w:id="232"/>
      <w:r>
        <w:rPr>
          <w:rFonts w:ascii="times new roman;times" w:hAnsi="times new roman;times"/>
          <w:sz w:val="20"/>
        </w:rPr>
        <w:t>March 31, 2026.</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Deferred Product Revenue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Deferred product revenue decreased to $</w:t>
      </w:r>
      <w:bookmarkStart w:id="233" w:name="fs_VL8J9MERG000000000000000000000fs"/>
      <w:bookmarkEnd w:id="233"/>
      <w:r>
        <w:rPr>
          <w:rFonts w:ascii="times new roman;times" w:hAnsi="times new roman;times"/>
          <w:sz w:val="20"/>
        </w:rPr>
        <w:t>0 at both </w:t>
      </w:r>
      <w:bookmarkStart w:id="234" w:name="fs_UVVM2XQLEO00000000000000000000FM"/>
      <w:bookmarkEnd w:id="234"/>
      <w:r>
        <w:rPr>
          <w:rFonts w:ascii="times new roman;times" w:hAnsi="times new roman;times"/>
          <w:sz w:val="20"/>
        </w:rPr>
        <w:t>March 31, 2026 and </w:t>
      </w:r>
      <w:bookmarkStart w:id="235" w:name="fs_EA4CJENKCG00000000000000000000FM"/>
      <w:bookmarkEnd w:id="235"/>
      <w:r>
        <w:rPr>
          <w:rFonts w:ascii="times new roman;times" w:hAnsi="times new roman;times"/>
          <w:sz w:val="20"/>
        </w:rPr>
        <w:t>December 31,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detailed discussion of our results of operations follows below.</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36" w:name="PageBreakNo23"/>
            <w:bookmarkEnd w:id="236"/>
            <w:r>
              <w:rPr>
                <w:sz w:val="20"/>
              </w:rPr>
              <w:t>23</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color w:val="000000"/>
          <w:sz w:val="20"/>
        </w:rPr>
      </w:pPr>
      <w:r>
        <w:rPr>
          <w:rFonts w:ascii="Times New Roman" w:hAnsi="Times New Roman"/>
          <w:b/>
          <w:i/>
          <w:color w:val="000000"/>
          <w:sz w:val="20"/>
        </w:rPr>
        <w:t>Results of Operations for the </w:t>
      </w:r>
      <w:bookmarkStart w:id="237" w:name="fs_9RJOGEN3BK00000000000000000000FM"/>
      <w:bookmarkEnd w:id="237"/>
      <w:r>
        <w:rPr>
          <w:rFonts w:ascii="Times New Roman" w:hAnsi="Times New Roman"/>
          <w:b/>
          <w:i/>
          <w:color w:val="000000"/>
          <w:sz w:val="20"/>
        </w:rPr>
        <w:t xml:space="preserve">three months ended </w:t>
      </w:r>
      <w:bookmarkStart w:id="238" w:name="fs_NMCNPWLKAO00000000000000000000FM"/>
      <w:bookmarkEnd w:id="238"/>
      <w:r>
        <w:rPr>
          <w:rFonts w:ascii="Times New Roman" w:hAnsi="Times New Roman"/>
          <w:b/>
          <w:i/>
          <w:color w:val="000000"/>
          <w:sz w:val="20"/>
        </w:rPr>
        <w:t>March 31, 2026</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Following the Asset Sale on October 24, 2025, the Company’s continuing operations generate minimal revenue and consist primarily of warranty support, public-company compliance, and restructuring costs. The majority of the Company’s historical operations are now presented as discontinued operations (see Note 2):</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Continuing Operations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978" w:type="dxa"/>
        <w:jc w:val="left"/>
        <w:tblInd w:w="0" w:type="dxa"/>
        <w:tblLayout w:type="fixed"/>
        <w:tblCellMar>
          <w:top w:w="0" w:type="dxa"/>
          <w:left w:w="0" w:type="dxa"/>
          <w:bottom w:w="0" w:type="dxa"/>
          <w:right w:w="0" w:type="dxa"/>
        </w:tblCellMar>
      </w:tblPr>
      <w:tblGrid>
        <w:gridCol w:w="2975"/>
        <w:gridCol w:w="60"/>
        <w:gridCol w:w="186"/>
        <w:gridCol w:w="588"/>
        <w:gridCol w:w="119"/>
        <w:gridCol w:w="89"/>
        <w:gridCol w:w="186"/>
        <w:gridCol w:w="588"/>
        <w:gridCol w:w="119"/>
        <w:gridCol w:w="89"/>
        <w:gridCol w:w="380"/>
        <w:gridCol w:w="2519"/>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63" w:type="dxa"/>
            <w:gridSpan w:val="10"/>
            <w:tcBorders/>
            <w:vAlign w:val="center"/>
          </w:tcPr>
          <w:p>
            <w:pPr>
              <w:pStyle w:val="TableContents"/>
              <w:bidi w:val="0"/>
              <w:spacing w:before="0" w:after="0"/>
              <w:ind w:left="0" w:right="0" w:hanging="0"/>
              <w:jc w:val="center"/>
              <w:rPr>
                <w:rFonts w:ascii="times new roman;times" w:hAnsi="times new roman;times"/>
                <w:b/>
                <w:sz w:val="20"/>
              </w:rPr>
            </w:pPr>
            <w:bookmarkStart w:id="239" w:name="fs_EBJHDF8DS000000000000000000000FM"/>
            <w:bookmarkEnd w:id="239"/>
            <w:r>
              <w:rPr>
                <w:rFonts w:ascii="times new roman;times" w:hAnsi="times new roman;times"/>
                <w:b/>
                <w:sz w:val="20"/>
              </w:rPr>
              <w:t>Three months ended March 31,</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774"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bookmarkStart w:id="240" w:name="fs_FY52SH4UDC00000000000000000000fs"/>
            <w:bookmarkEnd w:id="240"/>
            <w:r>
              <w:rPr>
                <w:rFonts w:ascii="Times New Roman;Times;serif" w:hAnsi="Times New Roman;Times;serif"/>
                <w:b/>
                <w:sz w:val="20"/>
              </w:rPr>
              <w:t xml:space="preserve">2026 </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bookmarkStart w:id="241" w:name="fs_7HVQN68G7400000000000000000000fs"/>
            <w:bookmarkEnd w:id="241"/>
            <w:r>
              <w:rPr>
                <w:rFonts w:ascii="Times New Roman;Times;serif" w:hAnsi="Times New Roman;Times;serif"/>
                <w:b/>
                <w:sz w:val="20"/>
              </w:rPr>
              <w:t xml:space="preserve">2025 </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2899"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8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88" w:type="dxa"/>
            <w:tcBorders/>
            <w:shd w:fill="CCEEFF" w:val="clear"/>
            <w:vAlign w:val="bottom"/>
          </w:tcPr>
          <w:p>
            <w:pPr>
              <w:pStyle w:val="TableContents"/>
              <w:bidi w:val="0"/>
              <w:spacing w:before="0" w:after="0"/>
              <w:ind w:left="0" w:right="0" w:hanging="0"/>
              <w:jc w:val="right"/>
              <w:rPr/>
            </w:pPr>
            <w:bookmarkStart w:id="242" w:name="fs_KE908MHS6800000000000000000000fs"/>
            <w:bookmarkEnd w:id="242"/>
            <w:r>
              <w:rPr/>
              <w:t>—</w:t>
            </w:r>
          </w:p>
        </w:tc>
        <w:tc>
          <w:tcPr>
            <w:tcW w:w="119" w:type="dxa"/>
            <w:tcBorders/>
            <w:shd w:fill="CCEEFF" w:val="clear"/>
            <w:vAlign w:val="bottom"/>
          </w:tcPr>
          <w:p>
            <w:pPr>
              <w:pStyle w:val="TableContents"/>
              <w:bidi w:val="0"/>
              <w:spacing w:before="0" w:after="0"/>
              <w:ind w:left="0" w:right="0" w:hanging="0"/>
              <w:jc w:val="left"/>
              <w:rPr/>
            </w:pPr>
            <w:r>
              <w:rPr/>
              <w:t> </w:t>
            </w:r>
          </w:p>
        </w:tc>
        <w:tc>
          <w:tcPr>
            <w:tcW w:w="89" w:type="dxa"/>
            <w:tcBorders/>
            <w:shd w:fill="CCEEFF" w:val="clear"/>
            <w:vAlign w:val="bottom"/>
          </w:tcPr>
          <w:p>
            <w:pPr>
              <w:pStyle w:val="TableContents"/>
              <w:bidi w:val="0"/>
              <w:spacing w:before="0" w:after="0"/>
              <w:ind w:left="0" w:right="0" w:hanging="0"/>
              <w:jc w:val="left"/>
              <w:rPr/>
            </w:pPr>
            <w:r>
              <w:rPr/>
              <w:t> </w:t>
            </w:r>
          </w:p>
        </w:tc>
        <w:tc>
          <w:tcPr>
            <w:tcW w:w="18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88" w:type="dxa"/>
            <w:tcBorders/>
            <w:shd w:fill="CCEEFF" w:val="clear"/>
            <w:vAlign w:val="bottom"/>
          </w:tcPr>
          <w:p>
            <w:pPr>
              <w:pStyle w:val="TableContents"/>
              <w:bidi w:val="0"/>
              <w:spacing w:before="0" w:after="0"/>
              <w:ind w:left="0" w:right="0" w:hanging="0"/>
              <w:jc w:val="right"/>
              <w:rPr/>
            </w:pPr>
            <w:bookmarkStart w:id="243" w:name="fs_FWNQ2B31UO00000000000000000000fs"/>
            <w:bookmarkEnd w:id="243"/>
            <w:r>
              <w:rPr/>
              <w:t>—</w:t>
            </w:r>
          </w:p>
        </w:tc>
        <w:tc>
          <w:tcPr>
            <w:tcW w:w="119" w:type="dxa"/>
            <w:tcBorders/>
            <w:shd w:fill="CCEEFF" w:val="clear"/>
            <w:vAlign w:val="bottom"/>
          </w:tcPr>
          <w:p>
            <w:pPr>
              <w:pStyle w:val="TableContents"/>
              <w:bidi w:val="0"/>
              <w:spacing w:before="0" w:after="0"/>
              <w:ind w:left="0" w:right="0" w:hanging="0"/>
              <w:jc w:val="left"/>
              <w:rPr/>
            </w:pPr>
            <w:r>
              <w:rPr/>
              <w:t> </w:t>
            </w:r>
          </w:p>
        </w:tc>
        <w:tc>
          <w:tcPr>
            <w:tcW w:w="89" w:type="dxa"/>
            <w:tcBorders/>
            <w:shd w:fill="CCEEFF" w:val="clear"/>
            <w:vAlign w:val="bottom"/>
          </w:tcPr>
          <w:p>
            <w:pPr>
              <w:pStyle w:val="TableContents"/>
              <w:bidi w:val="0"/>
              <w:spacing w:before="0" w:after="0"/>
              <w:ind w:left="0" w:right="0" w:hanging="0"/>
              <w:jc w:val="left"/>
              <w:rPr/>
            </w:pPr>
            <w:r>
              <w:rPr/>
              <w:t> </w:t>
            </w:r>
          </w:p>
        </w:tc>
        <w:tc>
          <w:tcPr>
            <w:tcW w:w="380" w:type="dxa"/>
            <w:tcBorders/>
            <w:shd w:fill="CCEEFF" w:val="clear"/>
            <w:vAlign w:val="bottom"/>
          </w:tcPr>
          <w:p>
            <w:pPr>
              <w:pStyle w:val="TableContents"/>
              <w:bidi w:val="0"/>
              <w:spacing w:before="0" w:after="0"/>
              <w:ind w:left="0" w:right="0" w:hanging="0"/>
              <w:jc w:val="left"/>
              <w:rPr/>
            </w:pPr>
            <w:r>
              <w:rPr/>
              <w:t> </w:t>
            </w:r>
          </w:p>
        </w:tc>
        <w:tc>
          <w:tcPr>
            <w:tcW w:w="2519" w:type="dxa"/>
            <w:tcBorders/>
            <w:shd w:fill="CCEEFF" w:val="clear"/>
            <w:vAlign w:val="bottom"/>
          </w:tcPr>
          <w:p>
            <w:pPr>
              <w:pStyle w:val="TableContents"/>
              <w:bidi w:val="0"/>
              <w:spacing w:before="0" w:after="0"/>
              <w:ind w:left="0" w:right="0" w:hanging="0"/>
              <w:jc w:val="right"/>
              <w:rPr/>
            </w:pPr>
            <w:bookmarkStart w:id="244" w:name="fs_35A5Q9KDNK00000000000000000000fs"/>
            <w:bookmarkEnd w:id="244"/>
            <w:r>
              <w:rPr/>
              <w:t>—</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bookmarkStart w:id="245" w:name="fs_4KGAGNLCCG00000000000000000000fs"/>
            <w:bookmarkEnd w:id="245"/>
            <w:r>
              <w:rPr>
                <w:rFonts w:ascii="times new roman;times" w:hAnsi="times new roman;times"/>
                <w:sz w:val="20"/>
              </w:rPr>
              <w:t>70</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bookmarkStart w:id="246" w:name="fs_BQLK5F4TGG00000000000000000000fs"/>
            <w:bookmarkEnd w:id="246"/>
            <w:r>
              <w:rPr>
                <w:rFonts w:ascii="times new roman;times" w:hAnsi="times new roman;times"/>
                <w:sz w:val="20"/>
              </w:rPr>
              <w:t>27</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247" w:name="fs_VYSQH0OKTS00000000000000000000FM"/>
            <w:bookmarkEnd w:id="247"/>
            <w:r>
              <w:rPr>
                <w:rFonts w:ascii="Times New Roman;Times;serif" w:hAnsi="Times New Roman;Times;serif"/>
                <w:sz w:val="20"/>
              </w:rPr>
              <w:t>159</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(loss)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48" w:name="fs_FBQNDNWXMO00000000000000000000fs"/>
            <w:bookmarkEnd w:id="248"/>
            <w:r>
              <w:rPr>
                <w:rFonts w:ascii="times new roman;times" w:hAnsi="times new roman;times"/>
                <w:sz w:val="20"/>
              </w:rPr>
              <w:t>70</w:t>
            </w:r>
          </w:p>
        </w:tc>
        <w:tc>
          <w:tcPr>
            <w:tcW w:w="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49" w:name="fs_Q2GK5506JK00000000000000000000fs"/>
            <w:bookmarkEnd w:id="249"/>
            <w:r>
              <w:rPr>
                <w:rFonts w:ascii="times new roman;times" w:hAnsi="times new roman;times"/>
                <w:sz w:val="20"/>
              </w:rPr>
              <w:t>27</w:t>
            </w:r>
          </w:p>
        </w:tc>
        <w:tc>
          <w:tcPr>
            <w:tcW w:w="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25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50" w:name="fs_B0PH9UIMF400000000000000000000fs"/>
            <w:bookmarkEnd w:id="250"/>
            <w:r>
              <w:rPr>
                <w:rFonts w:ascii="times new roman;times" w:hAnsi="times new roman;times"/>
                <w:sz w:val="20"/>
              </w:rPr>
              <w:t>159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bookmarkStart w:id="251" w:name="fs_IHADJZ19QO00000000000000000000FM"/>
            <w:bookmarkEnd w:id="251"/>
            <w:r>
              <w:rPr/>
              <w:t>—</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bookmarkStart w:id="252" w:name="fs_NZPZ0QOAU800000000000000000000FM"/>
            <w:bookmarkEnd w:id="252"/>
            <w:r>
              <w:rPr/>
              <w:t>—</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pPr>
            <w:bookmarkStart w:id="253" w:name="fs_3UXQFS8F3K00000000000000000000FM"/>
            <w:bookmarkEnd w:id="253"/>
            <w:r>
              <w:rPr/>
              <w:t>—</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bookmarkStart w:id="254" w:name="fs_FB27VKKI2800000000000000000000FM"/>
            <w:bookmarkEnd w:id="254"/>
            <w:r>
              <w:rPr/>
              <w:t>—</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bookmarkStart w:id="255" w:name="fs_FD6SK7043400000000000000000000FM"/>
            <w:bookmarkEnd w:id="255"/>
            <w:r>
              <w:rPr/>
              <w:t>—</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2519" w:type="dxa"/>
            <w:tcBorders/>
            <w:shd w:fill="CCEEFF" w:val="clear"/>
            <w:vAlign w:val="center"/>
          </w:tcPr>
          <w:p>
            <w:pPr>
              <w:pStyle w:val="TableContents"/>
              <w:bidi w:val="0"/>
              <w:spacing w:before="0" w:after="0"/>
              <w:ind w:left="0" w:right="0" w:hanging="0"/>
              <w:jc w:val="right"/>
              <w:rPr/>
            </w:pPr>
            <w:bookmarkStart w:id="256" w:name="fs_IM67H85Y3K00000000000000000000FM"/>
            <w:bookmarkEnd w:id="256"/>
            <w:r>
              <w:rPr/>
              <w:t>—</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bookmarkStart w:id="257" w:name="fs_MMXP11QSDC00000000000000000000fs"/>
            <w:bookmarkEnd w:id="257"/>
            <w:r>
              <w:rPr>
                <w:rFonts w:ascii="times new roman;times" w:hAnsi="times new roman;times"/>
                <w:sz w:val="20"/>
              </w:rPr>
              <w:t>780</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bookmarkStart w:id="258" w:name="fs_642DUJQBEO00000000000000000000fs"/>
            <w:bookmarkEnd w:id="258"/>
            <w:r>
              <w:rPr>
                <w:rFonts w:ascii="times new roman;times" w:hAnsi="times new roman;times"/>
                <w:sz w:val="20"/>
              </w:rPr>
              <w:t>799</w:t>
            </w:r>
          </w:p>
        </w:tc>
        <w:tc>
          <w:tcPr>
            <w:tcW w:w="119"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rFonts w:ascii="times new roman;times" w:hAnsi="times new roman;times"/>
                <w:sz w:val="20"/>
              </w:rPr>
            </w:pPr>
            <w:bookmarkStart w:id="259" w:name="fs_0W65L77Z4W00000000000000000000fs"/>
            <w:bookmarkEnd w:id="259"/>
            <w:r>
              <w:rPr>
                <w:rFonts w:ascii="times new roman;times" w:hAnsi="times new roman;times"/>
                <w:sz w:val="20"/>
              </w:rPr>
              <w:t>2</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60" w:name="fs_ZR6EO75T4G00000000000000000000fs"/>
            <w:bookmarkEnd w:id="260"/>
            <w:r>
              <w:rPr>
                <w:rFonts w:ascii="times new roman;times" w:hAnsi="times new roman;times"/>
                <w:sz w:val="20"/>
              </w:rPr>
              <w:t>780</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61" w:name="fs_VLV9DOT9CG00000000000000000000fs"/>
            <w:bookmarkEnd w:id="261"/>
            <w:r>
              <w:rPr>
                <w:rFonts w:ascii="times new roman;times" w:hAnsi="times new roman;times"/>
                <w:sz w:val="20"/>
              </w:rPr>
              <w:t>799</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5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62" w:name="fs_G4UNQEU8RK00000000000000000000fs"/>
            <w:bookmarkEnd w:id="262"/>
            <w:r>
              <w:rPr>
                <w:rFonts w:ascii="times new roman;times" w:hAnsi="times new roman;times"/>
                <w:sz w:val="20"/>
              </w:rPr>
              <w:t>2</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63" w:name="fs_WLUJBQ9SJ400000000000000000000fs"/>
            <w:bookmarkEnd w:id="263"/>
            <w:r>
              <w:rPr>
                <w:rFonts w:ascii="times new roman;times" w:hAnsi="times new roman;times"/>
                <w:sz w:val="20"/>
              </w:rPr>
              <w:t>850</w:t>
            </w:r>
          </w:p>
        </w:tc>
        <w:tc>
          <w:tcPr>
            <w:tcW w:w="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64" w:name="fs_TUAD0NKIRK00000000000000000000fs"/>
            <w:bookmarkEnd w:id="264"/>
            <w:r>
              <w:rPr>
                <w:rFonts w:ascii="times new roman;times" w:hAnsi="times new roman;times"/>
                <w:sz w:val="20"/>
              </w:rPr>
              <w:t>826</w:t>
            </w:r>
          </w:p>
        </w:tc>
        <w:tc>
          <w:tcPr>
            <w:tcW w:w="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65" w:name="fs_FEIY95D3R400000000000000000000fs"/>
            <w:bookmarkEnd w:id="265"/>
            <w:r>
              <w:rPr>
                <w:rFonts w:ascii="times new roman;times" w:hAnsi="times new roman;times"/>
                <w:sz w:val="20"/>
              </w:rPr>
              <w:t>3</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net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bookmarkStart w:id="266" w:name="fs_6XZER0X52800000000000000000000fs"/>
            <w:bookmarkEnd w:id="266"/>
            <w:r>
              <w:rPr/>
              <w:t>—</w:t>
            </w:r>
          </w:p>
        </w:tc>
        <w:tc>
          <w:tcPr>
            <w:tcW w:w="11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67" w:name="fs_X9ZZLXH0AO00000000000000000000fs"/>
            <w:bookmarkEnd w:id="267"/>
            <w:r>
              <w:rPr>
                <w:rFonts w:ascii="times new roman;times" w:hAnsi="times new roman;times"/>
                <w:sz w:val="20"/>
              </w:rPr>
              <w:t>12</w:t>
            </w:r>
          </w:p>
        </w:tc>
        <w:tc>
          <w:tcPr>
            <w:tcW w:w="11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9"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251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68" w:name="fs_2OKMEP0N7400000000000000000000fs"/>
            <w:bookmarkEnd w:id="268"/>
            <w:r>
              <w:rPr>
                <w:rFonts w:ascii="times new roman;times" w:hAnsi="times new roman;times"/>
                <w:sz w:val="20"/>
              </w:rPr>
              <w:t>100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69" w:name="fs_Y35TIPFWV400000000000000000000fs"/>
            <w:bookmarkEnd w:id="269"/>
            <w:r>
              <w:rPr>
                <w:rFonts w:ascii="times new roman;times" w:hAnsi="times new roman;times"/>
                <w:sz w:val="20"/>
              </w:rPr>
              <w:t>850</w:t>
            </w:r>
          </w:p>
        </w:tc>
        <w:tc>
          <w:tcPr>
            <w:tcW w:w="119" w:type="dxa"/>
            <w:tcBorders/>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70" w:name="fs_X95W6J01Y800000000000000000000fs"/>
            <w:bookmarkEnd w:id="270"/>
            <w:r>
              <w:rPr>
                <w:rFonts w:ascii="times new roman;times" w:hAnsi="times new roman;times"/>
                <w:sz w:val="20"/>
              </w:rPr>
              <w:t>814</w:t>
            </w:r>
          </w:p>
        </w:tc>
        <w:tc>
          <w:tcPr>
            <w:tcW w:w="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71" w:name="fs_6UZONKNBDC00000000000000000000fs"/>
            <w:bookmarkEnd w:id="271"/>
            <w:r>
              <w:rPr>
                <w:rFonts w:ascii="times new roman;times" w:hAnsi="times new roman;times"/>
                <w:sz w:val="20"/>
              </w:rPr>
              <w:t>4</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(benefit) for income taxes </w:t>
            </w:r>
          </w:p>
        </w:tc>
        <w:tc>
          <w:tcPr>
            <w:tcW w:w="6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bookmarkStart w:id="272" w:name="fs_V9SW7XNVUO00000000000000000000fs"/>
            <w:bookmarkEnd w:id="272"/>
            <w:r>
              <w:rPr/>
              <w:t>—</w:t>
            </w:r>
          </w:p>
        </w:tc>
        <w:tc>
          <w:tcPr>
            <w:tcW w:w="119"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89"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bookmarkStart w:id="273" w:name="fs_7SCZVYN68G00000000000000000000fs"/>
            <w:bookmarkEnd w:id="273"/>
            <w:r>
              <w:rPr/>
              <w:t>—</w:t>
            </w:r>
          </w:p>
        </w:tc>
        <w:tc>
          <w:tcPr>
            <w:tcW w:w="11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9"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2519" w:type="dxa"/>
            <w:tcBorders/>
            <w:shd w:fill="CCEEFF" w:val="clear"/>
            <w:vAlign w:val="center"/>
          </w:tcPr>
          <w:p>
            <w:pPr>
              <w:pStyle w:val="TableContents"/>
              <w:bidi w:val="0"/>
              <w:spacing w:before="0" w:after="0"/>
              <w:ind w:left="0" w:right="0" w:hanging="0"/>
              <w:jc w:val="right"/>
              <w:rPr/>
            </w:pPr>
            <w:bookmarkStart w:id="274" w:name="fs_PA1ZKFMY2O00000000000000000000fs"/>
            <w:bookmarkEnd w:id="274"/>
            <w:r>
              <w:rPr/>
              <w:t>—</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7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from continuing operations </w:t>
            </w:r>
          </w:p>
        </w:tc>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75" w:name="fs_BJUB26QO0W00000000000000000000fs"/>
            <w:bookmarkEnd w:id="275"/>
            <w:r>
              <w:rPr>
                <w:rFonts w:ascii="times new roman;times" w:hAnsi="times new roman;times"/>
                <w:sz w:val="20"/>
              </w:rPr>
              <w:t>850</w:t>
            </w:r>
          </w:p>
        </w:tc>
        <w:tc>
          <w:tcPr>
            <w:tcW w:w="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8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76" w:name="fs_E4XZ98D9UO00000000000000000000fs"/>
            <w:bookmarkEnd w:id="276"/>
            <w:r>
              <w:rPr>
                <w:rFonts w:ascii="times new roman;times" w:hAnsi="times new roman;times"/>
                <w:sz w:val="20"/>
              </w:rPr>
              <w:t>814</w:t>
            </w:r>
          </w:p>
        </w:tc>
        <w:tc>
          <w:tcPr>
            <w:tcW w:w="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pPr>
            <w:r>
              <w:rPr/>
              <w:t> </w:t>
            </w:r>
          </w:p>
        </w:tc>
        <w:tc>
          <w:tcPr>
            <w:tcW w:w="2519"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77" w:name="fs_5UVC5UEC2800000000000000000000fs"/>
            <w:bookmarkEnd w:id="277"/>
            <w:r>
              <w:rPr>
                <w:rFonts w:ascii="times new roman;times" w:hAnsi="times new roman;times"/>
                <w:sz w:val="20"/>
              </w:rPr>
              <w:t>4</w:t>
            </w:r>
          </w:p>
        </w:tc>
        <w:tc>
          <w:tcPr>
            <w:tcW w:w="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200" w:after="200"/>
        <w:ind w:left="0" w:right="0" w:hanging="0"/>
        <w:jc w:val="left"/>
        <w:rPr>
          <w:b/>
          <w:i/>
          <w:caps w:val="false"/>
          <w:smallCaps w:val="false"/>
          <w:color w:val="000000"/>
          <w:spacing w:val="0"/>
          <w:sz w:val="20"/>
        </w:rPr>
      </w:pPr>
      <w:r>
        <w:rPr>
          <w:b/>
          <w:i/>
          <w:caps w:val="false"/>
          <w:smallCaps w:val="false"/>
          <w:color w:val="000000"/>
          <w:spacing w:val="0"/>
          <w:sz w:val="20"/>
        </w:rPr>
        <w:t>Overview</w:t>
      </w:r>
    </w:p>
    <w:p>
      <w:pPr>
        <w:pStyle w:val="TextBody"/>
        <w:bidi w:val="0"/>
        <w:spacing w:lineRule="auto" w:line="288" w:before="0" w:after="0"/>
        <w:jc w:val="both"/>
        <w:rPr>
          <w:sz w:val="20"/>
        </w:rPr>
      </w:pPr>
      <w:r>
        <w:rPr>
          <w:sz w:val="20"/>
        </w:rPr>
        <w:t xml:space="preserve">Continuing operations in Q1 2026 primarily comprise corporate activities (public-company reporting, governance, and compliance), warranty support for legacy products, and restructuring actions. We recorded no product revenue in continuing operations for the </w:t>
      </w:r>
      <w:bookmarkStart w:id="278" w:name="fs_S9GZ5BQ4Y800000000000000000000fs"/>
      <w:bookmarkEnd w:id="278"/>
      <w:r>
        <w:rPr>
          <w:sz w:val="20"/>
        </w:rPr>
        <w:t>three months ended March 31, 2026.</w:t>
      </w:r>
    </w:p>
    <w:p>
      <w:pPr>
        <w:pStyle w:val="TextBody"/>
        <w:bidi w:val="0"/>
        <w:spacing w:lineRule="auto" w:line="288" w:before="200" w:after="200"/>
        <w:ind w:left="0" w:right="0" w:hanging="0"/>
        <w:jc w:val="left"/>
        <w:rPr>
          <w:b/>
          <w:i/>
          <w:sz w:val="20"/>
        </w:rPr>
      </w:pPr>
      <w:r>
        <w:rPr>
          <w:b/>
          <w:i/>
          <w:sz w:val="20"/>
        </w:rPr>
        <w:t>Costs of Goods Sold and Gross Profit (Loss)</w:t>
      </w:r>
    </w:p>
    <w:p>
      <w:pPr>
        <w:pStyle w:val="TextBody"/>
        <w:bidi w:val="0"/>
        <w:spacing w:lineRule="auto" w:line="288" w:before="0" w:after="0"/>
        <w:jc w:val="both"/>
        <w:rPr>
          <w:sz w:val="20"/>
        </w:rPr>
      </w:pPr>
      <w:r>
        <w:rPr>
          <w:sz w:val="20"/>
        </w:rPr>
        <w:t>Cost of goods sold in continuing operations reflects warranty-related parts and labor and immaterial service inventory usage. With no revenue in continuing operations for the periods presented, gross margin percentages are not meaningful; the period-over-period dollar changes reflect timing and volume of warranty claims and repairs.</w:t>
      </w:r>
    </w:p>
    <w:p>
      <w:pPr>
        <w:pStyle w:val="TextBody"/>
        <w:bidi w:val="0"/>
        <w:spacing w:lineRule="auto" w:line="288" w:before="200" w:after="200"/>
        <w:ind w:left="0" w:right="0" w:hanging="0"/>
        <w:jc w:val="left"/>
        <w:rPr>
          <w:b/>
          <w:i/>
          <w:sz w:val="20"/>
        </w:rPr>
      </w:pPr>
      <w:r>
        <w:rPr>
          <w:b/>
          <w:i/>
          <w:sz w:val="20"/>
        </w:rPr>
        <w:t>Operating Expenses</w:t>
      </w:r>
    </w:p>
    <w:p>
      <w:pPr>
        <w:pStyle w:val="TextBody"/>
        <w:bidi w:val="0"/>
        <w:spacing w:lineRule="auto" w:line="288" w:before="0" w:after="0"/>
        <w:jc w:val="both"/>
        <w:rPr>
          <w:sz w:val="20"/>
        </w:rPr>
      </w:pPr>
      <w:r>
        <w:rPr>
          <w:b/>
          <w:sz w:val="20"/>
        </w:rPr>
        <w:t>General &amp; administrative (G&amp;A)</w:t>
      </w:r>
      <w:r>
        <w:rPr>
          <w:sz w:val="20"/>
        </w:rPr>
        <w:t xml:space="preserve"> - General &amp; administrative (G&amp;A) expenses in Q1 2026 were driven primarily by legal, advisory, and regulatory fees associated with the strategic review, disposition process, audit and tax fees, D&amp;O insurance, and incremental accounting and compliance costs. S&amp;M and R&amp;D expenses in continuing operations were immaterial following the classification of the product business as held for sale.</w:t>
      </w:r>
    </w:p>
    <w:p>
      <w:pPr>
        <w:pStyle w:val="TextBody"/>
        <w:bidi w:val="0"/>
        <w:spacing w:lineRule="auto" w:line="288" w:before="200" w:after="200"/>
        <w:ind w:left="0" w:right="0" w:hanging="0"/>
        <w:jc w:val="both"/>
        <w:rPr>
          <w:sz w:val="20"/>
        </w:rPr>
      </w:pPr>
      <w:r>
        <w:rPr>
          <w:b/>
          <w:sz w:val="20"/>
        </w:rPr>
        <w:t>Sales &amp; marketing (S&amp;M) and research &amp; development (R&amp;D)</w:t>
      </w:r>
      <w:r>
        <w:rPr>
          <w:sz w:val="20"/>
        </w:rPr>
        <w:t xml:space="preserve"> - Following classification of the product business as held for sale, S&amp;M and R&amp;D expenses in continuing operations were immaterial for the periods presented. To the extent severance or other exit costs were recognized in the quarter, such costs are reflected in the relevant operating expense caption in the period incurred.</w:t>
      </w:r>
    </w:p>
    <w:p>
      <w:pPr>
        <w:pStyle w:val="TextBody"/>
        <w:bidi w:val="0"/>
        <w:spacing w:lineRule="auto" w:line="288" w:before="0" w:after="0"/>
        <w:ind w:left="0" w:right="0" w:hanging="0"/>
        <w:jc w:val="both"/>
        <w:rPr>
          <w:sz w:val="20"/>
        </w:rPr>
      </w:pPr>
      <w:r>
        <w:rPr>
          <w:b/>
          <w:sz w:val="20"/>
        </w:rPr>
        <w:t>Restructuring/exit costs</w:t>
      </w:r>
      <w:r>
        <w:rPr>
          <w:sz w:val="20"/>
        </w:rPr>
        <w:t xml:space="preserve"> - To the extent actions met ASC </w:t>
      </w:r>
      <w:bookmarkStart w:id="279" w:name="fs_7XG28XSQJ400000000000000000000fs"/>
      <w:bookmarkEnd w:id="279"/>
      <w:r>
        <w:rPr>
          <w:sz w:val="20"/>
        </w:rPr>
        <w:t>420 recognition criteria, we recorded employee termination or contract termination costs; otherwise, such costs will be recognized when probable and reasonably estimable.</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80" w:name="PageBreakNo24"/>
            <w:bookmarkEnd w:id="280"/>
            <w:r>
              <w:rPr>
                <w:sz w:val="20"/>
              </w:rPr>
              <w:t>24</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color w:val="0000FF"/>
            <w:sz w:val="20"/>
          </w:rPr>
          <w:t>Table of Contents</w:t>
        </w:r>
      </w:hyperlink>
    </w:p>
    <w:p>
      <w:pPr>
        <w:pStyle w:val="TextBody"/>
        <w:bidi w:val="0"/>
        <w:spacing w:before="0" w:after="0"/>
        <w:ind w:left="0" w:right="0" w:hanging="0"/>
        <w:jc w:val="left"/>
        <w:rPr/>
      </w:pPr>
      <w:r>
        <w:rPr/>
      </w:r>
    </w:p>
    <w:p>
      <w:pPr>
        <w:pStyle w:val="TextBody"/>
        <w:bidi w:val="0"/>
        <w:spacing w:lineRule="auto" w:line="288" w:before="0" w:after="200"/>
        <w:ind w:left="0" w:right="0" w:hanging="0"/>
        <w:jc w:val="left"/>
        <w:rPr>
          <w:b/>
          <w:i/>
          <w:sz w:val="20"/>
        </w:rPr>
      </w:pPr>
      <w:r>
        <w:rPr>
          <w:b/>
          <w:i/>
          <w:sz w:val="20"/>
        </w:rPr>
        <w:t>Other income (expense), net</w:t>
      </w:r>
    </w:p>
    <w:p>
      <w:pPr>
        <w:pStyle w:val="TextBody"/>
        <w:bidi w:val="0"/>
        <w:spacing w:lineRule="auto" w:line="288" w:before="0" w:after="0"/>
        <w:jc w:val="both"/>
        <w:rPr>
          <w:sz w:val="20"/>
        </w:rPr>
      </w:pPr>
      <w:r>
        <w:rPr>
          <w:sz w:val="20"/>
        </w:rPr>
        <w:t>Other income (expense), net reflects interest income on cash equivalents, interest expense on the convertible note through its conversion on July 21, 2025, and immaterial gains/losses on asset disposals related to restructuring activities.</w:t>
      </w:r>
    </w:p>
    <w:p>
      <w:pPr>
        <w:pStyle w:val="TextBody"/>
        <w:bidi w:val="0"/>
        <w:spacing w:lineRule="auto" w:line="288" w:before="200" w:after="200"/>
        <w:ind w:left="0" w:right="0" w:hanging="0"/>
        <w:jc w:val="left"/>
        <w:rPr>
          <w:i/>
          <w:sz w:val="20"/>
        </w:rPr>
      </w:pPr>
      <w:r>
        <w:rPr>
          <w:b/>
          <w:i/>
          <w:sz w:val="20"/>
        </w:rPr>
        <w:t>Income taxes</w:t>
      </w:r>
      <w:r>
        <w:rPr>
          <w:i/>
          <w:sz w:val="20"/>
        </w:rPr>
        <w:t xml:space="preserve"> </w:t>
      </w:r>
    </w:p>
    <w:p>
      <w:pPr>
        <w:pStyle w:val="TextBody"/>
        <w:bidi w:val="0"/>
        <w:spacing w:lineRule="auto" w:line="288" w:before="0" w:after="0"/>
        <w:jc w:val="both"/>
        <w:rPr>
          <w:sz w:val="20"/>
        </w:rPr>
      </w:pPr>
      <w:r>
        <w:rPr>
          <w:sz w:val="20"/>
        </w:rPr>
        <w:t>We maintained a full valuation allowance against US federal and state deferred tax assets in both periods due to cumulative losses and uncertainty of realization. Accordingly, we did not recognize an income tax benefit for losses in continuing operations.</w:t>
      </w:r>
    </w:p>
    <w:p>
      <w:pPr>
        <w:pStyle w:val="TextBody"/>
        <w:bidi w:val="0"/>
        <w:spacing w:lineRule="auto" w:line="288" w:before="200" w:after="200"/>
        <w:ind w:left="0" w:right="0" w:hanging="0"/>
        <w:jc w:val="both"/>
        <w:rPr>
          <w:rFonts w:ascii="times new roman;times" w:hAnsi="times new roman;times"/>
          <w:i/>
          <w:sz w:val="20"/>
        </w:rPr>
      </w:pPr>
      <w:r>
        <w:rPr>
          <w:rFonts w:ascii="times new roman;times" w:hAnsi="times new roman;times"/>
          <w:i/>
          <w:sz w:val="20"/>
        </w:rPr>
        <w:t>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558" w:type="dxa"/>
        <w:jc w:val="left"/>
        <w:tblInd w:w="0" w:type="dxa"/>
        <w:tblLayout w:type="fixed"/>
        <w:tblCellMar>
          <w:top w:w="0" w:type="dxa"/>
          <w:left w:w="0" w:type="dxa"/>
          <w:bottom w:w="0" w:type="dxa"/>
          <w:right w:w="0" w:type="dxa"/>
        </w:tblCellMar>
      </w:tblPr>
      <w:tblGrid>
        <w:gridCol w:w="4505"/>
        <w:gridCol w:w="60"/>
        <w:gridCol w:w="171"/>
        <w:gridCol w:w="542"/>
        <w:gridCol w:w="109"/>
        <w:gridCol w:w="82"/>
        <w:gridCol w:w="171"/>
        <w:gridCol w:w="748"/>
        <w:gridCol w:w="109"/>
        <w:gridCol w:w="82"/>
        <w:gridCol w:w="439"/>
        <w:gridCol w:w="2460"/>
        <w:gridCol w:w="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3" w:type="dxa"/>
            <w:gridSpan w:val="10"/>
            <w:tcBorders/>
            <w:vAlign w:val="center"/>
          </w:tcPr>
          <w:p>
            <w:pPr>
              <w:pStyle w:val="TableContents"/>
              <w:bidi w:val="0"/>
              <w:spacing w:before="0" w:after="0"/>
              <w:ind w:left="0" w:right="0" w:hanging="0"/>
              <w:jc w:val="center"/>
              <w:rPr>
                <w:rFonts w:ascii="times new roman;times" w:hAnsi="times new roman;times"/>
                <w:b/>
                <w:sz w:val="20"/>
              </w:rPr>
            </w:pPr>
            <w:bookmarkStart w:id="281" w:name="fs_CGS6IWCX1S00000000000000000000FM"/>
            <w:bookmarkEnd w:id="281"/>
            <w:r>
              <w:rPr>
                <w:rFonts w:ascii="times new roman;times" w:hAnsi="times new roman;times"/>
                <w:b/>
                <w:sz w:val="20"/>
              </w:rPr>
              <w:t>Three months ended March 31,</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713"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282" w:name="fs_70ZGQAZUV400000000000000000000fs"/>
            <w:bookmarkEnd w:id="282"/>
            <w:r>
              <w:rPr>
                <w:rFonts w:ascii="times new roman;times" w:hAnsi="times new roman;times"/>
                <w:b/>
                <w:sz w:val="20"/>
              </w:rPr>
              <w:t>2026</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283" w:name="fs_3AOSLKOB4G00000000000000000000fs"/>
            <w:bookmarkEnd w:id="283"/>
            <w:r>
              <w:rPr>
                <w:rFonts w:ascii="times new roman;times" w:hAnsi="times new roman;times"/>
                <w:b/>
                <w:sz w:val="20"/>
              </w:rPr>
              <w:t>2025</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2899"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Revenue</w:t>
            </w:r>
          </w:p>
        </w:tc>
        <w:tc>
          <w:tcPr>
            <w:tcW w:w="60" w:type="dxa"/>
            <w:tcBorders/>
            <w:shd w:fill="CCEEFF" w:val="clear"/>
            <w:vAlign w:val="bottom"/>
          </w:tcPr>
          <w:p>
            <w:pPr>
              <w:pStyle w:val="TableContents"/>
              <w:bidi w:val="0"/>
              <w:spacing w:before="0" w:after="0"/>
              <w:ind w:left="0" w:right="0" w:hanging="0"/>
              <w:jc w:val="left"/>
              <w:rPr/>
            </w:pPr>
            <w:r>
              <w:rPr/>
              <w:t> </w:t>
            </w:r>
          </w:p>
        </w:tc>
        <w:tc>
          <w:tcPr>
            <w:tcW w:w="17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42" w:type="dxa"/>
            <w:tcBorders/>
            <w:shd w:fill="CCEEFF" w:val="clear"/>
            <w:vAlign w:val="bottom"/>
          </w:tcPr>
          <w:p>
            <w:pPr>
              <w:pStyle w:val="TableContents"/>
              <w:bidi w:val="0"/>
              <w:spacing w:before="0" w:after="0"/>
              <w:ind w:left="0" w:right="0" w:hanging="0"/>
              <w:jc w:val="right"/>
              <w:rPr/>
            </w:pPr>
            <w:bookmarkStart w:id="284" w:name="fs_2RXH14WRI800000000000000000000fs"/>
            <w:bookmarkEnd w:id="284"/>
            <w:r>
              <w:rPr/>
              <w:t>—</w:t>
            </w:r>
          </w:p>
        </w:tc>
        <w:tc>
          <w:tcPr>
            <w:tcW w:w="109" w:type="dxa"/>
            <w:tcBorders/>
            <w:shd w:fill="CCEEFF" w:val="clear"/>
            <w:vAlign w:val="bottom"/>
          </w:tcPr>
          <w:p>
            <w:pPr>
              <w:pStyle w:val="TableContents"/>
              <w:bidi w:val="0"/>
              <w:spacing w:before="0" w:after="0"/>
              <w:ind w:left="0" w:right="0" w:hanging="0"/>
              <w:jc w:val="left"/>
              <w:rPr/>
            </w:pPr>
            <w:r>
              <w:rPr/>
              <w:t> </w:t>
            </w:r>
          </w:p>
        </w:tc>
        <w:tc>
          <w:tcPr>
            <w:tcW w:w="82" w:type="dxa"/>
            <w:tcBorders/>
            <w:shd w:fill="CCEEFF" w:val="clear"/>
            <w:vAlign w:val="bottom"/>
          </w:tcPr>
          <w:p>
            <w:pPr>
              <w:pStyle w:val="TableContents"/>
              <w:bidi w:val="0"/>
              <w:spacing w:before="0" w:after="0"/>
              <w:ind w:left="0" w:right="0" w:hanging="0"/>
              <w:jc w:val="left"/>
              <w:rPr/>
            </w:pPr>
            <w:r>
              <w:rPr/>
              <w:t> </w:t>
            </w:r>
          </w:p>
        </w:tc>
        <w:tc>
          <w:tcPr>
            <w:tcW w:w="17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8"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285" w:name="fs_C0ALYKJVPC00000000000000000000FM"/>
            <w:bookmarkEnd w:id="285"/>
            <w:r>
              <w:rPr>
                <w:rFonts w:ascii="times new roman;times" w:hAnsi="times new roman;times"/>
                <w:sz w:val="20"/>
              </w:rPr>
              <w:t>2,313</w:t>
            </w:r>
          </w:p>
        </w:tc>
        <w:tc>
          <w:tcPr>
            <w:tcW w:w="109" w:type="dxa"/>
            <w:tcBorders/>
            <w:shd w:fill="CCEEFF" w:val="clear"/>
            <w:vAlign w:val="bottom"/>
          </w:tcPr>
          <w:p>
            <w:pPr>
              <w:pStyle w:val="TableContents"/>
              <w:bidi w:val="0"/>
              <w:spacing w:before="0" w:after="0"/>
              <w:ind w:left="0" w:right="0" w:hanging="0"/>
              <w:jc w:val="left"/>
              <w:rPr/>
            </w:pPr>
            <w:r>
              <w:rPr/>
              <w:t> </w:t>
            </w:r>
          </w:p>
        </w:tc>
        <w:tc>
          <w:tcPr>
            <w:tcW w:w="82" w:type="dxa"/>
            <w:tcBorders/>
            <w:shd w:fill="CCEEFF" w:val="clear"/>
            <w:vAlign w:val="bottom"/>
          </w:tcPr>
          <w:p>
            <w:pPr>
              <w:pStyle w:val="TableContents"/>
              <w:bidi w:val="0"/>
              <w:spacing w:before="0" w:after="0"/>
              <w:ind w:left="0" w:right="0" w:hanging="0"/>
              <w:jc w:val="left"/>
              <w:rPr/>
            </w:pPr>
            <w:r>
              <w:rPr/>
              <w:t> </w:t>
            </w:r>
          </w:p>
        </w:tc>
        <w:tc>
          <w:tcPr>
            <w:tcW w:w="439" w:type="dxa"/>
            <w:tcBorders/>
            <w:shd w:fill="CCEEFF" w:val="clear"/>
            <w:vAlign w:val="bottom"/>
          </w:tcPr>
          <w:p>
            <w:pPr>
              <w:pStyle w:val="TableContents"/>
              <w:bidi w:val="0"/>
              <w:spacing w:before="0" w:after="0"/>
              <w:ind w:left="0" w:right="0" w:hanging="0"/>
              <w:jc w:val="left"/>
              <w:rPr/>
            </w:pPr>
            <w:r>
              <w:rPr/>
              <w:t> </w:t>
            </w:r>
          </w:p>
        </w:tc>
        <w:tc>
          <w:tcPr>
            <w:tcW w:w="2460" w:type="dxa"/>
            <w:tcBorders/>
            <w:shd w:fill="CCEEFF" w:val="clear"/>
            <w:vAlign w:val="bottom"/>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286" w:name="fs_AA951UFLXC00000000000000000000fs"/>
            <w:bookmarkEnd w:id="286"/>
            <w:r>
              <w:rPr>
                <w:rFonts w:ascii="Times New Roman;Times;serif" w:hAnsi="Times New Roman;Times;serif"/>
                <w:sz w:val="20"/>
              </w:rPr>
              <w:t>100</w:t>
            </w:r>
          </w:p>
        </w:tc>
        <w:tc>
          <w:tcPr>
            <w:tcW w:w="80" w:type="dxa"/>
            <w:tcBorders/>
            <w:shd w:fill="CCEEFF" w:val="clear"/>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Cost of goods sold</w:t>
            </w:r>
          </w:p>
        </w:tc>
        <w:tc>
          <w:tcPr>
            <w:tcW w:w="60"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 w:hAnsi="times new roman;times"/>
                <w:sz w:val="20"/>
              </w:rPr>
            </w:pPr>
            <w:bookmarkStart w:id="287" w:name="fs_O3T56SEZGG00000000000000000000fs"/>
            <w:bookmarkEnd w:id="287"/>
            <w:r>
              <w:rPr>
                <w:rFonts w:ascii="times new roman;times" w:hAnsi="times new roman;times"/>
                <w:sz w:val="20"/>
              </w:rPr>
              <w:t>88</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times" w:hAnsi="times new roman;times"/>
                <w:sz w:val="20"/>
              </w:rPr>
            </w:pPr>
            <w:bookmarkStart w:id="288" w:name="fs_2C7HI8Q63400000000000000000000fs"/>
            <w:bookmarkEnd w:id="288"/>
            <w:r>
              <w:rPr>
                <w:rFonts w:ascii="times new roman;times" w:hAnsi="times new roman;times"/>
                <w:sz w:val="20"/>
              </w:rPr>
              <w:t>2,165</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serif" w:hAnsi="Times New Roman;Times;serif"/>
                <w:sz w:val="20"/>
              </w:rPr>
            </w:pPr>
            <w:bookmarkStart w:id="289" w:name="fs_68201TTJQ800000000000000000000FM"/>
            <w:bookmarkEnd w:id="289"/>
            <w:r>
              <w:rPr>
                <w:rFonts w:ascii="Times New Roman;Times;serif" w:hAnsi="Times New Roman;Times;serif"/>
                <w:sz w:val="20"/>
              </w:rPr>
              <w:t>96</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Gross profit (loss)</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90" w:name="fs_T5E3LZ1M1S00000000000000000000fs"/>
            <w:bookmarkEnd w:id="290"/>
            <w:r>
              <w:rPr>
                <w:rFonts w:ascii="times new roman;times" w:hAnsi="times new roman;times"/>
                <w:sz w:val="20"/>
              </w:rPr>
              <w:t>88</w:t>
            </w:r>
          </w:p>
        </w:tc>
        <w:tc>
          <w:tcPr>
            <w:tcW w:w="1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48"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91" w:name="fs_PUQ4YE7IK000000000000000000000fs"/>
            <w:bookmarkEnd w:id="291"/>
            <w:r>
              <w:rPr>
                <w:rFonts w:ascii="times new roman;times" w:hAnsi="times new roman;times"/>
                <w:sz w:val="20"/>
              </w:rPr>
              <w:t>148</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2"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92" w:name="fs_QBYXEIXSHC00000000000000000000fs"/>
            <w:bookmarkEnd w:id="292"/>
            <w:r>
              <w:rPr>
                <w:rFonts w:ascii="times new roman;times" w:hAnsi="times new roman;times"/>
                <w:sz w:val="20"/>
              </w:rPr>
              <w:t>159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Total operating expenses </w:t>
            </w:r>
          </w:p>
        </w:tc>
        <w:tc>
          <w:tcPr>
            <w:tcW w:w="60"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 w:hAnsi="times new roman;times"/>
                <w:sz w:val="20"/>
              </w:rPr>
            </w:pPr>
            <w:bookmarkStart w:id="293" w:name="fs_V1U03N8EK000000000000000000000fs"/>
            <w:bookmarkEnd w:id="293"/>
            <w:r>
              <w:rPr>
                <w:rFonts w:ascii="times new roman;times" w:hAnsi="times new roman;times"/>
                <w:sz w:val="20"/>
              </w:rPr>
              <w:t>264</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times" w:hAnsi="times new roman;times"/>
                <w:sz w:val="20"/>
              </w:rPr>
            </w:pPr>
            <w:bookmarkStart w:id="294" w:name="fs_A7AR5HE50G00000000000000000000fs"/>
            <w:bookmarkEnd w:id="294"/>
            <w:r>
              <w:rPr>
                <w:rFonts w:ascii="times new roman;times" w:hAnsi="times new roman;times"/>
                <w:sz w:val="20"/>
              </w:rPr>
              <w:t>2,168</w:t>
            </w:r>
          </w:p>
        </w:tc>
        <w:tc>
          <w:tcPr>
            <w:tcW w:w="109" w:type="dxa"/>
            <w:tcBorders/>
            <w:vAlign w:val="center"/>
          </w:tcPr>
          <w:p>
            <w:pPr>
              <w:pStyle w:val="TableContents"/>
              <w:bidi w:val="0"/>
              <w:spacing w:before="0" w:after="0"/>
              <w:ind w:left="0" w:right="0" w:hanging="0"/>
              <w:jc w:val="left"/>
              <w:rPr/>
            </w:pPr>
            <w:r>
              <w:rPr/>
              <w:t> </w:t>
            </w:r>
          </w:p>
        </w:tc>
        <w:tc>
          <w:tcPr>
            <w:tcW w:w="82"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283"/>
              <w:ind w:left="0" w:right="0" w:hanging="0"/>
              <w:jc w:val="left"/>
              <w:rPr>
                <w:sz w:val="4"/>
                <w:szCs w:val="4"/>
              </w:rPr>
            </w:pPr>
            <w:r>
              <w:rPr>
                <w:sz w:val="4"/>
                <w:szCs w:val="4"/>
              </w:rPr>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bookmarkStart w:id="295" w:name="fs_D053S6MM4W00000000000000000000fs"/>
            <w:bookmarkEnd w:id="295"/>
            <w:r>
              <w:rPr>
                <w:rFonts w:ascii="times new roman;times" w:hAnsi="times new roman;times"/>
                <w:sz w:val="20"/>
              </w:rPr>
              <w:t>88</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Operating loss</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96" w:name="fs_T5BQ5AR2N400000000000000000000fs"/>
            <w:bookmarkEnd w:id="296"/>
            <w:r>
              <w:rPr>
                <w:rFonts w:ascii="times new roman;times" w:hAnsi="times new roman;times"/>
                <w:sz w:val="20"/>
              </w:rPr>
              <w:t>430</w:t>
            </w:r>
          </w:p>
        </w:tc>
        <w:tc>
          <w:tcPr>
            <w:tcW w:w="1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297" w:name="fs_G5CW7P9UDC00000000000000000000fs"/>
            <w:bookmarkEnd w:id="297"/>
            <w:r>
              <w:rPr>
                <w:rFonts w:ascii="times new roman;times" w:hAnsi="times new roman;times"/>
                <w:sz w:val="20"/>
              </w:rPr>
              <w:t>2,020</w:t>
            </w:r>
          </w:p>
        </w:tc>
        <w:tc>
          <w:tcPr>
            <w:tcW w:w="1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298" w:name="fs_0CSPR33H0G00000000000000000000fs"/>
            <w:bookmarkEnd w:id="298"/>
            <w:r>
              <w:rPr>
                <w:rFonts w:ascii="times new roman;times" w:hAnsi="times new roman;times"/>
                <w:sz w:val="20"/>
              </w:rPr>
              <w:t>79</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vAlign w:val="center"/>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Income /(Loss) from discontinued operations, net of tax</w:t>
            </w:r>
          </w:p>
        </w:tc>
        <w:tc>
          <w:tcPr>
            <w:tcW w:w="60"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42" w:type="dxa"/>
            <w:tcBorders/>
            <w:vAlign w:val="center"/>
          </w:tcPr>
          <w:p>
            <w:pPr>
              <w:pStyle w:val="TableContents"/>
              <w:bidi w:val="0"/>
              <w:spacing w:before="0" w:after="0"/>
              <w:ind w:left="0" w:right="0" w:hanging="0"/>
              <w:jc w:val="right"/>
              <w:rPr>
                <w:rFonts w:ascii="times new roman;times" w:hAnsi="times new roman;times"/>
                <w:sz w:val="20"/>
              </w:rPr>
            </w:pPr>
            <w:bookmarkStart w:id="299" w:name="fs_16TMPDS6XC00000000000000000000fs"/>
            <w:bookmarkEnd w:id="299"/>
            <w:r>
              <w:rPr>
                <w:rFonts w:ascii="times new roman;times" w:hAnsi="times new roman;times"/>
                <w:sz w:val="20"/>
              </w:rPr>
              <w:t>363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2"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4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00" w:name="fs_4H94KCDFDS00000000000000000000fs"/>
            <w:bookmarkEnd w:id="300"/>
            <w:r>
              <w:rPr>
                <w:rFonts w:ascii="times new roman;times" w:hAnsi="times new roman;times"/>
                <w:sz w:val="20"/>
              </w:rPr>
              <w:t>2,020</w:t>
            </w:r>
          </w:p>
        </w:tc>
        <w:tc>
          <w:tcPr>
            <w:tcW w:w="1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bookmarkStart w:id="301" w:name="fs_D2JJD2JLPS00000000000000000000fs"/>
            <w:bookmarkEnd w:id="301"/>
            <w:r>
              <w:rPr>
                <w:rFonts w:ascii="times new roman;times" w:hAnsi="times new roman;times"/>
                <w:sz w:val="20"/>
              </w:rPr>
              <w:t>118</w:t>
            </w:r>
          </w:p>
        </w:tc>
        <w:tc>
          <w:tcPr>
            <w:tcW w:w="80" w:type="dxa"/>
            <w:tcBorders/>
            <w:vAlign w:val="center"/>
          </w:tcPr>
          <w:p>
            <w:pPr>
              <w:pStyle w:val="TableContents"/>
              <w:bidi w:val="0"/>
              <w:spacing w:before="0" w:after="283"/>
              <w:jc w:val="left"/>
              <w:rPr>
                <w:sz w:val="4"/>
                <w:szCs w:val="4"/>
              </w:rPr>
            </w:pPr>
            <w:r>
              <w:rPr>
                <w:sz w:val="4"/>
                <w:szCs w:val="4"/>
              </w:rPr>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val="false"/>
          <w:b w:val="false"/>
          <w:bCs w:val="false"/>
          <w:i w:val="false"/>
          <w:i w:val="false"/>
          <w:iCs w:val="false"/>
          <w:caps w:val="false"/>
          <w:smallCaps w:val="false"/>
          <w:color w:val="000000"/>
          <w:spacing w:val="0"/>
          <w:sz w:val="20"/>
          <w:szCs w:val="20"/>
        </w:rPr>
      </w:pPr>
      <w:r>
        <w:rPr>
          <w:rFonts w:ascii="times new roman;times" w:hAnsi="times new roman;times"/>
          <w:b w:val="false"/>
          <w:bCs w:val="false"/>
          <w:i w:val="false"/>
          <w:iCs w:val="false"/>
          <w:caps w:val="false"/>
          <w:smallCaps w:val="false"/>
          <w:color w:val="000000"/>
          <w:spacing w:val="0"/>
          <w:sz w:val="20"/>
          <w:szCs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Revenue</w:t>
      </w:r>
      <w:r>
        <w:rPr>
          <w:rFonts w:ascii="times new roman;times" w:hAnsi="times new roman;times"/>
          <w:sz w:val="20"/>
        </w:rPr>
        <w:t> in discontinued operations declined to</w:t>
      </w:r>
      <w:r>
        <w:rPr>
          <w:rFonts w:ascii="times new roman;times" w:hAnsi="times new roman;times"/>
          <w:sz w:val="20"/>
        </w:rPr>
        <w:t> $</w:t>
      </w:r>
      <w:bookmarkStart w:id="302" w:name="fs_JP8HLFCVGG00000000000000000000FM"/>
      <w:bookmarkEnd w:id="302"/>
      <w:r>
        <w:rPr>
          <w:rFonts w:ascii="times new roman;times" w:hAnsi="times new roman;times"/>
          <w:sz w:val="20"/>
        </w:rPr>
        <w:t>0 in </w:t>
      </w:r>
      <w:bookmarkStart w:id="303" w:name="fs_TXQ3EVJB6800000000000000000000FM"/>
      <w:bookmarkEnd w:id="303"/>
      <w:r>
        <w:rPr>
          <w:rFonts w:ascii="times new roman;times" w:hAnsi="times new roman;times"/>
          <w:sz w:val="20"/>
        </w:rPr>
        <w:t>Q1 </w:t>
      </w:r>
      <w:bookmarkStart w:id="304" w:name="fs_K5ZK8588FK00000000000000000000FM"/>
      <w:bookmarkEnd w:id="304"/>
      <w:r>
        <w:rPr>
          <w:rFonts w:ascii="times new roman;times" w:hAnsi="times new roman;times"/>
          <w:sz w:val="20"/>
        </w:rPr>
        <w:t>2026 compared to $2,313 in </w:t>
      </w:r>
      <w:bookmarkStart w:id="305" w:name="fs_5DXFJX6E4G00000000000000000000FM"/>
      <w:bookmarkEnd w:id="305"/>
      <w:r>
        <w:rPr>
          <w:rFonts w:ascii="times new roman;times" w:hAnsi="times new roman;times"/>
          <w:sz w:val="20"/>
        </w:rPr>
        <w:t>Q1 </w:t>
      </w:r>
      <w:bookmarkStart w:id="306" w:name="fs_SZOLKEF4YO00000000000000000000fs"/>
      <w:bookmarkEnd w:id="306"/>
      <w:r>
        <w:rPr>
          <w:rFonts w:ascii="times new roman;times" w:hAnsi="times new roman;times"/>
          <w:sz w:val="20"/>
        </w:rPr>
        <w:t>2025</w:t>
      </w:r>
      <w:r>
        <w:rPr>
          <w:rFonts w:ascii="times new roman;times" w:hAnsi="times new roman;times"/>
          <w:sz w:val="20"/>
        </w:rPr>
        <w:t>, reflecting the completion of the Asset Sale in October 2025. See Note 2 — Discontinued Operations and Assets Held for Sale for additional details on the components of discontinued operations.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07" w:name="PageBreakNo25"/>
            <w:bookmarkEnd w:id="307"/>
            <w:r>
              <w:rPr>
                <w:sz w:val="20"/>
              </w:rPr>
              <w:t>25</w:t>
            </w:r>
          </w:p>
        </w:tc>
      </w:tr>
    </w:tbl>
    <w:p>
      <w:pPr>
        <w:pStyle w:val="HorizontalLine"/>
        <w:bidi w:val="0"/>
        <w:spacing w:before="0" w:after="0"/>
        <w:jc w:val="left"/>
        <w:rPr/>
      </w:pPr>
      <w:r>
        <w:rPr/>
      </w:r>
    </w:p>
    <w:p>
      <w:pPr>
        <w:pStyle w:val="TextBody"/>
        <w:bidi w:val="0"/>
        <w:spacing w:before="0" w:after="0"/>
        <w:jc w:val="left"/>
        <w:rPr/>
      </w:pPr>
      <w:hyperlink w:anchor="TOC">
        <w:r>
          <w:rPr>
            <w:rStyle w:val="InternetLink"/>
            <w:color w:val="0000FF"/>
            <w:sz w:val="20"/>
          </w:rPr>
          <w:t>Table of Contents</w:t>
        </w:r>
      </w:hyperlink>
    </w:p>
    <w:p>
      <w:pPr>
        <w:pStyle w:val="TextBody"/>
        <w:bidi w:val="0"/>
        <w:spacing w:lineRule="auto" w:line="288" w:before="200" w:after="0"/>
        <w:ind w:left="0" w:right="0" w:hanging="0"/>
        <w:jc w:val="both"/>
        <w:rPr>
          <w:rFonts w:ascii="Times New Roman" w:hAnsi="Times New Roman"/>
          <w:b/>
          <w:i/>
          <w:sz w:val="20"/>
        </w:rPr>
      </w:pPr>
      <w:r>
        <w:rPr>
          <w:rFonts w:ascii="Times New Roman" w:hAnsi="Times New Roman"/>
          <w:b/>
          <w:i/>
          <w:sz w:val="20"/>
        </w:rPr>
        <w:t>Costs of Goods Sold and Gross Profit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gross profit </w:t>
      </w:r>
      <w:r>
        <w:rPr>
          <w:rFonts w:ascii="Times New Roman;serif" w:hAnsi="Times New Roman;serif"/>
          <w:color w:val="000000"/>
          <w:sz w:val="20"/>
        </w:rPr>
        <w:t>decreased</w:t>
      </w:r>
      <w:r>
        <w:rPr>
          <w:rFonts w:ascii="times new roman;times" w:hAnsi="times new roman;times"/>
          <w:sz w:val="20"/>
        </w:rPr>
        <w:t> from $</w:t>
      </w:r>
      <w:bookmarkStart w:id="308" w:name="fs_ZMZ9NXK3K000000000000000000000FM"/>
      <w:bookmarkEnd w:id="308"/>
      <w:r>
        <w:rPr>
          <w:rFonts w:ascii="times new roman;times" w:hAnsi="times new roman;times"/>
          <w:sz w:val="20"/>
        </w:rPr>
        <w:t>148 during </w:t>
      </w:r>
      <w:bookmarkStart w:id="309" w:name="fs_219UN4M4J400000000000000000000FM"/>
      <w:bookmarkEnd w:id="309"/>
      <w:r>
        <w:rPr>
          <w:rFonts w:ascii="times new roman;times" w:hAnsi="times new roman;times"/>
          <w:sz w:val="20"/>
        </w:rPr>
        <w:t>2025</w:t>
      </w:r>
      <w:r>
        <w:rPr>
          <w:rFonts w:ascii="times new roman;times" w:hAnsi="times new roman;times"/>
          <w:sz w:val="20"/>
        </w:rPr>
        <w:t>-</w:t>
      </w:r>
      <w:bookmarkStart w:id="310" w:name="fs_3XA3TFUE5C00000000000000000000FM"/>
      <w:bookmarkEnd w:id="310"/>
      <w:r>
        <w:rPr>
          <w:rFonts w:ascii="times new roman;times" w:hAnsi="times new roman;times"/>
          <w:sz w:val="20"/>
        </w:rPr>
        <w:t>Q1 to a loss of $</w:t>
      </w:r>
      <w:bookmarkStart w:id="311" w:name="fs_NCEN45UV7400000000000000000000FM"/>
      <w:bookmarkEnd w:id="311"/>
      <w:r>
        <w:rPr>
          <w:rFonts w:ascii="times new roman;times" w:hAnsi="times new roman;times"/>
          <w:sz w:val="20"/>
        </w:rPr>
        <w:t>88 during </w:t>
      </w:r>
      <w:bookmarkStart w:id="312" w:name="fs_OTMASGZN2O00000000000000000000FM"/>
      <w:bookmarkEnd w:id="312"/>
      <w:r>
        <w:rPr>
          <w:rFonts w:ascii="times new roman;times" w:hAnsi="times new roman;times"/>
          <w:sz w:val="20"/>
        </w:rPr>
        <w:t>2026</w:t>
      </w:r>
      <w:r>
        <w:rPr>
          <w:rFonts w:ascii="times new roman;times" w:hAnsi="times new roman;times"/>
          <w:sz w:val="20"/>
        </w:rPr>
        <w:t>-</w:t>
      </w:r>
      <w:bookmarkStart w:id="313" w:name="fs_IQ8JES7ZIO00000000000000000000FM"/>
      <w:bookmarkEnd w:id="313"/>
      <w:r>
        <w:rPr>
          <w:rFonts w:ascii="times new roman;times" w:hAnsi="times new roman;times"/>
          <w:sz w:val="20"/>
        </w:rPr>
        <w:t>Q1.</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reduction in gross profit reflects the completion of the Asset Sale in October 2025. See Note 2 — Discontinued Operations and Assets Held for Sale for additional details on the components of discontinued operations.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Operating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Operating expenses include sales and marketing (“S&amp;M”) expenses, research and product development (“R&amp;D”) expenses and general and administrative (“G&amp;A”) expenses. Total operating expenses in </w:t>
      </w:r>
      <w:bookmarkStart w:id="314" w:name="fs_YYAIEYQL6O00000000000000000000FM"/>
      <w:bookmarkEnd w:id="314"/>
      <w:r>
        <w:rPr>
          <w:rFonts w:ascii="times new roman;times" w:hAnsi="times new roman;times"/>
          <w:sz w:val="20"/>
        </w:rPr>
        <w:t>2026</w:t>
      </w:r>
      <w:r>
        <w:rPr>
          <w:rFonts w:ascii="times new roman;times" w:hAnsi="times new roman;times"/>
          <w:sz w:val="20"/>
        </w:rPr>
        <w:t>-</w:t>
      </w:r>
      <w:bookmarkStart w:id="315" w:name="fs_FFW84RVYVK00000000000000000000FM"/>
      <w:bookmarkEnd w:id="315"/>
      <w:r>
        <w:rPr>
          <w:rFonts w:ascii="times new roman;times" w:hAnsi="times new roman;times"/>
          <w:sz w:val="20"/>
        </w:rPr>
        <w:t>Q1 were $</w:t>
      </w:r>
      <w:bookmarkStart w:id="316" w:name="fs_IA429GNCDS00000000000000000000FM"/>
      <w:bookmarkEnd w:id="316"/>
      <w:r>
        <w:rPr>
          <w:rFonts w:ascii="times new roman;times" w:hAnsi="times new roman;times"/>
          <w:sz w:val="20"/>
        </w:rPr>
        <w:t>264 compared to $2,</w:t>
      </w:r>
      <w:r>
        <w:rPr>
          <w:rFonts w:ascii="times new roman;times" w:hAnsi="times new roman;times"/>
          <w:sz w:val="20"/>
        </w:rPr>
        <w:t>168</w:t>
      </w:r>
      <w:r>
        <w:rPr>
          <w:rFonts w:ascii="times new roman;times" w:hAnsi="times new roman;times"/>
          <w:sz w:val="20"/>
        </w:rPr>
        <w:t> in </w:t>
      </w:r>
      <w:bookmarkStart w:id="317" w:name="fs_OW8SSO2OA800000000000000000000FM"/>
      <w:bookmarkEnd w:id="317"/>
      <w:r>
        <w:rPr>
          <w:rFonts w:ascii="times new roman;times" w:hAnsi="times new roman;times"/>
          <w:sz w:val="20"/>
        </w:rPr>
        <w:t>2025</w:t>
      </w:r>
      <w:r>
        <w:rPr>
          <w:rFonts w:ascii="times new roman;times" w:hAnsi="times new roman;times"/>
          <w:sz w:val="20"/>
        </w:rPr>
        <w:t>-</w:t>
      </w:r>
      <w:bookmarkStart w:id="318" w:name="fs_Z75C7UR3K000000000000000000000FM"/>
      <w:bookmarkEnd w:id="318"/>
      <w:r>
        <w:rPr>
          <w:rFonts w:ascii="times new roman;times" w:hAnsi="times new roman;times"/>
          <w:sz w:val="20"/>
        </w:rPr>
        <w:t>Q1. The following contains a more detailed discussion of expenses related to sales and marketing, research and product development, general and administrative, and other items.</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i/>
          <w:sz w:val="20"/>
          <w:u w:val="single"/>
        </w:rPr>
        <w:t>Sales and Marketing</w:t>
      </w:r>
      <w:r>
        <w:rPr>
          <w:rFonts w:ascii="times new roman;times" w:hAnsi="times new roman;times"/>
          <w:sz w:val="20"/>
        </w:rPr>
        <w:t> </w:t>
      </w:r>
      <w:r>
        <w:rPr>
          <w:rFonts w:ascii="Times New Roman" w:hAnsi="Times New Roman"/>
          <w:sz w:val="20"/>
        </w:rPr>
        <w:t>- S&amp;M expenses include selling, customer service, and marketing expenses such as employee-related costs, allocations of overhead expenses, trade shows, and other advertising and selling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S&amp;M expenses were</w:t>
      </w:r>
      <w:r>
        <w:rPr>
          <w:rFonts w:ascii="times new roman;times" w:hAnsi="times new roman;times"/>
          <w:sz w:val="20"/>
        </w:rPr>
        <w:t> </w:t>
      </w:r>
      <w:r>
        <w:rPr>
          <w:rFonts w:ascii="Times New Roman" w:hAnsi="Times New Roman"/>
          <w:sz w:val="20"/>
        </w:rPr>
        <w:t>$</w:t>
      </w:r>
      <w:bookmarkStart w:id="319" w:name="fs_88OE216XKG00000000000000000000fs"/>
      <w:bookmarkEnd w:id="319"/>
      <w:r>
        <w:rPr>
          <w:rFonts w:ascii="Times New Roman" w:hAnsi="Times New Roman"/>
          <w:sz w:val="20"/>
        </w:rPr>
        <w:t>33 in </w:t>
      </w:r>
      <w:bookmarkStart w:id="320" w:name="fs_PBAKQE5S2800000000000000000000FM"/>
      <w:bookmarkEnd w:id="320"/>
      <w:r>
        <w:rPr>
          <w:rFonts w:ascii="Times New Roman" w:hAnsi="Times New Roman"/>
          <w:sz w:val="20"/>
        </w:rPr>
        <w:t>Q1-</w:t>
      </w:r>
      <w:bookmarkStart w:id="321" w:name="fs_L1U6ISOZDS00000000000000000000FM"/>
      <w:bookmarkEnd w:id="321"/>
      <w:r>
        <w:rPr>
          <w:rFonts w:ascii="Times New Roman" w:hAnsi="Times New Roman"/>
          <w:sz w:val="20"/>
        </w:rPr>
        <w:t>2026</w:t>
      </w:r>
      <w:r>
        <w:rPr>
          <w:rFonts w:ascii="Times New Roman" w:hAnsi="Times New Roman"/>
          <w:sz w:val="20"/>
        </w:rPr>
        <w:t>, compared to $1,</w:t>
      </w:r>
      <w:r>
        <w:rPr>
          <w:rFonts w:ascii="Times New Roman" w:hAnsi="Times New Roman"/>
          <w:sz w:val="20"/>
        </w:rPr>
        <w:t>116</w:t>
      </w:r>
      <w:r>
        <w:rPr>
          <w:rFonts w:ascii="Times New Roman" w:hAnsi="Times New Roman"/>
          <w:sz w:val="20"/>
        </w:rPr>
        <w:t> in </w:t>
      </w:r>
      <w:bookmarkStart w:id="322" w:name="fs_S5YTLPSN5S00000000000000000000FM"/>
      <w:bookmarkEnd w:id="322"/>
      <w:r>
        <w:rPr>
          <w:rFonts w:ascii="Times New Roman" w:hAnsi="Times New Roman"/>
          <w:sz w:val="20"/>
        </w:rPr>
        <w:t>Q1-</w:t>
      </w:r>
      <w:bookmarkStart w:id="323" w:name="fs_AD1X16KS5S00000000000000000000FM"/>
      <w:bookmarkEnd w:id="323"/>
      <w:r>
        <w:rPr>
          <w:rFonts w:ascii="Times New Roman" w:hAnsi="Times New Roman"/>
          <w:sz w:val="20"/>
        </w:rPr>
        <w:t>2025</w:t>
      </w:r>
      <w:r>
        <w:rPr>
          <w:rFonts w:ascii="Times New Roman" w:hAnsi="Times New Roman"/>
          <w:sz w:val="20"/>
        </w:rPr>
        <w:t>. Both comparisons are the result of decreased sales commissions on fewer sales as well as lowered marketing spend inclusive of the reduction in force completed in Q3 of 2025.</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Research and Product Development</w:t>
      </w:r>
      <w:r>
        <w:rPr>
          <w:rFonts w:ascii="times new roman;times" w:hAnsi="times new roman;times"/>
          <w:sz w:val="20"/>
        </w:rPr>
        <w:t> </w:t>
      </w:r>
      <w:r>
        <w:rPr>
          <w:rFonts w:ascii="Times New Roman" w:hAnsi="Times New Roman"/>
          <w:sz w:val="20"/>
        </w:rPr>
        <w:t>- 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R&amp;D expenses were $</w:t>
      </w:r>
      <w:bookmarkStart w:id="324" w:name="fs_6XJ7OR5IHS00000000000000000000fs"/>
      <w:bookmarkEnd w:id="324"/>
      <w:r>
        <w:rPr>
          <w:rFonts w:ascii="Times New Roman" w:hAnsi="Times New Roman"/>
          <w:sz w:val="20"/>
        </w:rPr>
        <w:t>9 in </w:t>
      </w:r>
      <w:bookmarkStart w:id="325" w:name="fs_LMC3J5234G00000000000000000000FM"/>
      <w:bookmarkEnd w:id="325"/>
      <w:r>
        <w:rPr>
          <w:rFonts w:ascii="Times New Roman" w:hAnsi="Times New Roman"/>
          <w:sz w:val="20"/>
        </w:rPr>
        <w:t>Q1-</w:t>
      </w:r>
      <w:bookmarkStart w:id="326" w:name="fs_TFWLQPZUV400000000000000000000FM"/>
      <w:bookmarkEnd w:id="326"/>
      <w:r>
        <w:rPr>
          <w:rFonts w:ascii="Times New Roman" w:hAnsi="Times New Roman"/>
          <w:sz w:val="20"/>
        </w:rPr>
        <w:t>2026</w:t>
      </w:r>
      <w:r>
        <w:rPr>
          <w:rFonts w:ascii="Times New Roman" w:hAnsi="Times New Roman"/>
          <w:sz w:val="20"/>
        </w:rPr>
        <w:t>, compared to $</w:t>
      </w:r>
      <w:bookmarkStart w:id="327" w:name="fs_YCHHLVMBU800000000000000000000FM"/>
      <w:bookmarkEnd w:id="327"/>
      <w:r>
        <w:rPr>
          <w:rFonts w:ascii="Times New Roman" w:hAnsi="Times New Roman"/>
          <w:sz w:val="20"/>
        </w:rPr>
        <w:t>691 in </w:t>
      </w:r>
      <w:bookmarkStart w:id="328" w:name="fs_RX6RF6GYLC00000000000000000000FM"/>
      <w:bookmarkEnd w:id="328"/>
      <w:r>
        <w:rPr>
          <w:rFonts w:ascii="Times New Roman" w:hAnsi="Times New Roman"/>
          <w:sz w:val="20"/>
        </w:rPr>
        <w:t>Q1-</w:t>
      </w:r>
      <w:bookmarkStart w:id="329" w:name="fs_HUKR9G4XBK00000000000000000000FM"/>
      <w:bookmarkEnd w:id="329"/>
      <w:r>
        <w:rPr>
          <w:rFonts w:ascii="Times New Roman" w:hAnsi="Times New Roman"/>
          <w:sz w:val="20"/>
        </w:rPr>
        <w:t>2025</w:t>
      </w:r>
      <w:r>
        <w:rPr>
          <w:rFonts w:ascii="Times New Roman" w:hAnsi="Times New Roman"/>
          <w:sz w:val="20"/>
        </w:rPr>
        <w:t>. The decrease in comparing the quarterly results was due to a decrease in headcount.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General and Administrative</w:t>
      </w:r>
      <w:r>
        <w:rPr>
          <w:rFonts w:ascii="times new roman;times" w:hAnsi="times new roman;times"/>
          <w:sz w:val="20"/>
        </w:rPr>
        <w:t> </w:t>
      </w:r>
      <w:r>
        <w:rPr>
          <w:rFonts w:ascii="Times New Roman" w:hAnsi="Times New Roman"/>
          <w:sz w:val="20"/>
        </w:rPr>
        <w:t>- G&amp;A expenses include employee-related costs, allocations of overhead expenses, litigation costs, and corporate administrative costs, including costs related to operational teams.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G&amp;A expenses were $</w:t>
      </w:r>
      <w:bookmarkStart w:id="330" w:name="fs_S6TGTIM4SG00000000000000000000FM"/>
      <w:bookmarkEnd w:id="330"/>
      <w:r>
        <w:rPr>
          <w:rFonts w:ascii="Times New Roman" w:hAnsi="Times New Roman"/>
          <w:sz w:val="20"/>
        </w:rPr>
        <w:t>222 in </w:t>
      </w:r>
      <w:bookmarkStart w:id="331" w:name="fs_VHR17CQCSG00000000000000000000FM"/>
      <w:bookmarkEnd w:id="331"/>
      <w:r>
        <w:rPr>
          <w:rFonts w:ascii="Times New Roman" w:hAnsi="Times New Roman"/>
          <w:sz w:val="20"/>
        </w:rPr>
        <w:t>Q1</w:t>
      </w:r>
      <w:r>
        <w:rPr>
          <w:rFonts w:ascii="Times New Roman" w:hAnsi="Times New Roman"/>
          <w:sz w:val="20"/>
        </w:rPr>
        <w:t>-</w:t>
      </w:r>
      <w:bookmarkStart w:id="332" w:name="fs_VSAS8V78AO00000000000000000000FM"/>
      <w:bookmarkEnd w:id="332"/>
      <w:r>
        <w:rPr>
          <w:rFonts w:ascii="Times New Roman" w:hAnsi="Times New Roman"/>
          <w:sz w:val="20"/>
        </w:rPr>
        <w:t>2026</w:t>
      </w:r>
      <w:r>
        <w:rPr>
          <w:rFonts w:ascii="Times New Roman" w:hAnsi="Times New Roman"/>
          <w:sz w:val="20"/>
        </w:rPr>
        <w:t>, </w:t>
      </w:r>
      <w:r>
        <w:rPr>
          <w:rFonts w:ascii="Times New Roman" w:hAnsi="Times New Roman"/>
          <w:b w:val="false"/>
          <w:color w:val="000000"/>
          <w:spacing w:val="0"/>
          <w:sz w:val="20"/>
        </w:rPr>
        <w:t>compared to</w:t>
      </w:r>
      <w:r>
        <w:rPr>
          <w:rFonts w:ascii="Times New Roman" w:hAnsi="Times New Roman"/>
          <w:sz w:val="20"/>
        </w:rPr>
        <w:t> $</w:t>
      </w:r>
      <w:bookmarkStart w:id="333" w:name="fs_WISCRBDMIO00000000000000000000FM"/>
      <w:bookmarkEnd w:id="333"/>
      <w:r>
        <w:rPr>
          <w:rFonts w:ascii="Times New Roman" w:hAnsi="Times New Roman"/>
          <w:sz w:val="20"/>
        </w:rPr>
        <w:t>361 in </w:t>
      </w:r>
      <w:bookmarkStart w:id="334" w:name="fs_9ST5S5N7R400000000000000000000FM"/>
      <w:bookmarkEnd w:id="334"/>
      <w:r>
        <w:rPr>
          <w:rFonts w:ascii="Times New Roman" w:hAnsi="Times New Roman"/>
          <w:sz w:val="20"/>
        </w:rPr>
        <w:t>Q1</w:t>
      </w:r>
      <w:r>
        <w:rPr>
          <w:rFonts w:ascii="Times New Roman" w:hAnsi="Times New Roman"/>
          <w:sz w:val="20"/>
        </w:rPr>
        <w:t>-</w:t>
      </w:r>
      <w:bookmarkStart w:id="335" w:name="fs_FO2Y4XJELS00000000000000000000FM"/>
      <w:bookmarkEnd w:id="335"/>
      <w:r>
        <w:rPr>
          <w:rFonts w:ascii="Times New Roman" w:hAnsi="Times New Roman"/>
          <w:sz w:val="20"/>
        </w:rPr>
        <w:t>2025. The decreases were due to decreased expenses related to the exploration of strategic alternatives and closing down facilities.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Other income (expense), net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income (expense), net includes gain or loss on disposal of assets and impairment charges related to assets being held for sale. Other income for the </w:t>
      </w:r>
      <w:bookmarkStart w:id="336" w:name="fs_BDI4SFMVSG00000000000000000000FM"/>
      <w:bookmarkEnd w:id="336"/>
      <w:r>
        <w:rPr>
          <w:rFonts w:ascii="Times New Roman" w:hAnsi="Times New Roman"/>
          <w:b w:val="false"/>
          <w:i w:val="false"/>
          <w:caps w:val="false"/>
          <w:smallCaps w:val="false"/>
          <w:color w:val="000000"/>
          <w:spacing w:val="0"/>
          <w:sz w:val="20"/>
        </w:rPr>
        <w:t>three months ended </w:t>
      </w:r>
      <w:bookmarkStart w:id="337" w:name="fs_TCXV0LU3YO00000000000000000000FM"/>
      <w:bookmarkEnd w:id="337"/>
      <w:r>
        <w:rPr>
          <w:rFonts w:ascii="Times New Roman" w:hAnsi="Times New Roman"/>
          <w:b w:val="false"/>
          <w:i w:val="false"/>
          <w:caps w:val="false"/>
          <w:smallCaps w:val="false"/>
          <w:color w:val="000000"/>
          <w:spacing w:val="0"/>
          <w:sz w:val="20"/>
        </w:rPr>
        <w:t>March 31, 2026</w:t>
      </w:r>
      <w:r>
        <w:rPr>
          <w:rFonts w:ascii="Times New Roman" w:hAnsi="Times New Roman"/>
          <w:b w:val="false"/>
          <w:i w:val="false"/>
          <w:caps w:val="false"/>
          <w:smallCaps w:val="false"/>
          <w:color w:val="000000"/>
          <w:spacing w:val="0"/>
          <w:sz w:val="20"/>
        </w:rPr>
        <w:t> included a $</w:t>
      </w:r>
      <w:bookmarkStart w:id="338" w:name="fs_7T7MLCWY4000000000000000000000FM"/>
      <w:bookmarkEnd w:id="338"/>
      <w:r>
        <w:rPr>
          <w:rFonts w:ascii="Times New Roman" w:hAnsi="Times New Roman"/>
          <w:b w:val="false"/>
          <w:i w:val="false"/>
          <w:caps w:val="false"/>
          <w:smallCaps w:val="false"/>
          <w:color w:val="000000"/>
          <w:spacing w:val="0"/>
          <w:sz w:val="20"/>
        </w:rPr>
        <w:t>78 charge for expenses related to closure of foreign subsidiaries, compared to $</w:t>
      </w:r>
      <w:bookmarkStart w:id="339" w:name="fs_T72NE6OPDC00000000000000000000FM"/>
      <w:bookmarkEnd w:id="339"/>
      <w:r>
        <w:rPr>
          <w:rFonts w:ascii="Times New Roman" w:hAnsi="Times New Roman"/>
          <w:b w:val="false"/>
          <w:i w:val="false"/>
          <w:caps w:val="false"/>
          <w:smallCaps w:val="false"/>
          <w:color w:val="000000"/>
          <w:spacing w:val="0"/>
          <w:sz w:val="20"/>
        </w:rPr>
        <w:t>0 for the </w:t>
      </w:r>
      <w:bookmarkStart w:id="340" w:name="fs_LK19IT98M800000000000000000000FM"/>
      <w:bookmarkEnd w:id="340"/>
      <w:r>
        <w:rPr>
          <w:rFonts w:ascii="Times New Roman" w:hAnsi="Times New Roman"/>
          <w:b w:val="false"/>
          <w:i w:val="false"/>
          <w:caps w:val="false"/>
          <w:smallCaps w:val="false"/>
          <w:color w:val="000000"/>
          <w:spacing w:val="0"/>
          <w:sz w:val="20"/>
        </w:rPr>
        <w:t>three months ended</w:t>
      </w:r>
      <w:r>
        <w:rPr>
          <w:rFonts w:ascii="Times New Roman" w:hAnsi="Times New Roman"/>
          <w:b w:val="false"/>
          <w:i w:val="false"/>
          <w:caps w:val="false"/>
          <w:smallCaps w:val="false"/>
          <w:color w:val="000000"/>
          <w:spacing w:val="0"/>
          <w:sz w:val="20"/>
        </w:rPr>
        <w:t> March</w:t>
      </w:r>
      <w:r>
        <w:rPr>
          <w:rFonts w:ascii="Times New Roman" w:hAnsi="Times New Roman"/>
          <w:b w:val="false"/>
          <w:i w:val="false"/>
          <w:caps w:val="false"/>
          <w:smallCaps w:val="false"/>
          <w:color w:val="000000"/>
          <w:spacing w:val="0"/>
          <w:sz w:val="20"/>
        </w:rPr>
        <w:t> </w:t>
      </w:r>
      <w:bookmarkStart w:id="341" w:name="fs_9WT95PMU9S00000000000000000000FM"/>
      <w:bookmarkEnd w:id="341"/>
      <w:r>
        <w:rPr>
          <w:rFonts w:ascii="Times New Roman" w:hAnsi="Times New Roman"/>
          <w:b w:val="false"/>
          <w:i w:val="false"/>
          <w:caps w:val="false"/>
          <w:smallCaps w:val="false"/>
          <w:color w:val="000000"/>
          <w:spacing w:val="0"/>
          <w:sz w:val="20"/>
        </w:rPr>
        <w:t>2025</w:t>
      </w:r>
      <w:r>
        <w:rPr>
          <w:rFonts w:ascii="Times New Roman" w:hAnsi="Times New Roman"/>
          <w:b w:val="false"/>
          <w:i w:val="false"/>
          <w:caps w:val="false"/>
          <w:smallCaps w:val="false"/>
          <w:color w:val="000000"/>
          <w:spacing w:val="0"/>
          <w:sz w:val="20"/>
        </w:rPr>
        <w:t>.</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Provision for income taxes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color w:val="000000"/>
          <w:spacing w:val="0"/>
        </w:rPr>
      </w:pPr>
      <w:r>
        <w:rPr>
          <w:color w:val="000000"/>
          <w:spacing w:val="0"/>
        </w:rPr>
        <w:t> </w:t>
      </w:r>
      <w:r>
        <w:rPr>
          <w:rFonts w:ascii="times new roman;times" w:hAnsi="times new roman;times"/>
          <w:b w:val="false"/>
          <w:color w:val="000000"/>
          <w:spacing w:val="0"/>
          <w:sz w:val="20"/>
        </w:rPr>
        <w:t>During the three months ended March 31, 2026, the Company recorded an income tax benefit of $793 (recorded in discontinued operations) resulting from the reversal of unrecognized tax benefits (FIN 48 reserves). This reversal occurred because the statute of limitations expired for certain tax years, and the underlying tax positions were no longer subject to IRS review. For the three months ended March 31, 2025, the Company did not recognize any tax benefit from its losses due to the establishment of a full valuation allowance on its net deferred tax assets.</w:t>
      </w:r>
    </w:p>
    <w:p>
      <w:pPr>
        <w:pStyle w:val="TextBody"/>
        <w:bidi w:val="0"/>
        <w:spacing w:lineRule="auto" w:line="288" w:before="200" w:after="200"/>
        <w:ind w:left="0" w:right="0" w:hanging="0"/>
        <w:jc w:val="left"/>
        <w:rPr>
          <w:b/>
          <w:i/>
          <w:sz w:val="20"/>
        </w:rPr>
      </w:pPr>
      <w:r>
        <w:rPr>
          <w:b/>
          <w:i/>
          <w:sz w:val="20"/>
        </w:rPr>
        <w:t>Net Loss and Outlook</w:t>
      </w:r>
    </w:p>
    <w:p>
      <w:pPr>
        <w:pStyle w:val="TextBody"/>
        <w:bidi w:val="0"/>
        <w:spacing w:lineRule="auto" w:line="288" w:before="200" w:after="200"/>
        <w:ind w:left="0" w:right="0" w:hanging="0"/>
        <w:jc w:val="both"/>
        <w:rPr/>
      </w:pPr>
      <w:r>
        <w:rPr/>
        <w:t> </w:t>
      </w:r>
      <w:r>
        <w:rPr>
          <w:sz w:val="20"/>
        </w:rPr>
        <w:t>Net loss for the first quarter of 2026 was $487, compared to a net loss of $2,834 in the first quarter of 2025. The improvement was primarily driven by a one-time income tax benefit of $793 (recorded in discontinued operations) from the release of uncertain tax positions, partially offset by the absence of revenue-generating operations following the October 2025 Asset Sale to Biamp Systems.</w:t>
      </w:r>
    </w:p>
    <w:p>
      <w:pPr>
        <w:pStyle w:val="TextBody"/>
        <w:bidi w:val="0"/>
        <w:spacing w:lineRule="auto" w:line="288" w:before="0" w:after="200"/>
        <w:jc w:val="both"/>
        <w:rPr>
          <w:sz w:val="20"/>
        </w:rPr>
      </w:pPr>
      <w:r>
        <w:rPr>
          <w:sz w:val="20"/>
        </w:rPr>
        <w:t>Looking ahead, the Company’s continuing operations are expected to consist primarily of warranty servicing and technical support for legacy products, along with ongoing public company compliance and governance costs. We will continue to evaluate warranty claims experience and adjust our reserves as appropriate. In parallel, management is actively pursuing strategic alternatives, completed the redemption of the Class A Redeemable Preferred Stock on April 21, 2026, collecting accounts receivable and recovering prepaid assets, and continues to evaluate potential reverse merger or other value-enhancing transactions. We expect these activities to remain the primary focus for the remainder of 2026.</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42" w:name="PageBreakNo26"/>
            <w:bookmarkEnd w:id="342"/>
            <w:r>
              <w:rPr>
                <w:sz w:val="20"/>
              </w:rPr>
              <w:t>26</w:t>
            </w:r>
          </w:p>
        </w:tc>
      </w:tr>
    </w:tbl>
    <w:p>
      <w:pPr>
        <w:pStyle w:val="HorizontalLine"/>
        <w:bidi w:val="0"/>
        <w:spacing w:before="0" w:after="0"/>
        <w:jc w:val="left"/>
        <w:rPr/>
      </w:pPr>
      <w:r>
        <w:rPr/>
      </w:r>
    </w:p>
    <w:p>
      <w:pPr>
        <w:pStyle w:val="TextBody"/>
        <w:bidi w:val="0"/>
        <w:spacing w:before="0" w:after="0"/>
        <w:jc w:val="left"/>
        <w:rPr/>
      </w:pPr>
      <w:hyperlink w:anchor="TOC">
        <w:r>
          <w:rPr>
            <w:rStyle w:val="InternetLink"/>
            <w:color w:val="0000FF"/>
            <w:sz w:val="20"/>
          </w:rPr>
          <w:t>Table of Contents</w:t>
        </w:r>
      </w:hyperlink>
    </w:p>
    <w:p>
      <w:pPr>
        <w:pStyle w:val="TextBody"/>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LIQUIDITY AND CAPITAL RESOURCES</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before="0" w:after="0"/>
        <w:ind w:left="0" w:right="0" w:hanging="0"/>
        <w:jc w:val="left"/>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bookmarkStart w:id="343" w:name="fs_3WAWSJQBN400000000000000000000FM"/>
      <w:bookmarkEnd w:id="343"/>
      <w:r>
        <w:rPr>
          <w:rFonts w:ascii="Times New Roman" w:hAnsi="Times New Roman"/>
          <w:b w:val="false"/>
          <w:i w:val="false"/>
          <w:caps w:val="false"/>
          <w:smallCaps w:val="false"/>
          <w:color w:val="000000"/>
          <w:spacing w:val="0"/>
          <w:sz w:val="20"/>
        </w:rPr>
        <w:t>March 31, 2026, cash and cash equivalents were $</w:t>
      </w:r>
      <w:bookmarkStart w:id="344" w:name="fs_OHL60PWTKG00000000000000000000FM"/>
      <w:bookmarkEnd w:id="344"/>
      <w:r>
        <w:rPr>
          <w:rFonts w:ascii="Times New Roman" w:hAnsi="Times New Roman"/>
          <w:b w:val="false"/>
          <w:i w:val="false"/>
          <w:caps w:val="false"/>
          <w:smallCaps w:val="false"/>
          <w:color w:val="000000"/>
          <w:spacing w:val="0"/>
          <w:sz w:val="20"/>
        </w:rPr>
        <w:t>1,053</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compared</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to $</w:t>
      </w:r>
      <w:bookmarkStart w:id="345" w:name="fs_7JPTFZTGTS00000000000000000000FM"/>
      <w:bookmarkEnd w:id="345"/>
      <w:r>
        <w:rPr>
          <w:rFonts w:ascii="Times New Roman" w:hAnsi="Times New Roman"/>
          <w:b w:val="false"/>
          <w:i w:val="false"/>
          <w:caps w:val="false"/>
          <w:smallCaps w:val="false"/>
          <w:color w:val="000000"/>
          <w:spacing w:val="0"/>
          <w:sz w:val="20"/>
        </w:rPr>
        <w:t>739 as of </w:t>
      </w:r>
      <w:bookmarkStart w:id="346" w:name="fs_QL6APJYZ4000000000000000000000FM"/>
      <w:bookmarkEnd w:id="346"/>
      <w:r>
        <w:rPr>
          <w:rFonts w:ascii="Times New Roman" w:hAnsi="Times New Roman"/>
          <w:b w:val="false"/>
          <w:i w:val="false"/>
          <w:caps w:val="false"/>
          <w:smallCaps w:val="false"/>
          <w:color w:val="000000"/>
          <w:spacing w:val="0"/>
          <w:sz w:val="20"/>
        </w:rPr>
        <w:t>December 31, 2025. Working capital was minimal at both dates.</w:t>
      </w:r>
      <w:r>
        <w:rPr>
          <w:b w:val="false"/>
          <w:i w:val="false"/>
          <w:caps w:val="false"/>
          <w:smallCaps w:val="false"/>
          <w:color w:val="000000"/>
          <w:spacing w:val="0"/>
          <w:sz w:val="20"/>
        </w:rPr>
        <w:t>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Cash used in </w:t>
      </w:r>
      <w:r>
        <w:rPr>
          <w:b w:val="false"/>
          <w:i w:val="false"/>
          <w:caps w:val="false"/>
          <w:smallCaps w:val="false"/>
          <w:color w:val="000000"/>
          <w:spacing w:val="0"/>
          <w:sz w:val="20"/>
        </w:rPr>
        <w:t>opera</w:t>
      </w:r>
      <w:r>
        <w:rPr>
          <w:rFonts w:ascii="Times New Roman" w:hAnsi="Times New Roman"/>
          <w:b w:val="false"/>
          <w:i w:val="false"/>
          <w:caps w:val="false"/>
          <w:smallCaps w:val="false"/>
          <w:color w:val="000000"/>
          <w:spacing w:val="0"/>
          <w:sz w:val="20"/>
        </w:rPr>
        <w:t>ting activities was approximately $</w:t>
      </w:r>
      <w:bookmarkStart w:id="347" w:name="fs_BHV6M46SOW00000000000000000000FM"/>
      <w:bookmarkEnd w:id="347"/>
      <w:r>
        <w:rPr>
          <w:rFonts w:ascii="Times New Roman" w:hAnsi="Times New Roman"/>
          <w:b w:val="false"/>
          <w:i w:val="false"/>
          <w:caps w:val="false"/>
          <w:smallCaps w:val="false"/>
          <w:color w:val="000000"/>
          <w:spacing w:val="0"/>
          <w:sz w:val="20"/>
        </w:rPr>
        <w:t>680 in the </w:t>
      </w:r>
      <w:bookmarkStart w:id="348" w:name="fs_TTWRKG2COG00000000000000000000FM"/>
      <w:bookmarkEnd w:id="348"/>
      <w:r>
        <w:rPr>
          <w:rFonts w:ascii="Times New Roman" w:hAnsi="Times New Roman"/>
          <w:b w:val="false"/>
          <w:i w:val="false"/>
          <w:caps w:val="false"/>
          <w:smallCaps w:val="false"/>
          <w:color w:val="000000"/>
          <w:spacing w:val="0"/>
          <w:sz w:val="20"/>
        </w:rPr>
        <w:t>three months ended March 31, 2026</w:t>
      </w:r>
      <w:r>
        <w:rPr>
          <w:rFonts w:ascii="Times New Roman" w:hAnsi="Times New Roman"/>
          <w:b w:val="false"/>
          <w:i w:val="false"/>
          <w:caps w:val="false"/>
          <w:smallCaps w:val="false"/>
          <w:color w:val="000000"/>
          <w:spacing w:val="0"/>
          <w:sz w:val="20"/>
        </w:rPr>
        <w:t>, compared to $</w:t>
      </w:r>
      <w:bookmarkStart w:id="349" w:name="fs_RUWHX06TY800000000000000000000FM"/>
      <w:bookmarkEnd w:id="349"/>
      <w:r>
        <w:rPr>
          <w:rFonts w:ascii="Times New Roman" w:hAnsi="Times New Roman"/>
          <w:b w:val="false"/>
          <w:i w:val="false"/>
          <w:caps w:val="false"/>
          <w:smallCaps w:val="false"/>
          <w:color w:val="000000"/>
          <w:spacing w:val="0"/>
          <w:sz w:val="20"/>
        </w:rPr>
        <w:t>2,644 in the </w:t>
      </w:r>
      <w:bookmarkStart w:id="350" w:name="fs_IV7RZGUTJ400000000000000000000fs"/>
      <w:bookmarkEnd w:id="350"/>
      <w:r>
        <w:rPr>
          <w:rFonts w:ascii="Times New Roman" w:hAnsi="Times New Roman"/>
          <w:b w:val="false"/>
          <w:i w:val="false"/>
          <w:caps w:val="false"/>
          <w:smallCaps w:val="false"/>
          <w:color w:val="000000"/>
          <w:spacing w:val="0"/>
          <w:sz w:val="20"/>
        </w:rPr>
        <w:t>three months ended March 31, 2025. </w:t>
      </w:r>
      <w:r>
        <w:rPr>
          <w:rFonts w:ascii="times new roman;times" w:hAnsi="times new roman;times"/>
          <w:b w:val="false"/>
          <w:i w:val="false"/>
          <w:caps w:val="false"/>
          <w:smallCaps w:val="false"/>
          <w:color w:val="000000"/>
          <w:spacing w:val="0"/>
          <w:sz w:val="20"/>
        </w:rPr>
        <w:t>The decrease in cash used was primarily due to the absence of operating activities following the Asset Sale.</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investing activities was $</w:t>
      </w:r>
      <w:bookmarkStart w:id="351" w:name="fs_393MAM9NSW00000000000000000000fs"/>
      <w:bookmarkEnd w:id="351"/>
      <w:r>
        <w:rPr>
          <w:rFonts w:ascii="times new roman;times" w:hAnsi="times new roman;times"/>
          <w:b w:val="false"/>
          <w:i w:val="false"/>
          <w:caps w:val="false"/>
          <w:smallCaps w:val="false"/>
          <w:color w:val="000000"/>
          <w:spacing w:val="0"/>
          <w:sz w:val="20"/>
        </w:rPr>
        <w:t>0 for the </w:t>
      </w:r>
      <w:bookmarkStart w:id="352" w:name="fs_WNXMI3HCJK00000000000000000000FM"/>
      <w:bookmarkEnd w:id="352"/>
      <w:r>
        <w:rPr>
          <w:rFonts w:ascii="times new roman;times" w:hAnsi="times new roman;times"/>
          <w:b w:val="false"/>
          <w:i w:val="false"/>
          <w:caps w:val="false"/>
          <w:smallCaps w:val="false"/>
          <w:color w:val="000000"/>
          <w:spacing w:val="0"/>
          <w:sz w:val="20"/>
        </w:rPr>
        <w:t>three months ended March 31, 2026, compared to $</w:t>
      </w:r>
      <w:bookmarkStart w:id="353" w:name="fs_13G9XUXX2800000000000000000000fs"/>
      <w:bookmarkEnd w:id="353"/>
      <w:r>
        <w:rPr>
          <w:rFonts w:ascii="times new roman;times" w:hAnsi="times new roman;times"/>
          <w:b w:val="false"/>
          <w:i w:val="false"/>
          <w:caps w:val="false"/>
          <w:smallCaps w:val="false"/>
          <w:color w:val="000000"/>
          <w:spacing w:val="0"/>
          <w:sz w:val="20"/>
        </w:rPr>
        <w:t>0 used in the prior-year period.</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financing activities in the </w:t>
      </w:r>
      <w:bookmarkStart w:id="354" w:name="fs_U1LBDKGADS00000000000000000000FM"/>
      <w:bookmarkEnd w:id="354"/>
      <w:r>
        <w:rPr>
          <w:rFonts w:ascii="times new roman;times" w:hAnsi="times new roman;times"/>
          <w:b w:val="false"/>
          <w:i w:val="false"/>
          <w:caps w:val="false"/>
          <w:smallCaps w:val="false"/>
          <w:color w:val="000000"/>
          <w:spacing w:val="0"/>
          <w:sz w:val="20"/>
        </w:rPr>
        <w:t>three months ended March 31, 2026</w:t>
      </w:r>
      <w:r>
        <w:rPr>
          <w:rFonts w:ascii="times new roman;times" w:hAnsi="times new roman;times"/>
          <w:b w:val="false"/>
          <w:i w:val="false"/>
          <w:caps w:val="false"/>
          <w:smallCaps w:val="false"/>
          <w:color w:val="000000"/>
          <w:spacing w:val="0"/>
          <w:sz w:val="20"/>
        </w:rPr>
        <w:t> was $</w:t>
      </w:r>
      <w:bookmarkStart w:id="355" w:name="fs_77M4GUSGVK00000000000000000000FM"/>
      <w:bookmarkEnd w:id="355"/>
      <w:r>
        <w:rPr>
          <w:rFonts w:ascii="times new roman;times" w:hAnsi="times new roman;times"/>
          <w:b w:val="false"/>
          <w:i w:val="false"/>
          <w:caps w:val="false"/>
          <w:smallCaps w:val="false"/>
          <w:color w:val="000000"/>
          <w:spacing w:val="0"/>
          <w:sz w:val="20"/>
        </w:rPr>
        <w:t>1,728, compared to $</w:t>
      </w:r>
      <w:bookmarkStart w:id="356" w:name="fs_RR3I5KFNW000000000000000000000fs"/>
      <w:bookmarkEnd w:id="356"/>
      <w:r>
        <w:rPr>
          <w:rFonts w:ascii="times new roman;times" w:hAnsi="times new roman;times"/>
          <w:b w:val="false"/>
          <w:i w:val="false"/>
          <w:caps w:val="false"/>
          <w:smallCaps w:val="false"/>
          <w:color w:val="000000"/>
          <w:spacing w:val="0"/>
          <w:sz w:val="20"/>
        </w:rPr>
        <w:t>1,000 in the </w:t>
      </w:r>
      <w:bookmarkStart w:id="357" w:name="fs_KLTHDXL2EO00000000000000000000FM"/>
      <w:bookmarkEnd w:id="357"/>
      <w:r>
        <w:rPr>
          <w:rFonts w:ascii="times new roman;times" w:hAnsi="times new roman;times"/>
          <w:b w:val="false"/>
          <w:i w:val="false"/>
          <w:caps w:val="false"/>
          <w:smallCaps w:val="false"/>
          <w:color w:val="000000"/>
          <w:spacing w:val="0"/>
          <w:sz w:val="20"/>
        </w:rPr>
        <w:t>three months ended March 31, 2025. Both provision to cash were the result of common stock sales.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a detailed discussion of liquidity and going-concern considerations, including management’s plans and the substantial doubt about the Company’s ability to continue as a going concern, see Note 1 – Going Concern.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furtherance of the Asset Sale pursuit, the Company completed a one-time special stock dividend of Class A Redeemable Preferred Stock, payable July 18, 2025 to holders of record of our common stock on July 11, 2025, which entitles holders of the Class A Redeemable Preferred Stock to 100% of net proceeds from any Asset Sale upon redemption (see Notes 3 and 15 – the redemption occurred on April 21, 2026 at par value of $2). This structure aligns stockholder interests with the strategic process but depends on the successful completion of the Asset Sale for value realization. See Note 3 – Class A Redeemable Preferred Stock.</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 xml:space="preserve">As of </w:t>
      </w:r>
      <w:bookmarkStart w:id="358" w:name="fs_TJPUXIL9HS00000000000000000000FM"/>
      <w:bookmarkEnd w:id="358"/>
      <w:r>
        <w:rPr>
          <w:rFonts w:ascii="times new roman;times" w:hAnsi="times new roman;times"/>
          <w:sz w:val="20"/>
        </w:rPr>
        <w:t>March 31, 2026, First Finance Ltd. beneficially owned approximately 61.34% of our common stock on an as-converted basis and has the right to nominate two directors to our Board. This concentration may influence strategic decisions, including the ongoing restructuring and possible Strategic Transactions, and could affect our ability to attract alternative financing or partners.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359" w:name="fs_N4YTH1Z2VK00000000000000000000FM"/>
      <w:bookmarkEnd w:id="359"/>
      <w:r>
        <w:rPr>
          <w:rFonts w:ascii="times new roman;times" w:hAnsi="times new roman;times"/>
          <w:sz w:val="20"/>
        </w:rPr>
        <w:t xml:space="preserve">March 31, 2026, we had no open purchase orders.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bookmarkStart w:id="360" w:name="fs_A094FJIQFK00000000000000000000FM"/>
      <w:bookmarkEnd w:id="360"/>
      <w:r>
        <w:rPr>
          <w:rFonts w:ascii="Times New Roman" w:hAnsi="Times New Roman"/>
          <w:b w:val="false"/>
          <w:i w:val="false"/>
          <w:caps w:val="false"/>
          <w:smallCaps w:val="false"/>
          <w:color w:val="000000"/>
          <w:spacing w:val="0"/>
          <w:sz w:val="20"/>
        </w:rPr>
        <w:t>March 31, 2026</w:t>
      </w:r>
      <w:r>
        <w:rPr>
          <w:rFonts w:ascii="Times New Roman" w:hAnsi="Times New Roman"/>
          <w:b w:val="false"/>
          <w:i w:val="false"/>
          <w:caps w:val="false"/>
          <w:smallCaps w:val="false"/>
          <w:color w:val="000000"/>
          <w:spacing w:val="0"/>
          <w:sz w:val="20"/>
        </w:rPr>
        <w:t>, we had inventory totaling $333. This compares to total inventories of $353</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as of </w:t>
      </w:r>
      <w:bookmarkStart w:id="361" w:name="fs_BMO5W823B400000000000000000000FM"/>
      <w:bookmarkEnd w:id="361"/>
      <w:r>
        <w:rPr>
          <w:rFonts w:ascii="Times New Roman" w:hAnsi="Times New Roman"/>
          <w:b w:val="false"/>
          <w:i w:val="false"/>
          <w:caps w:val="false"/>
          <w:smallCaps w:val="false"/>
          <w:color w:val="000000"/>
          <w:spacing w:val="0"/>
          <w:sz w:val="20"/>
        </w:rPr>
        <w:t>December 31, 2025</w:t>
      </w:r>
      <w:r>
        <w:rPr>
          <w:rFonts w:ascii="Times New Roman" w:hAnsi="Times New Roman"/>
          <w:b w:val="false"/>
          <w:i w:val="false"/>
          <w:caps w:val="false"/>
          <w:smallCaps w:val="false"/>
          <w:color w:val="000000"/>
          <w:spacing w:val="0"/>
          <w:sz w:val="20"/>
        </w:rPr>
        <w: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serif" w:hAnsi="Times New Roman;serif"/>
          <w:b/>
          <w:i w:val="false"/>
          <w:caps w:val="false"/>
          <w:smallCaps w:val="false"/>
          <w:color w:val="000000"/>
          <w:spacing w:val="0"/>
          <w:sz w:val="20"/>
        </w:rPr>
      </w:pPr>
      <w:r>
        <w:rPr>
          <w:rFonts w:ascii="Times New Roman;serif" w:hAnsi="Times New Roman;serif"/>
          <w:b/>
          <w:i w:val="false"/>
          <w:caps w:val="false"/>
          <w:smallCaps w:val="false"/>
          <w:color w:val="000000"/>
          <w:spacing w:val="0"/>
          <w:sz w:val="20"/>
        </w:rPr>
        <w:t>Contractual Obligations and Commitments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b w:val="false"/>
          <w:i w:val="false"/>
          <w:caps w:val="false"/>
          <w:smallCaps w:val="false"/>
          <w:color w:val="212529"/>
          <w:spacing w:val="0"/>
          <w:sz w:val="20"/>
        </w:rPr>
      </w:pPr>
      <w:r>
        <w:rPr>
          <w:b w:val="false"/>
          <w:i w:val="false"/>
          <w:caps w:val="false"/>
          <w:smallCaps w:val="false"/>
          <w:color w:val="212529"/>
          <w:spacing w:val="0"/>
          <w:sz w:val="20"/>
        </w:rPr>
        <w:t>The following table summarizes our contractual obligations as of </w:t>
      </w:r>
      <w:bookmarkStart w:id="362" w:name="fs_V5VD40AYG000000000000000000000FM"/>
      <w:bookmarkEnd w:id="362"/>
      <w:r>
        <w:rPr>
          <w:b w:val="false"/>
          <w:i w:val="false"/>
          <w:caps w:val="false"/>
          <w:smallCaps w:val="false"/>
          <w:color w:val="212529"/>
          <w:spacing w:val="0"/>
          <w:sz w:val="20"/>
        </w:rPr>
        <w:t>March 31, 2026 (in thousands):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086"/>
        <w:gridCol w:w="161"/>
        <w:gridCol w:w="228"/>
        <w:gridCol w:w="450"/>
        <w:gridCol w:w="160"/>
        <w:gridCol w:w="161"/>
        <w:gridCol w:w="338"/>
        <w:gridCol w:w="855"/>
        <w:gridCol w:w="161"/>
        <w:gridCol w:w="161"/>
        <w:gridCol w:w="301"/>
        <w:gridCol w:w="811"/>
        <w:gridCol w:w="161"/>
        <w:gridCol w:w="161"/>
        <w:gridCol w:w="360"/>
        <w:gridCol w:w="753"/>
        <w:gridCol w:w="160"/>
        <w:gridCol w:w="161"/>
        <w:gridCol w:w="457"/>
        <w:gridCol w:w="958"/>
        <w:gridCol w:w="161"/>
      </w:tblGrid>
      <w:tr>
        <w:trPr/>
        <w:tc>
          <w:tcPr>
            <w:tcW w:w="3086" w:type="dxa"/>
            <w:tcBorders/>
            <w:vAlign w:val="bottom"/>
          </w:tcPr>
          <w:p>
            <w:pPr>
              <w:pStyle w:val="TableContents"/>
              <w:bidi w:val="0"/>
              <w:spacing w:before="0" w:after="0"/>
              <w:ind w:left="0" w:right="0" w:hanging="0"/>
              <w:jc w:val="center"/>
              <w:rPr/>
            </w:pPr>
            <w:r>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w:t>
            </w:r>
          </w:p>
        </w:tc>
        <w:tc>
          <w:tcPr>
            <w:tcW w:w="6797" w:type="dxa"/>
            <w:gridSpan w:val="18"/>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Payment Due by Period</w:t>
            </w:r>
          </w:p>
        </w:tc>
        <w:tc>
          <w:tcPr>
            <w:tcW w:w="161" w:type="dxa"/>
            <w:tcBorders/>
            <w:vAlign w:val="bottom"/>
          </w:tcPr>
          <w:p>
            <w:pPr>
              <w:pStyle w:val="TableContents"/>
              <w:bidi w:val="0"/>
              <w:spacing w:before="0" w:after="0"/>
              <w:ind w:left="0" w:right="0" w:hanging="0"/>
              <w:jc w:val="left"/>
              <w:rPr>
                <w:color w:val="000000"/>
              </w:rPr>
            </w:pPr>
            <w:r>
              <w:rPr>
                <w:color w:val="000000"/>
              </w:rPr>
              <w:t> </w:t>
            </w:r>
          </w:p>
        </w:tc>
      </w:tr>
      <w:tr>
        <w:trPr/>
        <w:tc>
          <w:tcPr>
            <w:tcW w:w="3086" w:type="dxa"/>
            <w:tcBorders/>
            <w:vAlign w:val="bottom"/>
          </w:tcPr>
          <w:p>
            <w:pPr>
              <w:pStyle w:val="TableContents"/>
              <w:pBdr/>
              <w:bidi w:val="0"/>
              <w:spacing w:before="0" w:after="0"/>
              <w:ind w:left="0" w:right="0" w:hanging="0"/>
              <w:jc w:val="center"/>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678"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Total</w:t>
            </w:r>
          </w:p>
        </w:tc>
        <w:tc>
          <w:tcPr>
            <w:tcW w:w="160"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93"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Less Than</w:t>
            </w:r>
          </w:p>
          <w:p>
            <w:pPr>
              <w:pStyle w:val="TableContents"/>
              <w:pBdr/>
              <w:bidi w:val="0"/>
              <w:spacing w:lineRule="auto" w:line="264" w:before="0" w:after="0"/>
              <w:ind w:left="0" w:right="0" w:hanging="0"/>
              <w:jc w:val="center"/>
              <w:rPr>
                <w:rFonts w:ascii="times new roman;times" w:hAnsi="times new roman;times"/>
                <w:b/>
                <w:color w:val="000000"/>
                <w:sz w:val="20"/>
              </w:rPr>
            </w:pPr>
            <w:bookmarkStart w:id="363" w:name="fs_EETEKOBUXC00000000000000000000fs"/>
            <w:bookmarkEnd w:id="363"/>
            <w:r>
              <w:rPr>
                <w:rFonts w:ascii="times new roman;times" w:hAnsi="times new roman;times"/>
                <w:b/>
                <w:color w:val="000000"/>
                <w:sz w:val="20"/>
              </w:rPr>
              <w:t>1</w:t>
            </w:r>
            <w:r>
              <w:rPr>
                <w:rFonts w:ascii="times new roman;times" w:hAnsi="times new roman;times"/>
                <w:b/>
                <w:color w:val="000000"/>
                <w:sz w:val="20"/>
              </w:rPr>
              <w:t> Year</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2"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364" w:name="fs_9YS8HL82B400000000000000000000fs"/>
            <w:bookmarkEnd w:id="364"/>
            <w:r>
              <w:rPr>
                <w:rFonts w:ascii="times new roman;times" w:hAnsi="times new roman;times"/>
                <w:b/>
                <w:color w:val="000000"/>
                <w:sz w:val="20"/>
              </w:rPr>
              <w:t>1</w:t>
            </w:r>
            <w:r>
              <w:rPr>
                <w:rFonts w:ascii="times new roman;times" w:hAnsi="times new roman;times"/>
                <w:b/>
                <w:color w:val="000000"/>
                <w:sz w:val="20"/>
              </w:rPr>
              <w:t>-</w:t>
            </w:r>
            <w:bookmarkStart w:id="365" w:name="fs_DTMBIU1EFK00000000000000000000fs"/>
            <w:bookmarkEnd w:id="365"/>
            <w:r>
              <w:rPr>
                <w:rFonts w:ascii="times new roman;times" w:hAnsi="times new roman;times"/>
                <w:b/>
                <w:color w:val="000000"/>
                <w:sz w:val="20"/>
              </w:rPr>
              <w:t>3</w:t>
            </w:r>
            <w:r>
              <w:rPr>
                <w:rFonts w:ascii="times new roman;times" w:hAnsi="times new roman;times"/>
                <w:b/>
                <w:color w:val="000000"/>
                <w:sz w:val="20"/>
              </w:rPr>
              <w:t>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3"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366" w:name="fs_0EPQGV716O00000000000000000000fs"/>
            <w:bookmarkEnd w:id="366"/>
            <w:r>
              <w:rPr>
                <w:rFonts w:ascii="times new roman;times" w:hAnsi="times new roman;times"/>
                <w:b/>
                <w:color w:val="000000"/>
                <w:sz w:val="20"/>
              </w:rPr>
              <w:t>3</w:t>
            </w:r>
            <w:r>
              <w:rPr>
                <w:rFonts w:ascii="times new roman;times" w:hAnsi="times new roman;times"/>
                <w:b/>
                <w:color w:val="000000"/>
                <w:sz w:val="20"/>
              </w:rPr>
              <w:t>-</w:t>
            </w:r>
            <w:bookmarkStart w:id="367" w:name="fs_ORCS5LT60W00000000000000000000fs"/>
            <w:bookmarkEnd w:id="367"/>
            <w:r>
              <w:rPr>
                <w:rFonts w:ascii="times new roman;times" w:hAnsi="times new roman;times"/>
                <w:b/>
                <w:color w:val="000000"/>
                <w:sz w:val="20"/>
              </w:rPr>
              <w:t>5</w:t>
            </w:r>
            <w:r>
              <w:rPr>
                <w:rFonts w:ascii="times new roman;times" w:hAnsi="times new roman;times"/>
                <w:b/>
                <w:color w:val="000000"/>
                <w:sz w:val="20"/>
              </w:rPr>
              <w:t> Years</w:t>
            </w:r>
          </w:p>
        </w:tc>
        <w:tc>
          <w:tcPr>
            <w:tcW w:w="160"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415"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More than </w:t>
            </w:r>
            <w:bookmarkStart w:id="368" w:name="fs_TMLOZ3QPZ400000000000000000000fs"/>
            <w:bookmarkEnd w:id="368"/>
            <w:r>
              <w:rPr>
                <w:rFonts w:ascii="times new roman;times" w:hAnsi="times new roman;times"/>
                <w:b/>
                <w:color w:val="000000"/>
                <w:sz w:val="20"/>
              </w:rPr>
              <w:t>5</w:t>
            </w:r>
          </w:p>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50"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69" w:name="fs_LRDF8N5IMO00000000000000000000fs"/>
            <w:bookmarkEnd w:id="369"/>
            <w:r>
              <w:rPr>
                <w:rFonts w:ascii="times new roman;times" w:hAnsi="times new roman;times"/>
                <w:color w:val="000000"/>
                <w:sz w:val="20"/>
              </w:rPr>
              <w:t>360</w:t>
            </w:r>
          </w:p>
        </w:tc>
        <w:tc>
          <w:tcPr>
            <w:tcW w:w="16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3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55"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70" w:name="fs_FT6ZGRIFM800000000000000000000fs"/>
            <w:bookmarkEnd w:id="370"/>
            <w:r>
              <w:rPr>
                <w:rFonts w:ascii="times new roman;times" w:hAnsi="times new roman;times"/>
                <w:color w:val="000000"/>
                <w:sz w:val="20"/>
              </w:rPr>
              <w:t>185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01"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11"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71" w:name="fs_BBGQKXRLWW00000000000000000000fs"/>
            <w:bookmarkEnd w:id="371"/>
            <w:r>
              <w:rPr>
                <w:rFonts w:ascii="times new roman;times" w:hAnsi="times new roman;times"/>
                <w:color w:val="000000"/>
                <w:sz w:val="20"/>
              </w:rPr>
              <w:t>175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bookmarkStart w:id="372" w:name="fs_JKZBHOOIPS00000000000000000000fs"/>
            <w:bookmarkEnd w:id="372"/>
            <w:r>
              <w:rPr>
                <w:color w:val="000000"/>
              </w:rPr>
              <w:t>—</w:t>
            </w:r>
          </w:p>
        </w:tc>
        <w:tc>
          <w:tcPr>
            <w:tcW w:w="16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57"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58" w:type="dxa"/>
            <w:tcBorders/>
            <w:shd w:fill="CCEEFF" w:val="clear"/>
            <w:vAlign w:val="bottom"/>
          </w:tcPr>
          <w:p>
            <w:pPr>
              <w:pStyle w:val="TableContents"/>
              <w:bidi w:val="0"/>
              <w:spacing w:before="0" w:after="0"/>
              <w:ind w:left="0" w:right="0" w:hanging="0"/>
              <w:jc w:val="right"/>
              <w:rPr>
                <w:color w:val="000000"/>
              </w:rPr>
            </w:pPr>
            <w:bookmarkStart w:id="373" w:name="fs_B3F5VVOHGW00000000000000000000fs"/>
            <w:bookmarkEnd w:id="373"/>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vAlign w:val="bottom"/>
          </w:tcPr>
          <w:p>
            <w:pPr>
              <w:pStyle w:val="TableContents"/>
              <w:bidi w:val="0"/>
              <w:spacing w:before="0" w:after="0"/>
              <w:ind w:left="0" w:right="0" w:hanging="0"/>
              <w:jc w:val="left"/>
              <w:rPr>
                <w:color w:val="000000"/>
              </w:rPr>
            </w:pPr>
            <w:r>
              <w:rPr>
                <w:color w:val="000000"/>
              </w:rPr>
              <w:t xml:space="preserve">  </w:t>
            </w:r>
          </w:p>
        </w:tc>
        <w:tc>
          <w:tcPr>
            <w:tcW w:w="450" w:type="dxa"/>
            <w:tcBorders/>
            <w:vAlign w:val="bottom"/>
          </w:tcPr>
          <w:p>
            <w:pPr>
              <w:pStyle w:val="TableContents"/>
              <w:bidi w:val="0"/>
              <w:spacing w:before="0" w:after="0"/>
              <w:ind w:left="0" w:right="0" w:hanging="0"/>
              <w:jc w:val="right"/>
              <w:rPr>
                <w:color w:val="000000"/>
              </w:rPr>
            </w:pPr>
            <w:bookmarkStart w:id="374" w:name="fs_E57UFFDLB400000000000000000000fs"/>
            <w:bookmarkEnd w:id="374"/>
            <w:r>
              <w:rPr>
                <w:color w:val="000000"/>
              </w:rPr>
              <w:t>—</w:t>
            </w:r>
          </w:p>
        </w:tc>
        <w:tc>
          <w:tcPr>
            <w:tcW w:w="160"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38" w:type="dxa"/>
            <w:tcBorders/>
            <w:vAlign w:val="bottom"/>
          </w:tcPr>
          <w:p>
            <w:pPr>
              <w:pStyle w:val="TableContents"/>
              <w:bidi w:val="0"/>
              <w:spacing w:before="0" w:after="0"/>
              <w:ind w:left="0" w:right="0" w:hanging="0"/>
              <w:jc w:val="left"/>
              <w:rPr>
                <w:color w:val="000000"/>
              </w:rPr>
            </w:pPr>
            <w:r>
              <w:rPr>
                <w:color w:val="000000"/>
              </w:rPr>
              <w:t xml:space="preserve">  </w:t>
            </w:r>
          </w:p>
        </w:tc>
        <w:tc>
          <w:tcPr>
            <w:tcW w:w="855" w:type="dxa"/>
            <w:tcBorders/>
            <w:vAlign w:val="bottom"/>
          </w:tcPr>
          <w:p>
            <w:pPr>
              <w:pStyle w:val="TableContents"/>
              <w:bidi w:val="0"/>
              <w:spacing w:before="0" w:after="0"/>
              <w:ind w:left="0" w:right="0" w:hanging="0"/>
              <w:jc w:val="right"/>
              <w:rPr>
                <w:color w:val="000000"/>
              </w:rPr>
            </w:pPr>
            <w:bookmarkStart w:id="375" w:name="fs_ZE8RNHVG0000000000000000000000fs"/>
            <w:bookmarkEnd w:id="375"/>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01" w:type="dxa"/>
            <w:tcBorders/>
            <w:vAlign w:val="bottom"/>
          </w:tcPr>
          <w:p>
            <w:pPr>
              <w:pStyle w:val="TableContents"/>
              <w:bidi w:val="0"/>
              <w:spacing w:before="0" w:after="0"/>
              <w:ind w:left="0" w:right="0" w:hanging="0"/>
              <w:jc w:val="left"/>
              <w:rPr>
                <w:color w:val="000000"/>
              </w:rPr>
            </w:pPr>
            <w:r>
              <w:rPr>
                <w:color w:val="000000"/>
              </w:rPr>
              <w:t xml:space="preserve">  </w:t>
            </w:r>
          </w:p>
        </w:tc>
        <w:tc>
          <w:tcPr>
            <w:tcW w:w="811" w:type="dxa"/>
            <w:tcBorders/>
            <w:vAlign w:val="bottom"/>
          </w:tcPr>
          <w:p>
            <w:pPr>
              <w:pStyle w:val="TableContents"/>
              <w:bidi w:val="0"/>
              <w:spacing w:before="0" w:after="0"/>
              <w:ind w:left="0" w:right="0" w:hanging="0"/>
              <w:jc w:val="right"/>
              <w:rPr>
                <w:color w:val="000000"/>
              </w:rPr>
            </w:pPr>
            <w:bookmarkStart w:id="376" w:name="fs_D1A93PAWU800000000000000000000fs"/>
            <w:bookmarkEnd w:id="376"/>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360" w:type="dxa"/>
            <w:tcBorders/>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vAlign w:val="bottom"/>
          </w:tcPr>
          <w:p>
            <w:pPr>
              <w:pStyle w:val="TableContents"/>
              <w:bidi w:val="0"/>
              <w:spacing w:before="0" w:after="0"/>
              <w:ind w:left="0" w:right="0" w:hanging="0"/>
              <w:jc w:val="right"/>
              <w:rPr>
                <w:color w:val="000000"/>
              </w:rPr>
            </w:pPr>
            <w:bookmarkStart w:id="377" w:name="fs_TBV559FXFK00000000000000000000fs"/>
            <w:bookmarkEnd w:id="377"/>
            <w:r>
              <w:rPr>
                <w:color w:val="000000"/>
              </w:rPr>
              <w:t>—</w:t>
            </w:r>
          </w:p>
        </w:tc>
        <w:tc>
          <w:tcPr>
            <w:tcW w:w="160"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457" w:type="dxa"/>
            <w:tcBorders/>
            <w:vAlign w:val="bottom"/>
          </w:tcPr>
          <w:p>
            <w:pPr>
              <w:pStyle w:val="TableContents"/>
              <w:bidi w:val="0"/>
              <w:spacing w:before="0" w:after="0"/>
              <w:ind w:left="0" w:right="0" w:hanging="0"/>
              <w:jc w:val="left"/>
              <w:rPr>
                <w:color w:val="000000"/>
              </w:rPr>
            </w:pPr>
            <w:r>
              <w:rPr>
                <w:color w:val="000000"/>
              </w:rPr>
              <w:t xml:space="preserve">  </w:t>
            </w:r>
          </w:p>
        </w:tc>
        <w:tc>
          <w:tcPr>
            <w:tcW w:w="958" w:type="dxa"/>
            <w:tcBorders/>
            <w:vAlign w:val="bottom"/>
          </w:tcPr>
          <w:p>
            <w:pPr>
              <w:pStyle w:val="TableContents"/>
              <w:bidi w:val="0"/>
              <w:spacing w:before="0" w:after="0"/>
              <w:ind w:left="0" w:right="0" w:hanging="0"/>
              <w:jc w:val="right"/>
              <w:rPr>
                <w:color w:val="000000"/>
              </w:rPr>
            </w:pPr>
            <w:bookmarkStart w:id="378" w:name="fs_ST092NKYF400000000000000000000fs"/>
            <w:bookmarkEnd w:id="378"/>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50"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79" w:name="fs_8DU3RMM01S00000000000000000000fs"/>
            <w:bookmarkEnd w:id="379"/>
            <w:r>
              <w:rPr>
                <w:rFonts w:ascii="times new roman;times" w:hAnsi="times new roman;times"/>
                <w:color w:val="000000"/>
                <w:sz w:val="20"/>
              </w:rPr>
              <w:t>360</w:t>
            </w:r>
          </w:p>
        </w:tc>
        <w:tc>
          <w:tcPr>
            <w:tcW w:w="16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3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55"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80" w:name="fs_2ZB1GLI6LC00000000000000000000fs"/>
            <w:bookmarkEnd w:id="380"/>
            <w:r>
              <w:rPr>
                <w:rFonts w:ascii="times new roman;times" w:hAnsi="times new roman;times"/>
                <w:color w:val="000000"/>
                <w:sz w:val="20"/>
              </w:rPr>
              <w:t>185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01"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11"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381" w:name="fs_R2RWFN269S00000000000000000000fs"/>
            <w:bookmarkEnd w:id="381"/>
            <w:r>
              <w:rPr>
                <w:rFonts w:ascii="times new roman;times" w:hAnsi="times new roman;times"/>
                <w:color w:val="000000"/>
                <w:sz w:val="20"/>
              </w:rPr>
              <w:t>175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bookmarkStart w:id="382" w:name="fs_XGBQQFWS0W00000000000000000000fs"/>
            <w:bookmarkEnd w:id="382"/>
            <w:r>
              <w:rPr>
                <w:color w:val="000000"/>
              </w:rPr>
              <w:t>—</w:t>
            </w:r>
          </w:p>
        </w:tc>
        <w:tc>
          <w:tcPr>
            <w:tcW w:w="160"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57"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58" w:type="dxa"/>
            <w:tcBorders/>
            <w:shd w:fill="CCEEFF" w:val="clear"/>
            <w:vAlign w:val="bottom"/>
          </w:tcPr>
          <w:p>
            <w:pPr>
              <w:pStyle w:val="TableContents"/>
              <w:bidi w:val="0"/>
              <w:spacing w:before="0" w:after="0"/>
              <w:ind w:left="0" w:right="0" w:hanging="0"/>
              <w:jc w:val="right"/>
              <w:rPr>
                <w:color w:val="000000"/>
              </w:rPr>
            </w:pPr>
            <w:bookmarkStart w:id="383" w:name="fs_2A920KFECW00000000000000000000fs"/>
            <w:bookmarkEnd w:id="383"/>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OFF-BALANCE SHEET ARRANGEMENTS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CRITICAL ACCOUNTING POLICIES AND ESTIMATES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critical accounting policies and estimates are disclosed in our Annual Report on Form 10-K for the year ended December 31, 2025. There have been no material changes to our critical accounting policies and estimates during the three months ended March 31, 2026, other than (i) the presentation of discontinued operations as described in Note 2 and (ii) the reclassification of Class A Redeemable Preferred Stock from temporary equity to a current liability (see Note 3).</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RECENT ACCOUNTING PRONOUNCEMENTS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See Note 1 — Significant Accounting Policies and Recent Accounting Pronouncements for a discussion of recently issued accounting standards and their expected impact on our financial statements.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84" w:name="PageBreakNo27"/>
            <w:bookmarkEnd w:id="384"/>
            <w:r>
              <w:rPr>
                <w:sz w:val="20"/>
              </w:rPr>
              <w:t>27</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ind w:left="0" w:right="0" w:hanging="0"/>
        <w:jc w:val="both"/>
        <w:rPr/>
      </w:pPr>
      <w:hyperlink r:id="rId13">
        <w:bookmarkStart w:id="385" w:name="BH_U66773D7WW00000000000000000000"/>
        <w:bookmarkEnd w:id="385"/>
        <w:r>
          <w:rPr>
            <w:rStyle w:val="InternetLink"/>
            <w:rFonts w:ascii="Times New Roman" w:hAnsi="Times New Roman"/>
            <w:b/>
            <w:caps/>
            <w:strike w:val="false"/>
            <w:dstrike w:val="false"/>
            <w:color w:val="000000"/>
            <w:sz w:val="20"/>
            <w:u w:val="none"/>
            <w:effect w:val="none"/>
          </w:rPr>
          <w:t>Item 3.</w:t>
        </w:r>
      </w:hyperlink>
      <w:hyperlink r:id="rId14">
        <w:r>
          <w:rPr>
            <w:rStyle w:val="InternetLink"/>
            <w:rFonts w:ascii="times new roman;times" w:hAnsi="times new roman;times"/>
            <w:caps/>
            <w:strike w:val="false"/>
            <w:dstrike w:val="false"/>
            <w:color w:val="000000"/>
            <w:sz w:val="20"/>
            <w:u w:val="none"/>
            <w:effect w:val="none"/>
          </w:rPr>
          <w:t xml:space="preserve">     </w:t>
        </w:r>
      </w:hyperlink>
      <w:hyperlink r:id="rId15">
        <w:r>
          <w:rPr>
            <w:rStyle w:val="InternetLink"/>
            <w:rFonts w:ascii="Times New Roman" w:hAnsi="Times New Roman"/>
            <w:b/>
            <w:caps/>
            <w:strike w:val="false"/>
            <w:dstrike w:val="false"/>
            <w:color w:val="000000"/>
            <w:sz w:val="20"/>
            <w:u w:val="none"/>
            <w:effect w:val="none"/>
          </w:rPr>
          <w:t>QUANTITATIVE AND QUALITATIVE DISCLOSURES ABOUT MARKET RISK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is not exposed to significant market risk. Following the Asset Sale on October 24, 2025, the Company has minimal operations, no variable-rate debt, and limited foreign currency exposure. The Company’s primary financial instruments consist of cash and cash equivalents and the Class A Redeemable Preferred Stock liability (classified as a current liability at par value). Changes in interest rates or foreign currency exchange rates are not expected to have a material effect on the Company’s financial condition or results of operations.</w:t>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r:id="rId16">
        <w:bookmarkStart w:id="386" w:name="BI_L8KHXR82WW00000000000000000000"/>
        <w:bookmarkEnd w:id="386"/>
        <w:r>
          <w:rPr>
            <w:rStyle w:val="InternetLink"/>
            <w:rFonts w:ascii="times new roman;times" w:hAnsi="times new roman;times"/>
            <w:b/>
            <w:strike w:val="false"/>
            <w:dstrike w:val="false"/>
            <w:color w:val="000000"/>
            <w:sz w:val="20"/>
            <w:u w:val="none"/>
            <w:effect w:val="none"/>
          </w:rPr>
          <w:t>ITEM</w:t>
        </w:r>
      </w:hyperlink>
      <w:hyperlink r:id="rId17">
        <w:r>
          <w:rPr>
            <w:rStyle w:val="InternetLink"/>
            <w:rFonts w:ascii="times new roman;times" w:hAnsi="times new roman;times"/>
            <w:strike w:val="false"/>
            <w:dstrike w:val="false"/>
            <w:color w:val="000000"/>
            <w:sz w:val="20"/>
            <w:u w:val="none"/>
            <w:effect w:val="none"/>
          </w:rPr>
          <w:t> </w:t>
        </w:r>
      </w:hyperlink>
      <w:hyperlink r:id="rId18">
        <w:r>
          <w:rPr>
            <w:rStyle w:val="InternetLink"/>
            <w:rFonts w:ascii="times new roman;times" w:hAnsi="times new roman;times"/>
            <w:b/>
            <w:strike w:val="false"/>
            <w:dstrike w:val="false"/>
            <w:color w:val="000000"/>
            <w:sz w:val="20"/>
            <w:u w:val="none"/>
            <w:effect w:val="none"/>
          </w:rPr>
          <w:t>4.</w:t>
        </w:r>
      </w:hyperlink>
      <w:hyperlink r:id="rId19">
        <w:r>
          <w:rPr>
            <w:rStyle w:val="InternetLink"/>
            <w:rFonts w:ascii="times new roman;times" w:hAnsi="times new roman;times"/>
            <w:strike w:val="false"/>
            <w:dstrike w:val="false"/>
            <w:color w:val="000000"/>
            <w:sz w:val="20"/>
            <w:u w:val="none"/>
            <w:effect w:val="none"/>
          </w:rPr>
          <w:t>     </w:t>
        </w:r>
      </w:hyperlink>
      <w:hyperlink r:id="rId20">
        <w:r>
          <w:rPr>
            <w:rStyle w:val="InternetLink"/>
            <w:rFonts w:ascii="times new roman;times" w:hAnsi="times new roman;times"/>
            <w:b/>
            <w:strike w:val="false"/>
            <w:dstrike w:val="false"/>
            <w:color w:val="000000"/>
            <w:sz w:val="20"/>
            <w:u w:val="none"/>
            <w:effect w:val="none"/>
          </w:rPr>
          <w:t>CONTROLS AND PROCEDURES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Evaluation of Disclosure Controls and Procedures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maintain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on that evaluation, our principal executive officer and principal financial officer concluded that our disclosure controls and procedures were effective as of March 31, 2026.</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Changes in Internal Control Over Financial Reporting</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 w:hAnsi="Times New Roman"/>
          <w:sz w:val="20"/>
        </w:rPr>
      </w:pPr>
      <w:r>
        <w:rPr>
          <w:rFonts w:ascii="times new roman;times" w:hAnsi="times new roman;times"/>
          <w:sz w:val="20"/>
        </w:rPr>
        <w:t>There were no changes in our internal control over financial reporting during the quarter ended March 31, 2026 that have materially affected, or are reasonably likely to materially affect, our internal control over financial reporting.</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pPr>
      <w:hyperlink w:anchor="TOC">
        <w:bookmarkStart w:id="387" w:name="BJ_TSTI5UOPUO00000000000000000000"/>
        <w:bookmarkEnd w:id="387"/>
        <w:r>
          <w:rPr>
            <w:rStyle w:val="InternetLink"/>
            <w:rFonts w:ascii="Times New Roman" w:hAnsi="Times New Roman"/>
            <w:b/>
            <w:strike w:val="false"/>
            <w:dstrike w:val="false"/>
            <w:color w:val="000000"/>
            <w:sz w:val="20"/>
            <w:u w:val="none"/>
            <w:effect w:val="none"/>
          </w:rPr>
          <w:t>PART II - OTHER INFORMATION</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388" w:name="BK_UH0QH1ST6800000000000000000000"/>
        <w:bookmarkEnd w:id="388"/>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sz w:val="20"/>
        </w:rPr>
      </w:pPr>
      <w:r>
        <w:rPr>
          <w:sz w:val="20"/>
        </w:rPr>
        <w:t>From time to time, we are involved in various legal proceedings and other matters arising in the normal course of business. We are not currently a party to any legal proceeding that, if determined adversely to us, would have a material adverse effect on our financial condition or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hyperlink w:anchor="TOC">
        <w:bookmarkStart w:id="389" w:name="BL_C8C33AXDV400000000000000000000"/>
        <w:bookmarkEnd w:id="389"/>
        <w:r>
          <w:rPr>
            <w:rStyle w:val="InternetLink"/>
            <w:rFonts w:ascii="Times New Roman" w:hAnsi="Times New Roman"/>
            <w:b/>
            <w:strike w:val="false"/>
            <w:dstrike w:val="false"/>
            <w:color w:val="000000"/>
            <w:sz w:val="20"/>
            <w:u w:val="none"/>
            <w:effect w:val="none"/>
          </w:rPr>
          <w:t>Item 1A. RISK FACTORS</w:t>
        </w:r>
      </w:hyperlink>
    </w:p>
    <w:p>
      <w:pPr>
        <w:pStyle w:val="TextBody"/>
        <w:bidi w:val="0"/>
        <w:spacing w:lineRule="auto" w:line="288" w:before="0" w:after="0"/>
        <w:ind w:left="0" w:right="0" w:hanging="0"/>
        <w:jc w:val="both"/>
        <w:rPr>
          <w:rFonts w:ascii="Times New Roman" w:hAnsi="Times New Roman"/>
          <w:b/>
        </w:rPr>
      </w:pPr>
      <w:r>
        <w:rPr>
          <w:rFonts w:ascii="Times New Roman" w:hAnsi="Times New Roman"/>
          <w:b/>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risk factors under the heading “Risks Relating to our Business” set forth in Part I, Item 1A of the our Annual Report on Form 10-K for the year ended December 31, 2025 as filed with the SEC on March 31, 2026 are hereby supplemented with the following additional risk factors: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We are at risk for being delisted from the NASDAQ Capital Market for noncompliance with Nasdaq’s Continued Listing Standards </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On April 7, 2026, we received a letter from Nasdaq informing us that we are not in compliance with the continued listing standards under Nasdaq Marketplace Rule 5550(b). We have 45 calendar days (until May 22, 2026) to submit a compliance plan. If we are unable to regain compliance with Nasdaq's continued listing standards within any applicable cure period, our common stock could be subject to delisting from the Nasdaq Capital Market. Delisting of our common stock from Nasdaq could significantly reduce the liquidity and market price of our common stock and could make it more difficult for us to access the capital markets on acceptable terms, if at all. Even after we receive a notice of non-compliance, we may not be able to regain compliance within the timeframe provided by Nasdaq. Alternative markets, such as the over-the-counter markets, generally have less liquidity and visibility than Nasdaq, and trading on such markets could adversely affect the ability of stockholders to sell their shares at a desired price.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risk factors under the heading “Risks Relating to Share Ownership” set forth in Part I, Item 1A of the our Annual Report on Form 10-K for the year ended December 31, 2025 as filed with the SEC on March 31, 2026 are hereby supplemented with the following additional risk factors:</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Our Nevada Reincorporation May Affect the Rights of our Stockholders with Respect to Certain Corporation Actions</w:t>
      </w:r>
    </w:p>
    <w:p>
      <w:pPr>
        <w:pStyle w:val="TextBody"/>
        <w:widowControl/>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April 22, 2026, we completed our reincorporation from Delaware to Nevada by conversion. As a Nevada corporation, we are subject to Nevada corporate law, which differs from Delaware law in certain respects, including with respect to stockholder rights, fiduciary duties of directors and officers, and the ability to adopt certain anti-takeover provisions. These differences could affect the rights of our stockholders and the governance of the Company. A discussion of these differences and related risks is set forth in our definitive information statement on Schedule 14C filed with the SEC on March 31, 2026 under the Heading “What Changes After Nevada Reincorporation?”.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90" w:name="PageBreakNo28"/>
            <w:bookmarkEnd w:id="390"/>
            <w:r>
              <w:rPr>
                <w:sz w:val="20"/>
              </w:rPr>
              <w:t>28</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both"/>
        <w:rPr/>
      </w:pPr>
      <w:hyperlink w:anchor="TOC">
        <w:bookmarkStart w:id="391" w:name="BM_PXV2XAM1KG00000000000000000000"/>
        <w:bookmarkEnd w:id="391"/>
        <w:r>
          <w:rPr>
            <w:rStyle w:val="InternetLink"/>
            <w:rFonts w:ascii="Times New Roman" w:hAnsi="Times New Roman"/>
            <w:b/>
            <w:strike w:val="false"/>
            <w:dstrike w:val="false"/>
            <w:color w:val="00000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w:t>
      </w:r>
      <w:r>
        <w:rPr>
          <w:rFonts w:ascii="times new roman;times" w:hAnsi="times new roman;times"/>
          <w:sz w:val="20"/>
        </w:rPr>
        <w:t>None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 Not applicable.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 None.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w:anchor="TOC">
        <w:bookmarkStart w:id="392" w:name="BN_EVKECWSW2800000000000000000000"/>
        <w:bookmarkEnd w:id="392"/>
        <w:r>
          <w:rPr>
            <w:rStyle w:val="InternetLink"/>
            <w:rFonts w:ascii="Times New Roman" w:hAnsi="Times New Roman"/>
            <w:b/>
            <w:strike w:val="false"/>
            <w:dstrike w:val="false"/>
            <w:color w:val="000000"/>
            <w:sz w:val="20"/>
            <w:u w:val="none"/>
            <w:effect w:val="none"/>
          </w:rPr>
          <w:t>Item 3. DEFAULTS UPON SENIOR SECURITIES</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393" w:name="BO_VVB037J0C000000000000000000000"/>
        <w:bookmarkEnd w:id="393"/>
        <w:r>
          <w:rPr>
            <w:rStyle w:val="InternetLink"/>
            <w:rFonts w:ascii="Times New Roman" w:hAnsi="Times New Roman"/>
            <w:b/>
            <w:strike w:val="false"/>
            <w:dstrike w:val="false"/>
            <w:color w:val="000000"/>
            <w:sz w:val="20"/>
            <w:u w:val="none"/>
            <w:effect w:val="none"/>
          </w:rPr>
          <w:t>Item 4. MINE SAFETY DISCLOSURES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394" w:name="BP_0LWBX5JVNK00000000000000000000"/>
        <w:bookmarkEnd w:id="394"/>
        <w:r>
          <w:rPr>
            <w:rStyle w:val="InternetLink"/>
            <w:rFonts w:ascii="Times New Roman" w:hAnsi="Times New Roman"/>
            <w:b/>
            <w:strike w:val="false"/>
            <w:dstrike w:val="false"/>
            <w:color w:val="000000"/>
            <w:sz w:val="20"/>
            <w:u w:val="none"/>
            <w:effect w:val="none"/>
          </w:rPr>
          <w:t>Item 5. OTHER INFORMATION </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(b) </w:t>
      </w:r>
      <w:bookmarkStart w:id="395" w:name="fs_5NEZZL65MO00000000000000000000FM"/>
      <w:bookmarkEnd w:id="395"/>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 Not applicable.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96" w:name="PageBreakNo29"/>
            <w:bookmarkEnd w:id="396"/>
            <w:r>
              <w:rPr>
                <w:sz w:val="20"/>
              </w:rPr>
              <w:t>29</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sz w:val="20"/>
        </w:rPr>
        <w:t xml:space="preserve">Item 6. </w:t>
      </w:r>
      <w:hyperlink w:anchor="TOC">
        <w:bookmarkStart w:id="397" w:name="Bit6_1272025202146458"/>
        <w:bookmarkEnd w:id="397"/>
        <w:r>
          <w:rPr>
            <w:rStyle w:val="InternetLink"/>
            <w:rFonts w:ascii="times new roman;times" w:hAnsi="times new roman;times"/>
            <w:b/>
            <w:strike w:val="false"/>
            <w:dstrike w:val="false"/>
            <w:color w:val="000000"/>
            <w:sz w:val="20"/>
            <w:u w:val="none"/>
            <w:effect w:val="none"/>
          </w:rPr>
          <w:t>EXHIBITS</w:t>
        </w:r>
      </w:hyperlink>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71"/>
        <w:gridCol w:w="60"/>
        <w:gridCol w:w="9374"/>
      </w:tblGrid>
      <w:tr>
        <w:trPr/>
        <w:tc>
          <w:tcPr>
            <w:tcW w:w="771"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Title of Document</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left"/>
              <w:rPr/>
            </w:pPr>
            <w:r>
              <w:rPr/>
              <w:t>3.1</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both"/>
              <w:rPr/>
            </w:pPr>
            <w:hyperlink r:id="rId21">
              <w:r>
                <w:rPr>
                  <w:rStyle w:val="InternetLink"/>
                  <w:color w:val="0000EE"/>
                </w:rPr>
                <w:t>Articles of Incorporation (filed as Exhibit 3.1 to the Company’s Current Report on Form 8-K as filed with the SEC on April 23,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3.2</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both"/>
              <w:rPr/>
            </w:pPr>
            <w:hyperlink r:id="rId22">
              <w:r>
                <w:rPr>
                  <w:rStyle w:val="InternetLink"/>
                  <w:color w:val="0000EE"/>
                </w:rPr>
                <w:t>Bylaws (filed as Exhibit 3.1 to the Company’s Current Report on Form 8-K as filed with the SEC on April 23,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4.1</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both"/>
              <w:rPr/>
            </w:pPr>
            <w:hyperlink r:id="rId23">
              <w:r>
                <w:rPr>
                  <w:rStyle w:val="InternetLink"/>
                  <w:color w:val="0000EE"/>
                </w:rPr>
                <w:t>Form of Warrant (filed as Exhibit 4.1 to the Company’s Current Report on Form 8-K as filed with the SEC on March 5,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10.1</w:t>
            </w:r>
          </w:p>
        </w:tc>
        <w:tc>
          <w:tcPr>
            <w:tcW w:w="60" w:type="dxa"/>
            <w:tcBorders/>
            <w:vAlign w:val="center"/>
          </w:tcPr>
          <w:p>
            <w:pPr>
              <w:pStyle w:val="TableContents"/>
              <w:bidi w:val="0"/>
              <w:spacing w:before="0" w:after="283"/>
              <w:ind w:left="0" w:right="0" w:hanging="0"/>
              <w:jc w:val="left"/>
              <w:rPr>
                <w:u w:val="single"/>
              </w:rPr>
            </w:pPr>
            <w:r>
              <w:rPr>
                <w:u w:val="single"/>
              </w:rPr>
            </w:r>
          </w:p>
        </w:tc>
        <w:tc>
          <w:tcPr>
            <w:tcW w:w="9374" w:type="dxa"/>
            <w:tcBorders/>
            <w:vAlign w:val="center"/>
          </w:tcPr>
          <w:p>
            <w:pPr>
              <w:pStyle w:val="TableContents"/>
              <w:bidi w:val="0"/>
              <w:spacing w:before="0" w:after="0"/>
              <w:ind w:left="0" w:right="0" w:hanging="0"/>
              <w:jc w:val="both"/>
              <w:rPr/>
            </w:pPr>
            <w:hyperlink r:id="rId24">
              <w:r>
                <w:rPr>
                  <w:rStyle w:val="InternetLink"/>
                </w:rPr>
                <w:t>Lease Termination Agreement dated as of April 7, 2026 by and between Edgewater Corporate Park, LLC and ClearOne, Inc. (filed as Exhibit 10.1 to the Company’s Current Report on Form 8-K as filed with the SEC on April 13,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10.2</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hyperlink r:id="rId25">
              <w:r>
                <w:rPr>
                  <w:rStyle w:val="InternetLink"/>
                  <w:color w:val="0000EE"/>
                </w:rPr>
                <w:t>Letter Agreement dated April 1, 2026 by and between ClearOne, Inc. and Derek Graham (filed as Exhibit 10.1 to the Company’s Current Report on Form 8-K as filed with the SEC on April 3,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10.3</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hyperlink r:id="rId26">
              <w:r>
                <w:rPr>
                  <w:rStyle w:val="InternetLink"/>
                  <w:color w:val="0000EE"/>
                </w:rPr>
                <w:t>Warrant Repurchase Agreement, dated March 9, 2026, by and between ClearOne, Inc. and CVI Investments, Inc. (filed as Exhibit 10.1 to the Company’s Current Report on Form 8-K as filed with the SEC on March 13,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10.4</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hyperlink r:id="rId27">
              <w:r>
                <w:rPr>
                  <w:rStyle w:val="InternetLink"/>
                  <w:color w:val="0000EE"/>
                </w:rPr>
                <w:t>Securities Purchase Agreement dated as of March 2, 2026 by and between First Finance, Ltd. and ClearOne, Inc. (filed as Exhibit 10.1 to the Company’ s Current Report on Form 8-K as filed with the SEC on March 5,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10.5</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hyperlink r:id="rId28">
              <w:r>
                <w:rPr>
                  <w:rStyle w:val="InternetLink"/>
                </w:rPr>
                <w:t>Registration Rights Agreement dated as of March 2, 2026 by and between First Finance, Ltd. and ClearOne, Inc. (filed as Exhibit 10.2 to the Company’ s Current Report on Form 8-K as filed with the SEC on March 5,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10.6#</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hyperlink r:id="rId29">
              <w:r>
                <w:rPr>
                  <w:rStyle w:val="InternetLink"/>
                </w:rPr>
                <w:t>Settlement Agreement and Waiver of Claims (filed as Exhibit 10.1 to the Company’s Current Report on Form 8-K as filed with the SEC on January 14, 2026 and incorporated herein by reference).</w:t>
              </w:r>
            </w:hyperlink>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hyperlink w:anchor="ex311_1.htm">
              <w:r>
                <w:rPr>
                  <w:rStyle w:val="InternetLink"/>
                  <w:rFonts w:ascii="Times New Roman" w:hAnsi="Times New Roman"/>
                  <w:sz w:val="20"/>
                </w:rPr>
                <w:t>Section 302 Certification of Chief Executive Officer (filed herewith)</w:t>
              </w:r>
            </w:hyperlink>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hyperlink w:anchor="ex312_2.htm">
              <w:r>
                <w:rPr>
                  <w:rStyle w:val="InternetLink"/>
                  <w:rFonts w:ascii="Times New Roman" w:hAnsi="Times New Roman"/>
                  <w:sz w:val="20"/>
                </w:rPr>
                <w:t>Section 302 Certification of Principal Financial Officer (filed herewith)</w:t>
              </w:r>
            </w:hyperlink>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32.1*</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hyperlink w:anchor="ex321_3.htm">
              <w:r>
                <w:rPr>
                  <w:rStyle w:val="InternetLink"/>
                  <w:rFonts w:ascii="Times New Roman" w:hAnsi="Times New Roman"/>
                  <w:sz w:val="20"/>
                </w:rPr>
                <w:t>Section 906 Certification of Chief Executive Officer (filed herewith)</w:t>
              </w:r>
            </w:hyperlink>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32.2*</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hyperlink w:anchor="ex322_4.htm">
              <w:r>
                <w:rPr>
                  <w:rStyle w:val="InternetLink"/>
                  <w:rFonts w:ascii="Times New Roman" w:hAnsi="Times New Roman"/>
                  <w:sz w:val="20"/>
                </w:rPr>
                <w:t>Section 906 Certification of Principal Financial Officer (filed herewith)</w:t>
              </w:r>
            </w:hyperlink>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 (filed herewith) </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 (filed herewith)</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 (filed herewith)</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 (filed herewith)</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 (filed herewith)</w:t>
            </w:r>
          </w:p>
        </w:tc>
      </w:tr>
      <w:tr>
        <w:trPr/>
        <w:tc>
          <w:tcPr>
            <w:tcW w:w="77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left"/>
              <w:rPr/>
            </w:pPr>
            <w:r>
              <w:rPr/>
              <w:t> </w:t>
            </w:r>
          </w:p>
        </w:tc>
      </w:tr>
      <w:tr>
        <w:trPr/>
        <w:tc>
          <w:tcPr>
            <w:tcW w:w="7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vAlign w:val="center"/>
          </w:tcPr>
          <w:p>
            <w:pPr>
              <w:pStyle w:val="TableContents"/>
              <w:bidi w:val="0"/>
              <w:spacing w:before="0" w:after="0"/>
              <w:ind w:left="0" w:right="0" w:hanging="0"/>
              <w:jc w:val="left"/>
              <w:rPr/>
            </w:pPr>
            <w:r>
              <w:rPr/>
              <w:t> </w:t>
            </w:r>
          </w:p>
        </w:tc>
        <w:tc>
          <w:tcPr>
            <w:tcW w:w="93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 (filed herewith)</w:t>
            </w:r>
          </w:p>
        </w:tc>
      </w:tr>
      <w:tr>
        <w:trPr/>
        <w:tc>
          <w:tcPr>
            <w:tcW w:w="771"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283"/>
              <w:ind w:left="0" w:right="0" w:hanging="0"/>
              <w:jc w:val="left"/>
              <w:rPr/>
            </w:pPr>
            <w:r>
              <w:rPr/>
            </w:r>
          </w:p>
        </w:tc>
      </w:tr>
      <w:tr>
        <w:trPr/>
        <w:tc>
          <w:tcPr>
            <w:tcW w:w="771" w:type="dxa"/>
            <w:tcBorders/>
            <w:vAlign w:val="center"/>
          </w:tcPr>
          <w:p>
            <w:pPr>
              <w:pStyle w:val="TableContents"/>
              <w:bidi w:val="0"/>
              <w:spacing w:before="0" w:after="0"/>
              <w:ind w:left="0" w:right="0" w:hanging="0"/>
              <w:jc w:val="left"/>
              <w:rPr/>
            </w:pPr>
            <w:r>
              <w:rPr/>
              <w:t>104.1</w:t>
            </w:r>
          </w:p>
        </w:tc>
        <w:tc>
          <w:tcPr>
            <w:tcW w:w="60" w:type="dxa"/>
            <w:tcBorders/>
            <w:vAlign w:val="center"/>
          </w:tcPr>
          <w:p>
            <w:pPr>
              <w:pStyle w:val="TableContents"/>
              <w:bidi w:val="0"/>
              <w:spacing w:before="0" w:after="283"/>
              <w:ind w:left="0" w:right="0" w:hanging="0"/>
              <w:jc w:val="left"/>
              <w:rPr/>
            </w:pPr>
            <w:r>
              <w:rPr/>
            </w:r>
          </w:p>
        </w:tc>
        <w:tc>
          <w:tcPr>
            <w:tcW w:w="9374" w:type="dxa"/>
            <w:tcBorders/>
            <w:vAlign w:val="center"/>
          </w:tcPr>
          <w:p>
            <w:pPr>
              <w:pStyle w:val="TableContents"/>
              <w:bidi w:val="0"/>
              <w:spacing w:before="0" w:after="0"/>
              <w:ind w:left="0" w:right="0" w:hanging="0"/>
              <w:jc w:val="left"/>
              <w:rPr/>
            </w:pPr>
            <w:r>
              <w:rPr/>
              <w:t>The cover page of this Quarterly Report on Form 10-Q, formatted in Inline XBRL.</w:t>
            </w:r>
          </w:p>
        </w:tc>
      </w:tr>
      <w:tr>
        <w:trPr/>
        <w:tc>
          <w:tcPr>
            <w:tcW w:w="10205" w:type="dxa"/>
            <w:gridSpan w:val="3"/>
            <w:tcBorders/>
            <w:vAlign w:val="center"/>
          </w:tcPr>
          <w:p>
            <w:pPr>
              <w:pStyle w:val="TableContents"/>
              <w:bidi w:val="0"/>
              <w:spacing w:before="100" w:after="0"/>
              <w:ind w:left="0" w:right="0" w:hanging="0"/>
              <w:jc w:val="left"/>
              <w:rPr>
                <w:sz w:val="20"/>
              </w:rPr>
            </w:pPr>
            <w:r>
              <w:rPr>
                <w:sz w:val="20"/>
              </w:rPr>
              <w:t>* Filed herewith.</w:t>
            </w:r>
          </w:p>
          <w:p>
            <w:pPr>
              <w:pStyle w:val="TableContents"/>
              <w:bidi w:val="0"/>
              <w:spacing w:before="0" w:after="100"/>
              <w:ind w:left="0" w:right="0" w:hanging="0"/>
              <w:jc w:val="left"/>
              <w:rPr/>
            </w:pPr>
            <w:r>
              <w:rPr/>
              <w:t># Certain portions of this exhibit (indicated by “[***]”) have been omitted pursuant to Item 601(a)(6) of Regulation S-K.</w:t>
            </w:r>
          </w:p>
        </w:tc>
      </w:tr>
    </w:tbl>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98" w:name="PageBreakNo30"/>
            <w:bookmarkEnd w:id="398"/>
            <w:r>
              <w:rPr>
                <w:sz w:val="20"/>
              </w:rPr>
              <w:t>30</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jc w:val="left"/>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034"/>
        <w:gridCol w:w="533"/>
        <w:gridCol w:w="7638"/>
      </w:tblGrid>
      <w:tr>
        <w:trPr/>
        <w:tc>
          <w:tcPr>
            <w:tcW w:w="2034" w:type="dxa"/>
            <w:tcBorders/>
            <w:vAlign w:val="center"/>
          </w:tcPr>
          <w:p>
            <w:pPr>
              <w:pStyle w:val="TableContents"/>
              <w:bidi w:val="0"/>
              <w:spacing w:before="0" w:after="0"/>
              <w:ind w:left="0" w:right="0" w:hanging="0"/>
              <w:jc w:val="left"/>
              <w:rPr/>
            </w:pPr>
            <w:r>
              <w:rPr/>
              <w:t> </w:t>
            </w:r>
          </w:p>
        </w:tc>
        <w:tc>
          <w:tcPr>
            <w:tcW w:w="8171"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3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034" w:type="dxa"/>
            <w:tcBorders/>
            <w:vAlign w:val="center"/>
          </w:tcPr>
          <w:p>
            <w:pPr>
              <w:pStyle w:val="TableContents"/>
              <w:bidi w:val="0"/>
              <w:spacing w:before="0" w:after="0"/>
              <w:ind w:left="0" w:right="0" w:hanging="0"/>
              <w:jc w:val="left"/>
              <w:rPr>
                <w:rFonts w:ascii="Times New Roman" w:hAnsi="Times New Roman"/>
                <w:sz w:val="20"/>
              </w:rPr>
            </w:pPr>
            <w:bookmarkStart w:id="399" w:name="fs_M48CNX43WG00000000000000000000FM"/>
            <w:bookmarkEnd w:id="399"/>
            <w:r>
              <w:rPr>
                <w:rFonts w:ascii="Times New Roman" w:hAnsi="Times New Roman"/>
                <w:sz w:val="20"/>
              </w:rPr>
              <w:t>May 15, 2026</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3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034" w:type="dxa"/>
            <w:tcBorders/>
            <w:vAlign w:val="center"/>
          </w:tcPr>
          <w:p>
            <w:pPr>
              <w:pStyle w:val="TableContents"/>
              <w:bidi w:val="0"/>
              <w:spacing w:before="0" w:after="0"/>
              <w:ind w:left="0" w:right="0" w:hanging="0"/>
              <w:jc w:val="left"/>
              <w:rPr>
                <w:rFonts w:ascii="Times New Roman" w:hAnsi="Times New Roman"/>
                <w:sz w:val="20"/>
              </w:rPr>
            </w:pPr>
            <w:bookmarkStart w:id="400" w:name="fs_N9TB6XQPTS00000000000000000000FM"/>
            <w:bookmarkEnd w:id="400"/>
            <w:r>
              <w:rPr>
                <w:rFonts w:ascii="Times New Roman" w:hAnsi="Times New Roman"/>
                <w:sz w:val="20"/>
              </w:rPr>
              <w:t>May 15, 2026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01" w:name="PageBreakNo31"/>
            <w:bookmarkEnd w:id="401"/>
            <w:r>
              <w:rPr>
                <w:sz w:val="20"/>
              </w:rPr>
              <w:t>31</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 w:hAnsi="Times New Roman"/>
          <w:b/>
          <w:sz w:val="20"/>
        </w:rPr>
      </w:pPr>
      <w:bookmarkStart w:id="402" w:name="ex311_1.htm"/>
      <w:bookmarkStart w:id="403" w:name="ksex311_1"/>
      <w:bookmarkEnd w:id="402"/>
      <w:bookmarkEnd w:id="403"/>
      <w:r>
        <w:rPr>
          <w:rFonts w:ascii="Times New Roman" w:hAnsi="Times New Roman"/>
          <w:b/>
          <w:sz w:val="20"/>
        </w:rPr>
        <w:t>EXHIBIT 31.1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086"/>
        <w:gridCol w:w="840"/>
        <w:gridCol w:w="6279"/>
      </w:tblGrid>
      <w:tr>
        <w:trPr/>
        <w:tc>
          <w:tcPr>
            <w:tcW w:w="308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279"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30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2026</w:t>
            </w:r>
          </w:p>
        </w:tc>
        <w:tc>
          <w:tcPr>
            <w:tcW w:w="840" w:type="dxa"/>
            <w:tcBorders/>
            <w:vAlign w:val="center"/>
          </w:tcPr>
          <w:p>
            <w:pPr>
              <w:pStyle w:val="TableContents"/>
              <w:bidi w:val="0"/>
              <w:spacing w:before="0" w:after="0"/>
              <w:ind w:left="0" w:right="0" w:hanging="0"/>
              <w:jc w:val="both"/>
              <w:rPr/>
            </w:pPr>
            <w:r>
              <w:rPr/>
              <w:t> </w:t>
            </w:r>
          </w:p>
        </w:tc>
        <w:tc>
          <w:tcPr>
            <w:tcW w:w="62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404" w:name="ex312_2.htm"/>
      <w:bookmarkStart w:id="405" w:name="ksex312_2"/>
      <w:bookmarkEnd w:id="404"/>
      <w:bookmarkEnd w:id="405"/>
      <w:r>
        <w:rPr>
          <w:rFonts w:ascii="Times New Roman" w:hAnsi="Times New Roman"/>
          <w:b/>
          <w:sz w:val="20"/>
        </w:rPr>
        <w:t>EXHIBIT 31.2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bidi w:val="0"/>
              <w:spacing w:before="0" w:after="0"/>
              <w:ind w:left="0" w:right="0" w:hanging="0"/>
              <w:jc w:val="both"/>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r>
              <w:rPr/>
              <w:t> </w:t>
            </w:r>
            <w:r>
              <w:rPr>
                <w:rFonts w:ascii="Times New Roman" w:hAnsi="Times New Roman"/>
                <w:sz w:val="20"/>
              </w:rPr>
              <w:t>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73"/>
        <w:gridCol w:w="538"/>
        <w:gridCol w:w="7694"/>
      </w:tblGrid>
      <w:tr>
        <w:trPr/>
        <w:tc>
          <w:tcPr>
            <w:tcW w:w="19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9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/s/Simon Brewer</w:t>
            </w:r>
          </w:p>
        </w:tc>
      </w:tr>
      <w:tr>
        <w:trPr/>
        <w:tc>
          <w:tcPr>
            <w:tcW w:w="19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2026</w:t>
            </w:r>
          </w:p>
        </w:tc>
        <w:tc>
          <w:tcPr>
            <w:tcW w:w="538" w:type="dxa"/>
            <w:tcBorders/>
            <w:vAlign w:val="center"/>
          </w:tcPr>
          <w:p>
            <w:pPr>
              <w:pStyle w:val="TableContents"/>
              <w:bidi w:val="0"/>
              <w:spacing w:before="0" w:after="0"/>
              <w:ind w:left="0" w:right="0" w:hanging="0"/>
              <w:jc w:val="left"/>
              <w:rPr/>
            </w:pPr>
            <w:r>
              <w:rPr/>
              <w:t> </w:t>
            </w:r>
          </w:p>
        </w:tc>
        <w:tc>
          <w:tcPr>
            <w:tcW w:w="7694"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406" w:name="ex321_3.htm"/>
      <w:bookmarkStart w:id="407" w:name="ksex321_3"/>
      <w:bookmarkEnd w:id="406"/>
      <w:bookmarkEnd w:id="407"/>
      <w:r>
        <w:rPr>
          <w:rFonts w:ascii="Times New Roman" w:hAnsi="Times New Roman"/>
          <w:b/>
          <w:sz w:val="20"/>
        </w:rPr>
        <w:t>EXHIBIT 32.1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to my best knowledge and belief, pursuant to 18 U.S.C. Section 1350, as adopted pursuant to Section 906 of the Sarbanes-Oxley Act of 2002, that the Quarterly Report of ClearOne, Inc. on Form 10-Q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086"/>
        <w:gridCol w:w="840"/>
        <w:gridCol w:w="6279"/>
      </w:tblGrid>
      <w:tr>
        <w:trPr/>
        <w:tc>
          <w:tcPr>
            <w:tcW w:w="308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279"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0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2026</w:t>
            </w:r>
          </w:p>
        </w:tc>
        <w:tc>
          <w:tcPr>
            <w:tcW w:w="840" w:type="dxa"/>
            <w:tcBorders/>
            <w:vAlign w:val="center"/>
          </w:tcPr>
          <w:p>
            <w:pPr>
              <w:pStyle w:val="TableContents"/>
              <w:bidi w:val="0"/>
              <w:spacing w:before="0" w:after="0"/>
              <w:ind w:left="0" w:right="0" w:hanging="0"/>
              <w:jc w:val="left"/>
              <w:rPr/>
            </w:pPr>
            <w:r>
              <w:rPr/>
              <w:t> </w:t>
            </w:r>
          </w:p>
        </w:tc>
        <w:tc>
          <w:tcPr>
            <w:tcW w:w="62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 w:hAnsi="times new roman;times"/>
          <w:sz w:val="20"/>
        </w:rPr>
      </w:pPr>
      <w:r>
        <w:rPr>
          <w:rFonts w:ascii="times new roman;times" w:hAnsi="times new roman;times"/>
          <w:sz w:val="20"/>
        </w:rPr>
        <w:br/>
        <w:br/>
        <w:br/>
        <w:br/>
        <w:br/>
        <w:br/>
      </w:r>
    </w:p>
    <w:p>
      <w:pPr>
        <w:pStyle w:val="TextBody"/>
        <w:bidi w:val="0"/>
        <w:spacing w:lineRule="auto" w:line="288" w:before="0" w:after="0"/>
        <w:ind w:left="0" w:right="0" w:hanging="0"/>
        <w:jc w:val="right"/>
        <w:rPr>
          <w:rFonts w:ascii="Times New Roman" w:hAnsi="Times New Roman"/>
          <w:b/>
          <w:sz w:val="20"/>
        </w:rPr>
      </w:pPr>
      <w:bookmarkStart w:id="408" w:name="ex322_4.htm"/>
      <w:bookmarkStart w:id="409" w:name="ksex322_4"/>
      <w:bookmarkEnd w:id="408"/>
      <w:bookmarkEnd w:id="409"/>
      <w:r>
        <w:rPr>
          <w:rFonts w:ascii="Times New Roman" w:hAnsi="Times New Roman"/>
          <w:b/>
          <w:sz w:val="20"/>
        </w:rPr>
        <w:t>EXHIBIT 32.2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to my best knowledge and belief, pursuant to 18 U.S.C. Section 1350, as adopted pursuant to Section 906 of the Sarbanes-Oxley Act of 2002, that the Quarterly Report of ClearOne, Inc. on Form 10-Q for the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73"/>
        <w:gridCol w:w="538"/>
        <w:gridCol w:w="7694"/>
      </w:tblGrid>
      <w:tr>
        <w:trPr/>
        <w:tc>
          <w:tcPr>
            <w:tcW w:w="19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9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19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2026</w:t>
            </w:r>
          </w:p>
        </w:tc>
        <w:tc>
          <w:tcPr>
            <w:tcW w:w="538" w:type="dxa"/>
            <w:tcBorders/>
            <w:vAlign w:val="center"/>
          </w:tcPr>
          <w:p>
            <w:pPr>
              <w:pStyle w:val="TableContents"/>
              <w:bidi w:val="0"/>
              <w:spacing w:before="0" w:after="0"/>
              <w:ind w:left="0" w:right="0" w:hanging="0"/>
              <w:jc w:val="left"/>
              <w:rPr/>
            </w:pPr>
            <w:r>
              <w:rPr/>
              <w:t> </w:t>
            </w:r>
          </w:p>
        </w:tc>
        <w:tc>
          <w:tcPr>
            <w:tcW w:w="7694"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MS Mincho">
    <w:charset w:val="01"/>
    <w:family w:val="auto"/>
    <w:pitch w:val="default"/>
  </w:font>
  <w:font w:name="Times New Roman">
    <w:altName w:val="serif"/>
    <w:charset w:val="01"/>
    <w:family w:val="auto"/>
    <w:pitch w:val="default"/>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http://www.sec.gov/Archives/edgar/data/840715/000175392626000720/ex31_1.htm" TargetMode="External"/><Relationship Id="rId22" Type="http://schemas.openxmlformats.org/officeDocument/2006/relationships/hyperlink" Target="http://www.sec.gov/Archives/edgar/data/840715/000175392626000720/ex31_1.htm" TargetMode="External"/><Relationship Id="rId23" Type="http://schemas.openxmlformats.org/officeDocument/2006/relationships/hyperlink" Target="http://www.sec.gov/Archives/edgar/data/840715/000175392626000443/ex41_1.htm" TargetMode="External"/><Relationship Id="rId24" Type="http://schemas.openxmlformats.org/officeDocument/2006/relationships/hyperlink" Target="http://www.sec.gov/Archives/edgar/data/840715/000175392626000649/ex101_1.htm" TargetMode="External"/><Relationship Id="rId25" Type="http://schemas.openxmlformats.org/officeDocument/2006/relationships/hyperlink" Target="http://www.sec.gov/Archives/edgar/data/840715/000175392626000620/ex101_1.htm" TargetMode="External"/><Relationship Id="rId26" Type="http://schemas.openxmlformats.org/officeDocument/2006/relationships/hyperlink" Target="http://www.sec.gov/Archives/edgar/data/840715/000175392626000473/ex101_1.htm" TargetMode="External"/><Relationship Id="rId27" Type="http://schemas.openxmlformats.org/officeDocument/2006/relationships/hyperlink" Target="http://www.sec.gov/Archives/edgar/data/840715/000175392626000443/ex101_2.htm" TargetMode="External"/><Relationship Id="rId28" Type="http://schemas.openxmlformats.org/officeDocument/2006/relationships/hyperlink" Target="http://www.sec.gov/Archives/edgar/data/840715/000175392626000443/ex102_3.htm" TargetMode="External"/><Relationship Id="rId29" Type="http://schemas.openxmlformats.org/officeDocument/2006/relationships/hyperlink" Target="http://www.sec.gov/Archives/edgar/data/840715/000175392626000244/ex101_1.htm" TargetMode="Externa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13566</Words>
  <Characters>75382</Characters>
  <CharactersWithSpaces>89506</CharactersWithSpaces>
  <Paragraphs>2433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