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700" w:hanging="372"/>
        <w:spacing w:after="0" w:line="281"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2020</w:t>
      </w:r>
    </w:p>
    <w:p>
      <w:pPr>
        <w:spacing w:after="0" w:line="163" w:lineRule="exact"/>
        <w:rPr>
          <w:sz w:val="24"/>
          <w:szCs w:val="24"/>
          <w:color w:val="auto"/>
        </w:rPr>
      </w:pPr>
    </w:p>
    <w:p>
      <w:pPr>
        <w:ind w:left="380" w:right="1700" w:hanging="372"/>
        <w:spacing w:after="0" w:line="281"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5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7"/>
        </w:trPr>
        <w:tc>
          <w:tcPr>
            <w:tcW w:w="20" w:type="dxa"/>
            <w:vAlign w:val="bottom"/>
          </w:tcPr>
          <w:p>
            <w:pPr>
              <w:spacing w:after="0"/>
              <w:rPr>
                <w:sz w:val="24"/>
                <w:szCs w:val="24"/>
                <w:color w:val="auto"/>
              </w:rPr>
            </w:pPr>
          </w:p>
        </w:tc>
        <w:tc>
          <w:tcPr>
            <w:tcW w:w="5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500" w:type="dxa"/>
            <w:vAlign w:val="bottom"/>
          </w:tcPr>
          <w:p>
            <w:pPr>
              <w:jc w:val="right"/>
              <w:ind w:right="2450"/>
              <w:spacing w:after="0"/>
              <w:rPr>
                <w:sz w:val="20"/>
                <w:szCs w:val="20"/>
                <w:color w:val="auto"/>
              </w:rPr>
            </w:pPr>
            <w:r>
              <w:rPr>
                <w:rFonts w:ascii="Arial" w:cs="Arial" w:eastAsia="Arial" w:hAnsi="Arial"/>
                <w:sz w:val="18"/>
                <w:szCs w:val="18"/>
                <w:b w:val="1"/>
                <w:bCs w:val="1"/>
                <w:color w:val="auto"/>
              </w:rPr>
              <w:t>84116</w:t>
            </w:r>
          </w:p>
        </w:tc>
      </w:tr>
      <w:tr>
        <w:trPr>
          <w:trHeight w:val="224"/>
        </w:trPr>
        <w:tc>
          <w:tcPr>
            <w:tcW w:w="20" w:type="dxa"/>
            <w:vAlign w:val="bottom"/>
          </w:tcPr>
          <w:p>
            <w:pPr>
              <w:spacing w:after="0"/>
              <w:rPr>
                <w:sz w:val="19"/>
                <w:szCs w:val="19"/>
                <w:color w:val="auto"/>
              </w:rPr>
            </w:pPr>
          </w:p>
        </w:tc>
        <w:tc>
          <w:tcPr>
            <w:tcW w:w="5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77"/>
        </w:trPr>
        <w:tc>
          <w:tcPr>
            <w:tcW w:w="5740" w:type="dxa"/>
            <w:vAlign w:val="bottom"/>
            <w:gridSpan w:val="5"/>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5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20" w:space="720"/>
            <w:col w:w="5600"/>
          </w:cols>
          <w:pgMar w:left="320" w:top="220" w:right="339" w:bottom="1440" w:gutter="0" w:footer="0" w:header="0"/>
          <w:type w:val="continuous"/>
        </w:sectPr>
      </w:pP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40"/>
        </w:trPr>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1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Common Stock, $0.001</w:t>
            </w: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5"/>
              </w:rPr>
              <w:t>CLRO</w:t>
            </w:r>
          </w:p>
        </w:tc>
        <w:tc>
          <w:tcPr>
            <w:tcW w:w="2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August 13, 2020 was 16,655,207.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REPORT ON FORM 10-Q FOR THE QUARTER ENDED JUNE 30,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20" w:type="dxa"/>
            <w:vAlign w:val="bottom"/>
            <w:gridSpan w:val="2"/>
          </w:tcPr>
          <w:p>
            <w:pPr>
              <w:ind w:left="3360"/>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June 30, 2020 and December 31,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and Comprehensive Loss for the three and six months ended June 30,</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20" w:type="dxa"/>
            <w:vAlign w:val="bottom"/>
            <w:shd w:val="clear" w:color="auto" w:fill="CCEEFF"/>
          </w:tcPr>
          <w:p>
            <w:pPr>
              <w:spacing w:after="0"/>
              <w:rPr>
                <w:sz w:val="11"/>
                <w:szCs w:val="11"/>
                <w:color w:val="auto"/>
              </w:rPr>
            </w:pPr>
          </w:p>
        </w:tc>
        <w:tc>
          <w:tcPr>
            <w:tcW w:w="9680" w:type="dxa"/>
            <w:vAlign w:val="bottom"/>
            <w:gridSpan w:val="3"/>
            <w:vMerge w:val="restart"/>
            <w:shd w:val="clear" w:color="auto" w:fill="CCEEFF"/>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2020 and 2019</w:t>
              </w:r>
            </w:hyperlink>
          </w:p>
        </w:tc>
        <w:tc>
          <w:tcPr>
            <w:tcW w:w="6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680" w:type="dxa"/>
            <w:vAlign w:val="bottom"/>
            <w:gridSpan w:val="3"/>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Notes to Condensed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 OTHER INFORMATION</w:t>
              </w:r>
            </w:hyperlink>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9480" w:type="dxa"/>
            <w:vAlign w:val="bottom"/>
            <w:gridSpan w:val="2"/>
          </w:tcPr>
          <w:p>
            <w:pPr>
              <w:ind w:left="46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$455 and $424, respectively</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52,571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3,172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Deferred product revenue</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16,655,207 and 16,650,725 shares issued and</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52,571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(1,932)</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(1,937)</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3"/>
                <w:szCs w:val="13"/>
                <w:color w:val="auto"/>
              </w:rPr>
            </w:pPr>
          </w:p>
        </w:tc>
        <w:tc>
          <w:tcPr>
            <w:tcW w:w="200" w:type="dxa"/>
            <w:vAlign w:val="bottom"/>
          </w:tcPr>
          <w:p>
            <w:pPr>
              <w:jc w:val="right"/>
              <w:ind w:right="10"/>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56" w:lineRule="exact"/>
              <w:rPr>
                <w:sz w:val="20"/>
                <w:szCs w:val="20"/>
                <w:color w:val="auto"/>
              </w:rPr>
            </w:pPr>
            <w:r>
              <w:rPr>
                <w:rFonts w:ascii="Arial" w:cs="Arial" w:eastAsia="Arial" w:hAnsi="Arial"/>
                <w:sz w:val="18"/>
                <w:szCs w:val="18"/>
                <w:color w:val="auto"/>
              </w:rPr>
              <w:t>(3,784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56" w:lineRule="exact"/>
              <w:rPr>
                <w:sz w:val="20"/>
                <w:szCs w:val="20"/>
                <w:color w:val="auto"/>
              </w:rPr>
            </w:pPr>
            <w:r>
              <w:rPr>
                <w:rFonts w:ascii="Arial" w:cs="Arial" w:eastAsia="Arial" w:hAnsi="Arial"/>
                <w:sz w:val="18"/>
                <w:szCs w:val="18"/>
                <w:color w:val="auto"/>
              </w:rPr>
              <w:t>(4,447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30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tcPr>
          <w:p>
            <w:pPr>
              <w:jc w:val="right"/>
              <w:ind w:right="4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16,650,774</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16,630,770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16,650,750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16,630,684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16,650,774</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16,630,770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16,650,750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16,630,684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(1,937)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(2,098)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(3,784)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securities, net of tax</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(1,915)</w:t>
            </w: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(2,005)</w:t>
            </w:r>
          </w:p>
        </w:tc>
        <w:tc>
          <w:tcPr>
            <w:tcW w:w="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10"/>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(3,819</w:t>
            </w:r>
          </w:p>
        </w:tc>
        <w:tc>
          <w:tcPr>
            <w:tcW w:w="14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(4,310</w:t>
            </w:r>
          </w:p>
        </w:tc>
        <w:tc>
          <w:tcPr>
            <w:tcW w:w="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80" w:type="dxa"/>
            <w:vAlign w:val="bottom"/>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gridSpan w:val="2"/>
            <w:shd w:val="clear" w:color="auto" w:fill="CCEEFF"/>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gridSpan w:val="2"/>
            <w:shd w:val="clear" w:color="auto" w:fill="CCEEFF"/>
          </w:tcPr>
          <w:p>
            <w:pPr>
              <w:jc w:val="right"/>
              <w:ind w:right="4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2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w w:val="88"/>
              </w:rPr>
              <w:t>Six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ind w:left="54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(3,784)</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(4,447)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doubtful accounts, net</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Change of inventory to net realizable value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Deferred product revenue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intangibles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Capitalized patent defense costs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(3,792)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(2,298)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and sales of marketable securities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(1,903)</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(7,088)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(3,545)</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Net proceeds from Paycheck Protection Program loan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equity-based compensation programs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35" w:lineRule="exact"/>
        <w:rPr>
          <w:sz w:val="20"/>
          <w:szCs w:val="20"/>
          <w:color w:val="auto"/>
        </w:rPr>
      </w:pPr>
    </w:p>
    <w:p>
      <w:pPr>
        <w:spacing w:after="0" w:line="394"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(8,859)</w:t>
            </w:r>
          </w:p>
        </w:tc>
      </w:tr>
      <w:tr>
        <w:trPr>
          <w:trHeight w:val="242"/>
        </w:trPr>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-333375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91440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60" w:space="68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2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6"/>
              </w:rPr>
              <w:t>Six Months Ended June 30,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Interest paid</w:t>
            </w:r>
          </w:p>
        </w:tc>
        <w:tc>
          <w:tcPr>
            <w:tcW w:w="10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11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2020 and December 31, 2019, the results of operations for the three and six months ended June 30, 2020 and 2019, and the cash flows for the six months ended June 30, 2020 and 2019. The results of operations for the three and six months ended June 30, 2020 and 2019 are not necessarily indicative of the results for a full-year period. These interim unaudited condensed consolidated financial statements should be read in conjunction with the financial statements included in our Annual Report on Form 10-K for the year ended December 31, 2019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2019. There have been no changes to these policies during the six months ended June 30, 2020 that are of significance or potential significance to the Company.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2020, our cash and cash equivalents were approximately $2,106 compared to $4,064 as of December 31, 2019. Our working capital was $13,765 as of June 30, 2020. Net cash provided by operating activities was $113 for the six months ended June 30, 2020, an increase of cash provided of $1,511 from $(1,398) of cash used in operating activities in the six months ended June 30, 2020.</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spent approximately $17,383 from 2016 through June 30,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in 2018 by issuing common stock, in 2019 by issuing senior convertible notes and in 2020 by borrowing through Paycheck Protection Program. In addition, we expect to generate additional cash as our inventory levels are brought down to historical levels.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believe that the measures taken by us will yield higher revenues in the future. We believe all of these and effective management of working capital will provide the liquidity needed to meet our operating needs through at least August 14,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0" w:type="dxa"/>
            <w:vAlign w:val="bottom"/>
            <w:gridSpan w:val="7"/>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1"/>
                <w:szCs w:val="21"/>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4"/>
              </w:rPr>
              <w:t>2,889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Microphones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4,034</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5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2,622</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Pr>
          <w:p>
            <w:pPr>
              <w:spacing w:after="0"/>
              <w:rPr>
                <w:sz w:val="21"/>
                <w:szCs w:val="21"/>
                <w:color w:val="auto"/>
              </w:rPr>
            </w:pPr>
          </w:p>
        </w:tc>
        <w:tc>
          <w:tcPr>
            <w:tcW w:w="238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6,357</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6,420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12,091</w:t>
            </w:r>
          </w:p>
        </w:tc>
        <w:tc>
          <w:tcPr>
            <w:tcW w:w="180" w:type="dxa"/>
            <w:vAlign w:val="bottom"/>
            <w:vMerge w:val="continue"/>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12,725</w:t>
            </w:r>
          </w:p>
        </w:tc>
        <w:tc>
          <w:tcPr>
            <w:tcW w:w="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4"/>
              </w:rPr>
              <w:t>Three months ended June 30,</w:t>
            </w:r>
          </w:p>
        </w:tc>
        <w:tc>
          <w:tcPr>
            <w:tcW w:w="180" w:type="dxa"/>
            <w:vAlign w:val="bottom"/>
          </w:tcPr>
          <w:p>
            <w:pPr>
              <w:spacing w:after="0"/>
              <w:rPr>
                <w:sz w:val="21"/>
                <w:szCs w:val="21"/>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1,969</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2,996</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Pr>
          <w:p>
            <w:pPr>
              <w:spacing w:after="0"/>
              <w:rPr>
                <w:sz w:val="21"/>
                <w:szCs w:val="21"/>
                <w:color w:val="auto"/>
              </w:rPr>
            </w:pPr>
          </w:p>
        </w:tc>
        <w:tc>
          <w:tcPr>
            <w:tcW w:w="156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6,357</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12,091</w:t>
            </w:r>
          </w:p>
        </w:tc>
        <w:tc>
          <w:tcPr>
            <w:tcW w:w="180" w:type="dxa"/>
            <w:vAlign w:val="bottom"/>
            <w:vMerge w:val="continue"/>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12,725</w:t>
            </w:r>
          </w:p>
        </w:tc>
        <w:tc>
          <w:tcPr>
            <w:tcW w:w="8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(1,937)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(2,098)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(3,784)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16,650,774</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16,630,770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16,650,750</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16,630,684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7"/>
              </w:rPr>
              <w:t>Dilutive common stock equivalents using treasury stock</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method</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76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16,650,774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16,630,770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16,650,750</w:t>
            </w: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16,630,684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542,196</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569,997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542,507</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542,196</w:t>
            </w: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569,997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542,507</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578,543</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2020 and December 31, 2019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holding gains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2"/>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available-for-sale securities</w:t>
            </w:r>
          </w:p>
        </w:tc>
        <w:tc>
          <w:tcPr>
            <w:tcW w:w="1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available-for-sale securities</w:t>
            </w:r>
          </w:p>
        </w:tc>
        <w:tc>
          <w:tcPr>
            <w:tcW w:w="1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Amortized cost</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Total available-for-sale securities</w:t>
            </w:r>
          </w:p>
        </w:tc>
        <w:tc>
          <w:tcPr>
            <w:tcW w:w="28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3,933</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3,971</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60" w:type="dxa"/>
            <w:vAlign w:val="bottom"/>
            <w:vMerge w:val="restart"/>
          </w:tcPr>
          <w:p>
            <w:pPr>
              <w:jc w:val="right"/>
              <w:ind w:right="12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June 30, 2020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ind w:left="160"/>
              <w:spacing w:after="0"/>
              <w:rPr>
                <w:sz w:val="20"/>
                <w:szCs w:val="20"/>
                <w:color w:val="auto"/>
              </w:rPr>
            </w:pPr>
            <w:r>
              <w:rPr>
                <w:rFonts w:ascii="Arial" w:cs="Arial" w:eastAsia="Arial" w:hAnsi="Arial"/>
                <w:sz w:val="18"/>
                <w:szCs w:val="18"/>
                <w:b w:val="1"/>
                <w:bCs w:val="1"/>
                <w:color w:val="auto"/>
              </w:rPr>
              <w:t>More than 12 months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60" w:type="dxa"/>
            <w:vAlign w:val="bottom"/>
            <w:gridSpan w:val="2"/>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unrealized</w:t>
            </w:r>
          </w:p>
        </w:tc>
        <w:tc>
          <w:tcPr>
            <w:tcW w:w="2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2"/>
              </w:rPr>
              <w:t>holding losses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holding 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20"/>
                <w:szCs w:val="20"/>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4"/>
              </w:rPr>
              <w:t>holding losses</w:t>
            </w: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9"/>
        </w:trPr>
        <w:tc>
          <w:tcPr>
            <w:tcW w:w="3300" w:type="dxa"/>
            <w:vAlign w:val="bottom"/>
          </w:tcPr>
          <w:p>
            <w:pPr>
              <w:ind w:left="160"/>
              <w:spacing w:after="0"/>
              <w:rPr>
                <w:sz w:val="20"/>
                <w:szCs w:val="20"/>
                <w:color w:val="auto"/>
              </w:rPr>
            </w:pPr>
            <w:r>
              <w:rPr>
                <w:rFonts w:ascii="Arial" w:cs="Arial" w:eastAsia="Arial" w:hAnsi="Arial"/>
                <w:sz w:val="18"/>
                <w:szCs w:val="18"/>
                <w:color w:val="auto"/>
              </w:rPr>
              <w:t>Corporate bonds and notes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820"/>
              <w:spacing w:after="0"/>
              <w:rPr>
                <w:sz w:val="20"/>
                <w:szCs w:val="20"/>
                <w:color w:val="auto"/>
              </w:rPr>
            </w:pPr>
            <w:r>
              <w:rPr>
                <w:rFonts w:ascii="Arial" w:cs="Arial" w:eastAsia="Arial" w:hAnsi="Arial"/>
                <w:sz w:val="18"/>
                <w:szCs w:val="18"/>
                <w:color w:val="auto"/>
                <w:w w:val="77"/>
              </w:rPr>
              <w:t>—</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r>
      <w:tr>
        <w:trPr>
          <w:trHeight w:val="243"/>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2020 and December 31, 2019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Estimated useful</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20" w:type="dxa"/>
            <w:vAlign w:val="bottom"/>
          </w:tcPr>
          <w:p>
            <w:pPr>
              <w:spacing w:after="0"/>
              <w:rPr>
                <w:sz w:val="20"/>
                <w:szCs w:val="20"/>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6"/>
              </w:rPr>
              <w:t>lives (years)</w:t>
            </w:r>
          </w:p>
        </w:tc>
        <w:tc>
          <w:tcPr>
            <w:tcW w:w="260" w:type="dxa"/>
            <w:vAlign w:val="bottom"/>
          </w:tcPr>
          <w:p>
            <w:pPr>
              <w:spacing w:after="0"/>
              <w:rPr>
                <w:sz w:val="20"/>
                <w:szCs w:val="20"/>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0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22,400</w:t>
            </w:r>
          </w:p>
        </w:tc>
        <w:tc>
          <w:tcPr>
            <w:tcW w:w="14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18,494</w:t>
            </w: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tcPr>
          <w:p>
            <w:pPr>
              <w:ind w:left="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9"/>
        </w:trPr>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(9,118)</w:t>
            </w:r>
          </w:p>
        </w:tc>
        <w:tc>
          <w:tcPr>
            <w:tcW w:w="14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(8,344)</w:t>
            </w:r>
          </w:p>
        </w:tc>
      </w:tr>
      <w:tr>
        <w:trPr>
          <w:trHeight w:val="223"/>
        </w:trPr>
        <w:tc>
          <w:tcPr>
            <w:tcW w:w="5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 net</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June 30, 2020 and 2019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7"/>
          </w:tcPr>
          <w:p>
            <w:pPr>
              <w:ind w:left="3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color w:val="auto"/>
                <w:w w:val="99"/>
              </w:rPr>
              <w:t>The estimated future amortization expense of intangible assets is as follows: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7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6"/>
          </w:tcPr>
          <w:p>
            <w:pPr>
              <w:ind w:left="18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1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2021</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1,708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2023</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1,701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9,733</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17,141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20" w:type="dxa"/>
            <w:vAlign w:val="bottom"/>
            <w:gridSpan w:val="2"/>
            <w:vMerge w:val="restart"/>
          </w:tcPr>
          <w:p>
            <w:pPr>
              <w:jc w:val="right"/>
              <w:ind w:right="256"/>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4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7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360" w:type="dxa"/>
            <w:vAlign w:val="bottom"/>
            <w:gridSpan w:val="2"/>
          </w:tcPr>
          <w:p>
            <w:pPr>
              <w:spacing w:after="0"/>
              <w:rPr>
                <w:sz w:val="20"/>
                <w:szCs w:val="20"/>
                <w:color w:val="auto"/>
              </w:rPr>
            </w:pPr>
            <w:r>
              <w:rPr>
                <w:rFonts w:ascii="Arial" w:cs="Arial" w:eastAsia="Arial" w:hAnsi="Arial"/>
                <w:sz w:val="18"/>
                <w:szCs w:val="18"/>
                <w:color w:val="auto"/>
                <w:w w:val="92"/>
              </w:rPr>
              <w:t>Inventories, net of reserves, as of June 30, 2020 and December 31, 2019 consisted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months ended June 30, 2020 and 2019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181"/>
        </w:trPr>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Net loss incurred on valuation of inventory at lower of cost or market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value and write-off of obsolete inventory</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June 30, 2020 and 2019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7"/>
              </w:rPr>
              <w:t>Three months ended June 30,</w:t>
            </w:r>
          </w:p>
        </w:tc>
        <w:tc>
          <w:tcPr>
            <w:tcW w:w="200" w:type="dxa"/>
            <w:vAlign w:val="bottom"/>
          </w:tcPr>
          <w:p>
            <w:pPr>
              <w:spacing w:after="0"/>
              <w:rPr>
                <w:sz w:val="21"/>
                <w:szCs w:val="21"/>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1"/>
                <w:szCs w:val="21"/>
                <w:color w:val="auto"/>
              </w:rPr>
            </w:pPr>
          </w:p>
        </w:tc>
      </w:tr>
    </w:tbl>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 under the terms of an operating lease expiring in October 2022. This facility supports our sales, marketing, customer support, and research and development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under the terms of an operating lease expiring in August 2021. This facility supports our administrative, marketing, customer support, and research and product development activities.</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6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632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7"/>
        </w:trPr>
        <w:tc>
          <w:tcPr>
            <w:tcW w:w="632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3"/>
                <w:szCs w:val="23"/>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1"/>
        </w:trPr>
        <w:tc>
          <w:tcPr>
            <w:tcW w:w="7160" w:type="dxa"/>
            <w:vAlign w:val="bottom"/>
            <w:gridSpan w:val="2"/>
          </w:tcPr>
          <w:p>
            <w:pPr>
              <w:spacing w:after="0"/>
              <w:rPr>
                <w:sz w:val="20"/>
                <w:szCs w:val="20"/>
                <w:color w:val="auto"/>
              </w:rPr>
            </w:pPr>
            <w:r>
              <w:rPr>
                <w:rFonts w:ascii="Arial" w:cs="Arial" w:eastAsia="Arial" w:hAnsi="Arial"/>
                <w:sz w:val="18"/>
                <w:szCs w:val="18"/>
                <w:color w:val="auto"/>
              </w:rPr>
              <w:t>The following represents maturities of operating lease liabilities as of June 30, 2020:</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2020 (Remainder)</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Pr>
          <w:p>
            <w:pPr>
              <w:ind w:left="640"/>
              <w:spacing w:after="0"/>
              <w:rPr>
                <w:sz w:val="20"/>
                <w:szCs w:val="20"/>
                <w:color w:val="auto"/>
              </w:rPr>
            </w:pPr>
            <w:r>
              <w:rPr>
                <w:rFonts w:ascii="Arial" w:cs="Arial" w:eastAsia="Arial" w:hAnsi="Arial"/>
                <w:sz w:val="18"/>
                <w:szCs w:val="18"/>
                <w:color w:val="auto"/>
              </w:rPr>
              <w:t>Total lease payments</w:t>
            </w:r>
          </w:p>
        </w:tc>
        <w:tc>
          <w:tcPr>
            <w:tcW w:w="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Imputed interest</w:t>
            </w:r>
          </w:p>
        </w:tc>
        <w:tc>
          <w:tcPr>
            <w:tcW w:w="4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Pr>
          <w:p>
            <w:pPr>
              <w:ind w:left="64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2,363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35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89"/>
              </w:rPr>
              <w:t>Three months ended 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58,577</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57,940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58,537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Proceeds from employee stock purchase plan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7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58,002</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58,597</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securities, net of tax</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7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 (accumulated deficit)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(15,730)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(7,824)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(13,883)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(3,784)</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40,719</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48,036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40,719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48,036</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00" w:type="dxa"/>
            <w:vAlign w:val="bottom"/>
            <w:gridSpan w:val="2"/>
          </w:tcPr>
          <w:p>
            <w:pPr>
              <w:ind w:left="700"/>
              <w:spacing w:after="0"/>
              <w:rPr>
                <w:sz w:val="20"/>
                <w:szCs w:val="20"/>
                <w:color w:val="auto"/>
              </w:rPr>
            </w:pPr>
            <w:r>
              <w:rPr>
                <w:rFonts w:ascii="Arial" w:cs="Arial" w:eastAsia="Arial" w:hAnsi="Arial"/>
                <w:sz w:val="18"/>
                <w:szCs w:val="18"/>
                <w:color w:val="auto"/>
                <w:w w:val="89"/>
              </w:rPr>
              <w:t>13</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at the time that the Notes and Warrants were issued to him.</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50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c>
          <w:tcPr>
            <w:tcW w:w="45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450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20"/>
                <w:szCs w:val="20"/>
                <w:color w:val="auto"/>
              </w:rPr>
            </w:pPr>
          </w:p>
        </w:tc>
      </w:tr>
      <w:tr>
        <w:trPr>
          <w:trHeight w:val="471"/>
        </w:trPr>
        <w:tc>
          <w:tcPr>
            <w:tcW w:w="3960" w:type="dxa"/>
            <w:vAlign w:val="bottom"/>
          </w:tcPr>
          <w:p>
            <w:pPr>
              <w:spacing w:after="0"/>
              <w:rPr>
                <w:sz w:val="24"/>
                <w:szCs w:val="24"/>
                <w:color w:val="auto"/>
              </w:rPr>
            </w:pPr>
          </w:p>
        </w:tc>
        <w:tc>
          <w:tcPr>
            <w:tcW w:w="2780" w:type="dxa"/>
            <w:vAlign w:val="bottom"/>
          </w:tcPr>
          <w:p>
            <w:pPr>
              <w:jc w:val="right"/>
              <w:ind w:right="930"/>
              <w:spacing w:after="0"/>
              <w:rPr>
                <w:sz w:val="20"/>
                <w:szCs w:val="20"/>
                <w:color w:val="auto"/>
              </w:rPr>
            </w:pPr>
            <w:r>
              <w:rPr>
                <w:rFonts w:ascii="Arial" w:cs="Arial" w:eastAsia="Arial" w:hAnsi="Arial"/>
                <w:sz w:val="18"/>
                <w:szCs w:val="18"/>
                <w:color w:val="auto"/>
              </w:rPr>
              <w:t>14</w:t>
            </w:r>
          </w:p>
        </w:tc>
        <w:tc>
          <w:tcPr>
            <w:tcW w:w="4500" w:type="dxa"/>
            <w:vAlign w:val="bottom"/>
          </w:tcPr>
          <w:p>
            <w:pPr>
              <w:spacing w:after="0"/>
              <w:rPr>
                <w:sz w:val="24"/>
                <w:szCs w:val="24"/>
                <w:color w:val="auto"/>
              </w:rPr>
            </w:pPr>
          </w:p>
        </w:tc>
      </w:tr>
      <w:tr>
        <w:trPr>
          <w:trHeight w:val="128"/>
        </w:trPr>
        <w:tc>
          <w:tcPr>
            <w:tcW w:w="39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5"/>
              </w:rPr>
              <w:t>December 31, 2019</w:t>
            </w:r>
          </w:p>
        </w:tc>
      </w:tr>
      <w:tr>
        <w:trPr>
          <w:trHeight w:val="226"/>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4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Principal</w:t>
            </w:r>
          </w:p>
        </w:tc>
        <w:tc>
          <w:tcPr>
            <w:tcW w:w="1400" w:type="dxa"/>
            <w:vAlign w:val="bottom"/>
          </w:tcPr>
          <w:p>
            <w:pPr>
              <w:jc w:val="right"/>
              <w:ind w:right="124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3,000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4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(778)</w:t>
            </w:r>
          </w:p>
        </w:tc>
      </w:tr>
      <w:tr>
        <w:trPr>
          <w:trHeight w:val="26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400" w:type="dxa"/>
            <w:vAlign w:val="bottom"/>
            <w:tcBorders>
              <w:top w:val="single" w:sz="8" w:color="auto"/>
              <w:bottom w:val="single" w:sz="8" w:color="auto"/>
            </w:tcBorders>
          </w:tcPr>
          <w:p>
            <w:pPr>
              <w:jc w:val="right"/>
              <w:ind w:right="12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2,320</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80" w:type="dxa"/>
            <w:vAlign w:val="bottom"/>
            <w:tcBorders>
              <w:bottom w:val="single" w:sz="8" w:color="CFF0FC"/>
            </w:tcBorders>
          </w:tcPr>
          <w:p>
            <w:pPr>
              <w:spacing w:after="0"/>
              <w:rPr>
                <w:sz w:val="22"/>
                <w:szCs w:val="22"/>
                <w:color w:val="auto"/>
              </w:rPr>
            </w:pPr>
          </w:p>
        </w:tc>
      </w:tr>
      <w:tr>
        <w:trPr>
          <w:trHeight w:val="223"/>
        </w:trPr>
        <w:tc>
          <w:tcPr>
            <w:tcW w:w="712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Warrants</w:t>
            </w:r>
          </w:p>
        </w:tc>
        <w:tc>
          <w:tcPr>
            <w:tcW w:w="1400" w:type="dxa"/>
            <w:vAlign w:val="bottom"/>
          </w:tcPr>
          <w:p>
            <w:pPr>
              <w:jc w:val="right"/>
              <w:ind w:right="124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4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carrying amount</w:t>
            </w:r>
          </w:p>
        </w:tc>
        <w:tc>
          <w:tcPr>
            <w:tcW w:w="1400" w:type="dxa"/>
            <w:vAlign w:val="bottom"/>
            <w:tcBorders>
              <w:bottom w:val="single" w:sz="8" w:color="auto"/>
            </w:tcBorders>
          </w:tcPr>
          <w:p>
            <w:pPr>
              <w:jc w:val="right"/>
              <w:ind w:right="12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212529"/>
        </w:rPr>
        <w:t>(1) Recorded on the condensed consolidated balance sheets as additional paid-in capital.</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and six months ended June 30, 2020, amortization of debt discount and issuance costs was $49 and $98, respectively. The following table represents schedule of maturities of principal amount contained in the Notes as of June 30,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Principal Amount</w:t>
            </w:r>
          </w:p>
        </w:tc>
      </w:tr>
      <w:tr>
        <w:trPr>
          <w:trHeight w:val="213"/>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Maturing</w:t>
            </w:r>
          </w:p>
        </w:tc>
      </w:tr>
      <w:tr>
        <w:trPr>
          <w:trHeight w:val="226"/>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1"/>
                <w:szCs w:val="21"/>
                <w:color w:val="auto"/>
              </w:rPr>
            </w:pPr>
          </w:p>
        </w:tc>
      </w:tr>
      <w:tr>
        <w:trPr>
          <w:trHeight w:val="24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FF0FC"/>
          </w:tcPr>
          <w:p>
            <w:pPr>
              <w:spacing w:after="0"/>
              <w:rPr>
                <w:sz w:val="21"/>
                <w:szCs w:val="21"/>
                <w:color w:val="auto"/>
              </w:rPr>
            </w:pPr>
          </w:p>
        </w:tc>
      </w:tr>
      <w:tr>
        <w:trPr>
          <w:trHeight w:val="24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Borders>
              <w:bottom w:val="single" w:sz="8" w:color="CFF0FC"/>
            </w:tcBorders>
          </w:tcPr>
          <w:p>
            <w:pPr>
              <w:spacing w:after="0"/>
              <w:rPr>
                <w:sz w:val="21"/>
                <w:szCs w:val="21"/>
                <w:color w:val="auto"/>
              </w:rPr>
            </w:pPr>
          </w:p>
        </w:tc>
      </w:tr>
      <w:tr>
        <w:trPr>
          <w:trHeight w:val="223"/>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amount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six months after the date of disbursement.</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June 30,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2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29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1,945</w:t>
            </w:r>
          </w:p>
        </w:tc>
        <w:tc>
          <w:tcPr>
            <w:tcW w:w="980" w:type="dxa"/>
            <w:vAlign w:val="bottom"/>
            <w:gridSpan w:val="2"/>
          </w:tcPr>
          <w:p>
            <w:pPr>
              <w:jc w:val="right"/>
              <w:ind w:right="721"/>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9"/>
                <w:szCs w:val="19"/>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21"/>
                <w:szCs w:val="21"/>
                <w:color w:val="auto"/>
              </w:rPr>
            </w:pPr>
          </w:p>
        </w:tc>
      </w:tr>
      <w:tr>
        <w:trPr>
          <w:trHeight w:val="263"/>
        </w:trPr>
        <w:tc>
          <w:tcPr>
            <w:tcW w:w="3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2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29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980" w:type="dxa"/>
            <w:vAlign w:val="bottom"/>
            <w:gridSpan w:val="2"/>
          </w:tcPr>
          <w:p>
            <w:pPr>
              <w:jc w:val="right"/>
              <w:ind w:right="721"/>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19"/>
                <w:szCs w:val="19"/>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21"/>
                <w:szCs w:val="21"/>
                <w:color w:val="auto"/>
              </w:rPr>
            </w:pPr>
          </w:p>
        </w:tc>
      </w:tr>
      <w:tr>
        <w:trPr>
          <w:trHeight w:val="223"/>
        </w:trPr>
        <w:tc>
          <w:tcPr>
            <w:tcW w:w="3960" w:type="dxa"/>
            <w:vAlign w:val="bottom"/>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six months ended June 30, 2020 represents income tax expense recorded for jurisdictions outside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COLLABORATE Space, our powerful cloud-based collaboration solution,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spacing w:after="0" w:line="164"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During April 2020, we introduced UNITE 20 Pro Webcam, which easily mounts on a PC or laptop to provide full 1080p30 image with an ultra wide-angle field-of-view up to 120</w:t>
      </w:r>
      <w:r>
        <w:rPr>
          <w:rFonts w:ascii="Arial" w:cs="Arial" w:eastAsia="Arial" w:hAnsi="Arial"/>
          <w:sz w:val="19"/>
          <w:szCs w:val="19"/>
          <w:color w:val="666666"/>
        </w:rPr>
        <w:t>°.</w:t>
      </w:r>
      <w:r>
        <w:rPr>
          <w:rFonts w:ascii="Arial" w:cs="Arial" w:eastAsia="Arial" w:hAnsi="Arial"/>
          <w:sz w:val="16"/>
          <w:szCs w:val="16"/>
          <w:color w:val="auto"/>
        </w:rPr>
        <w:t xml:space="preserve"> A super-high signal-to-noise ratio and advanced 2D and 3D noise reduction provides superior desktop camera video quality.</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six months of 2020, we continued our efforts, primarily through litigation, to stop the infringement of our strategic patents. We also continued our programs to cut costs and to speed up product development that we believe will enable us to get back to a growth path.</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Overall revenue declined by 1% in the second quarter of 2020 when compared to the second quarter of 2019, primarily due to a decline in audio conferencing products and microphones mostly offset by an increase in revenue from video products. Despite the negative impact of COVID-19 and the infringement of our patents by Shure on all professional installed products our new solutions incorporating Beamforming Microphone Array Ceiling Tile ("BMA-CT") resulted in overall Beamforming Microphone Array ("BMA") revenue being significantly higher than last year. However, revenue from BMA products as well as from our pro audio products are far below the levels prior to infringement of our patents. Our revenue performance reflects an impact of the on-going harm of infringement of ClearOne’s patents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Our gross profit margin decreased to 41% during the second quarter of 2020 from 46% during the second quarter of 2019. Net loss decreased from $2.1 million in the second quarter of 2019 to $1.9 million in the second quarter of 2020. The decrease was mainly due to reduction in operating costs.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first six months ended June 30, 2020 our revenues decreased by 5% when compared to the six months ended June 30, 2019. The decline was seen in all product categories. Our gross profit margin increased to 45% during the first six months of 2020 from 44% during the same six months of 2019. Net loss decreased from $4.4 million in the first six months of 2019 to $3.8 million in the first six months of 2020. The decrease was mainly due to reduction in operating costs and increased gross margin.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still infringes ClearOne’s patent. We have sought a Court order holding Shure in contempt for marketing and selling their new design in violation of the preliminary injunction.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63"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i w:val="1"/>
          <w:iCs w:val="1"/>
          <w:color w:val="auto"/>
        </w:rPr>
        <w:t>Industry conditions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from our video products are critical to our long-term growth due to significantly larger available market space for video products. We face intense competition in this market from well-established market leaders, emerging players rich with marketing funds and information technology giants offering free products and services. We expect our strategy of combining COLLABOATE Space, our cloud-based video conferencing product with COLLABORATE Live, our appliance-based media collaboration product, UNITE, our high-quality professional cameras, and our high-end audio conferencing technology will generate high growth in the near future. We believe we are also well positioned with our COLLABORATE Versa solutions incorporated with BMA-CT to capitalize on the acceleration of replacing large meeting rooms with huddle rooms.</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a major portion of our revenue (approximately 46% for the year ended December 31, 2019)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December 2019, a novel strain of coronavirus (“COVID-19”) was first reported in Wuhan, China. The COVID-19 pandemic has continued to spread and has already caused severe global disruptions. The extent of COVID-19’s effect on our operational and financial performance will depend on future developments, including the duration, spread and intensity of the pandemic, all of which are uncertain and difficult to predict considering the rapidly evolving landscape. If the pandemic continues to evolve into a severe worldwide health crisis, the disease could have a material adverse effect on our business, results of operations, financial condition and cash flows and adversely impact the trading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remained almost the same at $0.20 million at June 30, 2020 compared to $0.17 million at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2020</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and six months ended June 30, 2020 (“2020-Q2”) ("2020-YTD") and 2019 ("2019-Q2") ("2019-YTD"), respectively, together with the percentage of total revenue which each such item represents: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gridSpan w:val="8"/>
          </w:tcPr>
          <w:p>
            <w:pPr>
              <w:jc w:val="right"/>
              <w:ind w:right="103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3700" w:type="dxa"/>
            <w:vAlign w:val="bottom"/>
            <w:gridSpan w:val="7"/>
          </w:tcPr>
          <w:p>
            <w:pPr>
              <w:jc w:val="right"/>
              <w:ind w:right="103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89"/>
              </w:rPr>
              <w:t>Change 2020</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2020</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vs 2019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vs 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6,420</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12,725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3,481</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7,082</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2,261</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3,196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4,214</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1,307</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1,475</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3,032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shd w:val="clear" w:color="auto" w:fill="CCEEFF"/>
              </w:rPr>
              <w:t>-</w:t>
            </w:r>
          </w:p>
        </w:tc>
        <w:tc>
          <w:tcPr>
            <w:tcW w:w="180" w:type="dxa"/>
            <w:vAlign w:val="bottom"/>
            <w:tcBorders>
              <w:top w:val="single" w:sz="8" w:color="auto"/>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12</w:t>
            </w:r>
          </w:p>
        </w:tc>
        <w:tc>
          <w:tcPr>
            <w:tcW w:w="260" w:type="dxa"/>
            <w:vAlign w:val="bottom"/>
            <w:tcBorders>
              <w:top w:val="single" w:sz="8" w:color="CCEEFF"/>
              <w:bottom w:val="single" w:sz="8" w:color="CCEEFF"/>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10,138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(2,104)</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(3,590)</w:t>
            </w:r>
          </w:p>
        </w:tc>
        <w:tc>
          <w:tcPr>
            <w:tcW w:w="14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(4,495)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(2,053)</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(3,756)</w:t>
            </w:r>
          </w:p>
        </w:tc>
        <w:tc>
          <w:tcPr>
            <w:tcW w:w="14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(4,402)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200" w:type="dxa"/>
            <w:vAlign w:val="bottom"/>
            <w:tcBorders>
              <w:top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decreased to $6.36 million in 2020-Q2 compared to $6.42 million in 2019-Q2 primarily due to an 8% decline in audio conferencing products and 15% decline in microphones category offset mostly by 40% increase in revenue from video products. Microphones category as a whole declined despite significant increase in revenues from BMA products. During the second quarter of 2020, revenue from North America increased by 15% while revenues from Asia Pacific, including the Middle East declined by 20% and revenues from Europe and Africa declined by 19%. Overall USA, Canada and Japan registered impressive growths, while China, India and the Middle East saw significant declines.</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six months ended June 30, 2020 our revenues declined from $12.7 million to $12.1 million compared to same period in 2019 due to decline in all product categories, namely audio conferencing by 3%, microphones category by 7% and video products by 6%. During the six months ended June 30, 2020 revenues in Americas increased by 1% compared to same period in 2019. The Asia Pacific, including the Middle East declined by 22% and the Europe and Africa increased by 6%.</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although there can be no assurance, that we will return to a growth path if we are able to successfully implement our strategic initiatives focused on product innovation, cost reduction and defense of our intellectual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4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Our gross profit margin decreased to 41% during 2020-Q2 from 46% during 2019-Q2. Gross profit declined due to increase in the share of lower margin products in the revenue mix, increased freight and tariff costs and increased inventory obsolescence costs, partially offset by a decrease in overhead costs.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gross profit margin decreased to 45% during 2020-H1 from 44% during 2019-H1. The gross profit margin increased primarily due to increase of higher-margin professional audio conferencing products in the revenue mix and reduction in overhead costs, partially offset by increase in inventory obsolescence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$1.5 million of wireless microphone-related finished goods and assemblies, $1.4 million of Converge Pro and Beamforming microphone array products, $0.5 million of network media streaming products and about $2.3 million of raw materials that will be used for manufacturing professional audio conferencing products. Any business changes that are adverse to these product lines could potentially impact our ability to sell our long-term inventory in addition to our current inventory.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$4.5 million for 2020-Q2 compared to $5.0 million for 2019-Q2. Total operating expenses were $9.0 million for 2020-H1 compared to $10.1 million for 2019-H1. The following contains a more detailed discussion of expenses related to sales and marketing, research and product development, general and administrative, and other items.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S&amp;M expenses for 2020-Q2 decreased to $1.5 million from $2.3 million for 2019-Q2. The decrease was mainly due to decreases in trade-show related expenses, demonstration inventory costs, employee travel related expenses, and independent rep commissions, partially offset by an increase in employee benefits expenses.</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S&amp;M expenses for 2020-H1 decreased to $3.2 million from $4.2 million for 2019-H1. The decrease was mainly due to decreases in trade-show related expenses, demonstration inventory costs, employee related costs and commissions paid to independent reps.</w:t>
      </w:r>
    </w:p>
    <w:p>
      <w:pPr>
        <w:spacing w:after="0" w:line="130"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R&amp;D expenses were approximately $1.5 million for 2020-Q2, as compared to $1.3 million for 2019-Q2. The increase was primarily due to increases in employee-related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remained fairly consistent with approximately $2.8 million for 2020-H1, as compared to $2.9 million for 2019-H1.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financing and human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remained consistent at $1.5 million in 2020-Q2 and 2019-Q2.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remained consistent at $3.0 million in 2020-H1 compared to $3.0 million in 2019-H1.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income (expense), net, includes interest income and foreign currency changes. Other income remained fairly consistent between the second quarter of 2020 and 2019 and between 2020-H1 and 2019-H1.</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in the second quarter of 2020 was $109 thousand compared to no interest expense in the second quarter of 2019. Most of the interest expense was incurred due to issuance of senior convertibles notes with a face value of $3.0 million in December 2019.</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Interest Expense in 2020-H1 was $217 thousand compared to no interest expense in 2019-H1. Most of the interest expense was incurred due to issuance of senior convertibles notes with a face value of $3.0 million in December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63"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Provision for income taxes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2020-H1, we did not recognize any benefit from the losses incurred due to setting up of full valuation allowance. Provision for income taxes recognized for 2020-Q2 and 2020-H1 relates to foreign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June 30, 2020, our cash and cash equivalents were approximately $2.1 million compared to $4.1 million as of December 31, 2019. Our working capital was $13.8 million and $18.9 million as of June 30, 2020 and December 31, 2019, respectively.</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operating activities was approximately $0.1 million in 2020-H1, an increase of cash provided of approximately $1.5 million from $1.4 million of cash used in operating activities in 2019-H1. The increase in cash inflow was due to positive change in operating assets and liabilities of $0.5 million, increase in non-cash charges by $0.3 million and a decrease in net loss by $0.7 million.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used in investing activities was $3.5 million for 2020-Q2 compared to net cash used in investing activities of $7.5 million during the 2019-Q2, a decrease in cash used of $3.9 million. The decrease in cash used in investing activities was primarily due to a decrease in net cash outflows from marketable securities of approximately $5.7 million partially offset by an increase in capitalized patent defense costs by $1.7 million.</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2020-Q2 we spent $2.1 million on legal costs related to the defense of our patents and capitalized the entire amount.</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spent approximately $17.4 million from 2016 through June 30,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still infringes ClearOne’s patent. We have sought a Court order holding Shure in contempt for marketing and selling their new design in violation of the preliminary injunction.</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been actively engaged in preserving cash by suspending our dividend program and allowing our share repurchase program to expire in 2018 and implementing company-wide cost reduction measures. During 2018, we raised additional proceeds of $9.9 million (net of issuance costs) from the Rights Offering. During December 2019 we raised approximately $2.7 million (net of issuance costs) from the issue of senior convertible notes. We also believe additional cash will be generated as we continue to consume our inventory and bring it down to historical levels.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believe that the measures taken by us will yield higher revenues in the future. We believe all of these and effective management of working capital will provide the liquidity needed to meet our operating needs through at least August 14,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90" w:lineRule="auto"/>
        <w:rPr>
          <w:sz w:val="20"/>
          <w:szCs w:val="20"/>
          <w:color w:val="auto"/>
        </w:rPr>
      </w:pP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At June 30, 2020, we had open purchase orders of approximately $1.9 million for purchase of inventory.</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June 30, 2020, we had inventory totaling $14.7 million, of which non-current inventory accounted for $6.5 million. This compares to total inventories of $17.7 million and non-current inventory of $6.3 million as of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June 30, 2020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6"/>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Less Than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6"/>
                <w:szCs w:val="16"/>
                <w:b w:val="1"/>
                <w:bCs w:val="1"/>
                <w:color w:val="auto"/>
              </w:rPr>
              <w:t>More than 5</w:t>
            </w:r>
          </w:p>
        </w:tc>
        <w:tc>
          <w:tcPr>
            <w:tcW w:w="100" w:type="dxa"/>
            <w:vAlign w:val="bottom"/>
          </w:tcPr>
          <w:p>
            <w:pPr>
              <w:spacing w:after="0"/>
              <w:rPr>
                <w:sz w:val="17"/>
                <w:szCs w:val="17"/>
                <w:color w:val="auto"/>
              </w:rPr>
            </w:pPr>
          </w:p>
        </w:tc>
      </w:tr>
      <w:tr>
        <w:trPr>
          <w:trHeight w:val="213"/>
        </w:trPr>
        <w:tc>
          <w:tcPr>
            <w:tcW w:w="352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3"/>
              <w:spacing w:after="0"/>
              <w:rPr>
                <w:sz w:val="20"/>
                <w:szCs w:val="20"/>
                <w:color w:val="auto"/>
              </w:rPr>
            </w:pPr>
            <w:r>
              <w:rPr>
                <w:rFonts w:ascii="Arial" w:cs="Arial" w:eastAsia="Arial" w:hAnsi="Arial"/>
                <w:sz w:val="16"/>
                <w:szCs w:val="16"/>
                <w:b w:val="1"/>
                <w:bCs w:val="1"/>
                <w:color w:val="auto"/>
              </w:rPr>
              <w:t>1 Year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r>
      <w:tr>
        <w:trPr>
          <w:trHeight w:val="22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98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Payroll Protection Plan loan</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Purchase obligations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June 30, 2020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June 30, 2020.</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June 30, 2020, that has materially affected, or is reasonably likely to materially affect, the Company's internal control over financial reporting.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developments to the legal proceedings discussed in our Annual Report on Form 10-K for the fiscal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Title of Document</w:t>
            </w:r>
          </w:p>
        </w:tc>
      </w:tr>
      <w:tr>
        <w:trPr>
          <w:trHeight w:val="425"/>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rFonts w:ascii="Arial" w:cs="Arial" w:eastAsia="Arial" w:hAnsi="Arial"/>
                <w:sz w:val="18"/>
                <w:szCs w:val="18"/>
                <w:u w:val="single" w:color="auto"/>
                <w:color w:val="0000FF"/>
                <w:w w:val="88"/>
              </w:rPr>
            </w:pPr>
            <w:hyperlink w:anchor="page28">
              <w:r>
                <w:rPr>
                  <w:rFonts w:ascii="Arial" w:cs="Arial" w:eastAsia="Arial" w:hAnsi="Arial"/>
                  <w:sz w:val="18"/>
                  <w:szCs w:val="18"/>
                  <w:u w:val="single" w:color="auto"/>
                  <w:color w:val="0000FF"/>
                  <w:w w:val="88"/>
                </w:rPr>
                <w:t>Section 302</w:t>
              </w:r>
            </w:hyperlink>
          </w:p>
        </w:tc>
        <w:tc>
          <w:tcPr>
            <w:tcW w:w="9300" w:type="dxa"/>
            <w:vAlign w:val="bottom"/>
            <w:tcBorders>
              <w:top w:val="single" w:sz="8" w:color="auto"/>
            </w:tcBorders>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Certification of Chief Executive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29">
              <w:r>
                <w:rPr>
                  <w:rFonts w:ascii="Arial" w:cs="Arial" w:eastAsia="Arial" w:hAnsi="Arial"/>
                  <w:sz w:val="18"/>
                  <w:szCs w:val="18"/>
                  <w:u w:val="single" w:color="auto"/>
                  <w:color w:val="0000FF"/>
                  <w:w w:val="88"/>
                </w:rPr>
                <w:t>Section 302</w:t>
              </w:r>
            </w:hyperlink>
          </w:p>
        </w:tc>
        <w:tc>
          <w:tcPr>
            <w:tcW w:w="9300" w:type="dxa"/>
            <w:vAlign w:val="bottom"/>
          </w:tcPr>
          <w:p>
            <w:pPr>
              <w:ind w:left="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Certification of Principal Financial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30">
              <w:r>
                <w:rPr>
                  <w:rFonts w:ascii="Arial" w:cs="Arial" w:eastAsia="Arial" w:hAnsi="Arial"/>
                  <w:sz w:val="18"/>
                  <w:szCs w:val="18"/>
                  <w:u w:val="single" w:color="auto"/>
                  <w:color w:val="0000FF"/>
                  <w:w w:val="88"/>
                </w:rPr>
                <w:t>Section 906</w:t>
              </w:r>
            </w:hyperlink>
          </w:p>
        </w:tc>
        <w:tc>
          <w:tcPr>
            <w:tcW w:w="9300" w:type="dxa"/>
            <w:vAlign w:val="bottom"/>
          </w:tcPr>
          <w:p>
            <w:pPr>
              <w:ind w:left="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Chief Executive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31">
              <w:r>
                <w:rPr>
                  <w:rFonts w:ascii="Arial" w:cs="Arial" w:eastAsia="Arial" w:hAnsi="Arial"/>
                  <w:sz w:val="18"/>
                  <w:szCs w:val="18"/>
                  <w:u w:val="single" w:color="auto"/>
                  <w:color w:val="0000FF"/>
                  <w:w w:val="88"/>
                </w:rPr>
                <w:t>Section 906</w:t>
              </w:r>
            </w:hyperlink>
          </w:p>
        </w:tc>
        <w:tc>
          <w:tcPr>
            <w:tcW w:w="9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Principal Financial Officer (filed herewith)</w:t>
              </w:r>
            </w:hyperlink>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Instance Document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58"/>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300" w:type="dxa"/>
            <w:vAlign w:val="bottom"/>
          </w:tcPr>
          <w:p>
            <w:pPr>
              <w:ind w:left="3600"/>
              <w:spacing w:after="0"/>
              <w:rPr>
                <w:sz w:val="20"/>
                <w:szCs w:val="20"/>
                <w:color w:val="auto"/>
              </w:rPr>
            </w:pPr>
            <w:r>
              <w:rPr>
                <w:rFonts w:ascii="Arial" w:cs="Arial" w:eastAsia="Arial" w:hAnsi="Arial"/>
                <w:sz w:val="18"/>
                <w:szCs w:val="18"/>
                <w:color w:val="auto"/>
              </w:rPr>
              <w:t>25</w:t>
            </w:r>
          </w:p>
        </w:tc>
      </w:tr>
      <w:tr>
        <w:trPr>
          <w:trHeight w:val="128"/>
        </w:trPr>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3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1"/>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August 13, 2020</w:t>
            </w:r>
          </w:p>
        </w:tc>
        <w:tc>
          <w:tcPr>
            <w:tcW w:w="5160" w:type="dxa"/>
            <w:vAlign w:val="bottom"/>
          </w:tcPr>
          <w:p>
            <w:pPr>
              <w:spacing w:after="0"/>
              <w:rPr>
                <w:sz w:val="22"/>
                <w:szCs w:val="22"/>
                <w:color w:val="auto"/>
              </w:rPr>
            </w:pPr>
          </w:p>
        </w:tc>
      </w:tr>
      <w:tr>
        <w:trPr>
          <w:trHeight w:val="452"/>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1"/>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August 13, 2020</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4"/>
        </w:trPr>
        <w:tc>
          <w:tcPr>
            <w:tcW w:w="6080" w:type="dxa"/>
            <w:vAlign w:val="bottom"/>
          </w:tcPr>
          <w:p>
            <w:pPr>
              <w:ind w:left="5540"/>
              <w:spacing w:after="0"/>
              <w:rPr>
                <w:sz w:val="20"/>
                <w:szCs w:val="20"/>
                <w:color w:val="auto"/>
              </w:rPr>
            </w:pPr>
            <w:r>
              <w:rPr>
                <w:rFonts w:ascii="Arial" w:cs="Arial" w:eastAsia="Arial" w:hAnsi="Arial"/>
                <w:sz w:val="18"/>
                <w:szCs w:val="18"/>
                <w:color w:val="auto"/>
              </w:rPr>
              <w:t>26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4" w:lineRule="exact"/>
        <w:rPr>
          <w:rFonts w:ascii="Arial" w:cs="Arial" w:eastAsia="Arial" w:hAnsi="Arial"/>
          <w:sz w:val="18"/>
          <w:szCs w:val="18"/>
          <w:color w:val="auto"/>
        </w:rPr>
      </w:pPr>
    </w:p>
    <w:p>
      <w:pPr>
        <w:ind w:left="200" w:hanging="192"/>
        <w:spacing w:after="0" w:line="341" w:lineRule="auto"/>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200" w:hanging="192"/>
        <w:spacing w:after="0" w:line="307" w:lineRule="auto"/>
        <w:tabs>
          <w:tab w:leader="none" w:pos="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13, 2020</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4" w:lineRule="exact"/>
        <w:rPr>
          <w:rFonts w:ascii="Arial" w:cs="Arial" w:eastAsia="Arial" w:hAnsi="Arial"/>
          <w:sz w:val="18"/>
          <w:szCs w:val="18"/>
          <w:color w:val="auto"/>
        </w:rPr>
      </w:pPr>
    </w:p>
    <w:p>
      <w:pPr>
        <w:ind w:left="200" w:hanging="192"/>
        <w:spacing w:after="0" w:line="341"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200" w:hanging="192"/>
        <w:spacing w:after="0" w:line="307" w:lineRule="auto"/>
        <w:tabs>
          <w:tab w:leader="none" w:pos="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13, 2020</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13, 2020</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13, 2020</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2020-08-13T15:41:50Z</dcterms:created>
  <dcterms:modified xsi:type="dcterms:W3CDTF">2020-08-13T15:41:50Z</dcterms:modified>
</cp:coreProperties>
</file>