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August 13, 2012</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Utah</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(State or Other Jurisdiction of Incorporation)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200" w:type="dxa"/>
            <w:vAlign w:val="bottom"/>
          </w:tcPr>
          <w:p>
            <w:pPr>
              <w:jc w:val="right"/>
              <w:ind w:right="2130"/>
              <w:spacing w:after="0"/>
              <w:rPr>
                <w:sz w:val="20"/>
                <w:szCs w:val="20"/>
                <w:color w:val="auto"/>
              </w:rPr>
            </w:pPr>
            <w:r>
              <w:rPr>
                <w:rFonts w:ascii="Arial" w:cs="Arial" w:eastAsia="Arial" w:hAnsi="Arial"/>
                <w:sz w:val="18"/>
                <w:szCs w:val="18"/>
                <w:b w:val="1"/>
                <w:bCs w:val="1"/>
                <w:color w:val="auto"/>
              </w:rPr>
              <w:t>001-33660</w:t>
            </w:r>
          </w:p>
        </w:tc>
        <w:tc>
          <w:tcPr>
            <w:tcW w:w="520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5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520" w:type="dxa"/>
            <w:vAlign w:val="bottom"/>
          </w:tcPr>
          <w:p>
            <w:pPr>
              <w:spacing w:after="0"/>
              <w:rPr>
                <w:sz w:val="17"/>
                <w:szCs w:val="17"/>
                <w:color w:val="auto"/>
              </w:rPr>
            </w:pPr>
          </w:p>
        </w:tc>
        <w:tc>
          <w:tcPr>
            <w:tcW w:w="4680" w:type="dxa"/>
            <w:vAlign w:val="bottom"/>
            <w:tcBorders>
              <w:top w:val="single" w:sz="8" w:color="auto"/>
            </w:tcBorders>
            <w:gridSpan w:val="3"/>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8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5200" w:type="dxa"/>
            <w:vAlign w:val="bottom"/>
          </w:tcPr>
          <w:p>
            <w:pPr>
              <w:jc w:val="center"/>
              <w:ind w:left="2230"/>
              <w:spacing w:after="0"/>
              <w:rPr>
                <w:sz w:val="20"/>
                <w:szCs w:val="20"/>
                <w:color w:val="auto"/>
              </w:rPr>
            </w:pPr>
            <w:r>
              <w:rPr>
                <w:rFonts w:ascii="Arial" w:cs="Arial" w:eastAsia="Arial" w:hAnsi="Arial"/>
                <w:sz w:val="18"/>
                <w:szCs w:val="18"/>
                <w:b w:val="1"/>
                <w:bCs w:val="1"/>
                <w:color w:val="auto"/>
                <w:w w:val="89"/>
              </w:rPr>
              <w:t>5225 Wiley Post Way, Suite 500</w:t>
            </w: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41"/>
        </w:trPr>
        <w:tc>
          <w:tcPr>
            <w:tcW w:w="5200" w:type="dxa"/>
            <w:vAlign w:val="bottom"/>
          </w:tcPr>
          <w:p>
            <w:pPr>
              <w:jc w:val="center"/>
              <w:ind w:left="2230"/>
              <w:spacing w:after="0"/>
              <w:rPr>
                <w:sz w:val="20"/>
                <w:szCs w:val="20"/>
                <w:color w:val="auto"/>
              </w:rPr>
            </w:pPr>
            <w:r>
              <w:rPr>
                <w:rFonts w:ascii="Arial" w:cs="Arial" w:eastAsia="Arial" w:hAnsi="Arial"/>
                <w:sz w:val="18"/>
                <w:szCs w:val="18"/>
                <w:b w:val="1"/>
                <w:bCs w:val="1"/>
                <w:color w:val="auto"/>
                <w:w w:val="92"/>
              </w:rPr>
              <w:t>Salt Lake City, Utah</w:t>
            </w:r>
          </w:p>
        </w:tc>
        <w:tc>
          <w:tcPr>
            <w:tcW w:w="520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84116</w:t>
            </w:r>
          </w:p>
        </w:tc>
      </w:tr>
      <w:tr>
        <w:trPr>
          <w:trHeight w:val="230"/>
        </w:trPr>
        <w:tc>
          <w:tcPr>
            <w:tcW w:w="5200" w:type="dxa"/>
            <w:vAlign w:val="bottom"/>
            <w:tcBorders>
              <w:top w:val="single" w:sz="8" w:color="auto"/>
            </w:tcBorders>
          </w:tcPr>
          <w:p>
            <w:pPr>
              <w:jc w:val="center"/>
              <w:ind w:left="2210"/>
              <w:spacing w:after="0"/>
              <w:rPr>
                <w:sz w:val="20"/>
                <w:szCs w:val="20"/>
                <w:color w:val="auto"/>
              </w:rPr>
            </w:pPr>
            <w:r>
              <w:rPr>
                <w:rFonts w:ascii="Arial" w:cs="Arial" w:eastAsia="Arial" w:hAnsi="Arial"/>
                <w:sz w:val="18"/>
                <w:szCs w:val="18"/>
                <w:color w:val="auto"/>
                <w:w w:val="92"/>
              </w:rPr>
              <w:t>(Address of principal executive offices)</w:t>
            </w:r>
          </w:p>
        </w:tc>
        <w:tc>
          <w:tcPr>
            <w:tcW w:w="5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(801) 975-7200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11260" w:type="dxa"/>
            <w:vAlign w:val="bottom"/>
            <w:gridSpan w:val="2"/>
          </w:tcPr>
          <w:p>
            <w:pPr>
              <w:ind w:left="8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11060" w:type="dxa"/>
            <w:vAlign w:val="bottom"/>
          </w:tcPr>
          <w:p>
            <w:pPr>
              <w:ind w:left="6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11260" w:type="dxa"/>
            <w:vAlign w:val="bottom"/>
            <w:gridSpan w:val="2"/>
          </w:tcPr>
          <w:p>
            <w:pPr>
              <w:ind w:left="80"/>
              <w:spacing w:after="0" w:line="243" w:lineRule="exact"/>
              <w:rPr>
                <w:sz w:val="20"/>
                <w:szCs w:val="20"/>
                <w:color w:val="auto"/>
              </w:rPr>
            </w:pPr>
            <w:r>
              <w:rPr>
                <w:rFonts w:ascii="Arial" w:cs="Arial" w:eastAsia="Arial" w:hAnsi="Arial"/>
                <w:sz w:val="22"/>
                <w:szCs w:val="22"/>
                <w:color w:val="auto"/>
              </w:rPr>
              <w:t>] Pre-commencement communications pursuant to Rule 14d-2(b) under the Exchange Act (17 CFR 240.14d-2(b))</w:t>
            </w:r>
          </w:p>
        </w:tc>
      </w:tr>
      <w:tr>
        <w:trPr>
          <w:trHeight w:val="275"/>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rPr>
                <w:sz w:val="20"/>
                <w:szCs w:val="20"/>
                <w:color w:val="auto"/>
              </w:rPr>
            </w:pPr>
            <w:r>
              <w:rPr>
                <w:rFonts w:ascii="Arial" w:cs="Arial" w:eastAsia="Arial" w:hAnsi="Arial"/>
                <w:sz w:val="22"/>
                <w:szCs w:val="22"/>
                <w:color w:val="auto"/>
              </w:rPr>
              <w:t>]</w:t>
            </w:r>
          </w:p>
        </w:tc>
        <w:tc>
          <w:tcPr>
            <w:tcW w:w="11060" w:type="dxa"/>
            <w:vAlign w:val="bottom"/>
          </w:tcPr>
          <w:p>
            <w:pPr>
              <w:ind w:left="60"/>
              <w:spacing w:after="0"/>
              <w:rPr>
                <w:sz w:val="20"/>
                <w:szCs w:val="20"/>
                <w:color w:val="auto"/>
              </w:rPr>
            </w:pPr>
            <w:r>
              <w:rPr>
                <w:rFonts w:ascii="Arial" w:cs="Arial" w:eastAsia="Arial" w:hAnsi="Arial"/>
                <w:sz w:val="22"/>
                <w:szCs w:val="22"/>
                <w:color w:val="auto"/>
              </w:rPr>
              <w:t>Pre-commencement communication pursuant to Rule 13e-4(c) under the Exchange Act (17 CFR 240.13e-4(c))</w:t>
            </w:r>
          </w:p>
        </w:tc>
      </w:tr>
      <w:tr>
        <w:trPr>
          <w:trHeight w:val="1557"/>
        </w:trPr>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60" w:type="dxa"/>
            <w:vAlign w:val="bottom"/>
          </w:tcPr>
          <w:p>
            <w:pPr>
              <w:spacing w:after="0"/>
              <w:rPr>
                <w:sz w:val="24"/>
                <w:szCs w:val="24"/>
                <w:color w:val="auto"/>
              </w:rPr>
            </w:pPr>
          </w:p>
        </w:tc>
      </w:tr>
      <w:tr>
        <w:trPr>
          <w:trHeight w:val="149"/>
        </w:trPr>
        <w:tc>
          <w:tcPr>
            <w:tcW w:w="160" w:type="dxa"/>
            <w:vAlign w:val="bottom"/>
            <w:shd w:val="clear" w:color="auto" w:fill="808080"/>
          </w:tcPr>
          <w:p>
            <w:pPr>
              <w:spacing w:after="0"/>
              <w:rPr>
                <w:sz w:val="12"/>
                <w:szCs w:val="12"/>
                <w:color w:val="auto"/>
              </w:rPr>
            </w:pPr>
          </w:p>
        </w:tc>
        <w:tc>
          <w:tcPr>
            <w:tcW w:w="200" w:type="dxa"/>
            <w:vAlign w:val="bottom"/>
            <w:shd w:val="clear" w:color="auto" w:fill="808080"/>
          </w:tcPr>
          <w:p>
            <w:pPr>
              <w:spacing w:after="0"/>
              <w:rPr>
                <w:sz w:val="12"/>
                <w:szCs w:val="12"/>
                <w:color w:val="auto"/>
              </w:rPr>
            </w:pPr>
          </w:p>
        </w:tc>
        <w:tc>
          <w:tcPr>
            <w:tcW w:w="11060" w:type="dxa"/>
            <w:vAlign w:val="bottom"/>
            <w:shd w:val="clear" w:color="auto" w:fill="808080"/>
          </w:tcPr>
          <w:p>
            <w:pPr>
              <w:spacing w:after="0"/>
              <w:rPr>
                <w:sz w:val="12"/>
                <w:szCs w:val="12"/>
                <w:color w:val="auto"/>
              </w:rPr>
            </w:pPr>
          </w:p>
        </w:tc>
      </w:tr>
    </w:tbl>
    <w:p>
      <w:pPr>
        <w:sectPr>
          <w:pgSz w:w="11900" w:h="16838" w:orient="portrait"/>
          <w:cols w:equalWidth="0" w:num="1">
            <w:col w:w="11420"/>
          </w:cols>
          <w:pgMar w:left="240" w:top="477"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40" w:lineRule="exact"/>
        <w:rPr>
          <w:sz w:val="20"/>
          <w:szCs w:val="20"/>
          <w:color w:val="auto"/>
        </w:rPr>
      </w:pPr>
    </w:p>
    <w:p>
      <w:pPr>
        <w:ind w:right="360" w:firstLine="648"/>
        <w:spacing w:after="0" w:line="274" w:lineRule="auto"/>
        <w:rPr>
          <w:sz w:val="20"/>
          <w:szCs w:val="20"/>
          <w:color w:val="auto"/>
        </w:rPr>
      </w:pPr>
      <w:r>
        <w:rPr>
          <w:rFonts w:ascii="Arial" w:cs="Arial" w:eastAsia="Arial" w:hAnsi="Arial"/>
          <w:sz w:val="21"/>
          <w:szCs w:val="21"/>
          <w:color w:val="auto"/>
        </w:rPr>
        <w:t>On August 13, 2012, ClearOne Communications, Inc. issued a press release announcing its financial results for the three and six months ended June 30, 2012. The full text of the press release is attached as Exhibit 99.1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8900" w:type="dxa"/>
            <w:vAlign w:val="bottom"/>
            <w:tcBorders>
              <w:bottom w:val="single" w:sz="8" w:color="auto"/>
            </w:tcBorders>
          </w:tcPr>
          <w:p>
            <w:pPr>
              <w:ind w:left="4080"/>
              <w:spacing w:after="0"/>
              <w:rPr>
                <w:sz w:val="20"/>
                <w:szCs w:val="20"/>
                <w:color w:val="auto"/>
              </w:rPr>
            </w:pPr>
            <w:r>
              <w:rPr>
                <w:rFonts w:ascii="Arial" w:cs="Arial" w:eastAsia="Arial" w:hAnsi="Arial"/>
                <w:sz w:val="14"/>
                <w:szCs w:val="14"/>
                <w:b w:val="1"/>
                <w:bCs w:val="1"/>
                <w:color w:val="auto"/>
              </w:rPr>
              <w:t>Description</w:t>
            </w:r>
          </w:p>
        </w:tc>
        <w:tc>
          <w:tcPr>
            <w:tcW w:w="1020" w:type="dxa"/>
            <w:vAlign w:val="bottom"/>
          </w:tcPr>
          <w:p>
            <w:pPr>
              <w:spacing w:after="0"/>
              <w:rPr>
                <w:sz w:val="14"/>
                <w:szCs w:val="14"/>
                <w:color w:val="auto"/>
              </w:rPr>
            </w:pPr>
          </w:p>
        </w:tc>
      </w:tr>
      <w:tr>
        <w:trPr>
          <w:trHeight w:val="426"/>
        </w:trPr>
        <w:tc>
          <w:tcPr>
            <w:tcW w:w="1240" w:type="dxa"/>
            <w:vAlign w:val="bottom"/>
          </w:tcPr>
          <w:p>
            <w:pPr>
              <w:spacing w:after="0"/>
              <w:rPr>
                <w:sz w:val="20"/>
                <w:szCs w:val="20"/>
                <w:color w:val="auto"/>
              </w:rPr>
            </w:pPr>
            <w:r>
              <w:rPr>
                <w:rFonts w:ascii="Arial" w:cs="Arial" w:eastAsia="Arial" w:hAnsi="Arial"/>
                <w:sz w:val="18"/>
                <w:szCs w:val="18"/>
                <w:color w:val="auto"/>
              </w:rPr>
              <w:t>Exhibit 99.1</w:t>
            </w:r>
          </w:p>
        </w:tc>
        <w:tc>
          <w:tcPr>
            <w:tcW w:w="9160" w:type="dxa"/>
            <w:vAlign w:val="bottom"/>
            <w:gridSpan w:val="2"/>
          </w:tcPr>
          <w:p>
            <w:pPr>
              <w:ind w:left="260"/>
              <w:spacing w:after="0"/>
              <w:rPr>
                <w:sz w:val="20"/>
                <w:szCs w:val="20"/>
                <w:color w:val="auto"/>
              </w:rPr>
            </w:pPr>
            <w:r>
              <w:rPr>
                <w:rFonts w:ascii="Arial" w:cs="Arial" w:eastAsia="Arial" w:hAnsi="Arial"/>
                <w:sz w:val="18"/>
                <w:szCs w:val="18"/>
                <w:color w:val="auto"/>
              </w:rPr>
              <w:t>Press Release dated August 13, 2012 titled “ClearOne Reports 2012 Second Quarter Financial Results”.</w:t>
            </w:r>
          </w:p>
        </w:tc>
        <w:tc>
          <w:tcPr>
            <w:tcW w:w="1020" w:type="dxa"/>
            <w:vAlign w:val="bottom"/>
          </w:tcPr>
          <w:p>
            <w:pPr>
              <w:spacing w:after="0"/>
              <w:rPr>
                <w:sz w:val="24"/>
                <w:szCs w:val="24"/>
                <w:color w:val="auto"/>
              </w:rPr>
            </w:pPr>
          </w:p>
        </w:tc>
      </w:tr>
      <w:tr>
        <w:trPr>
          <w:trHeight w:val="1324"/>
        </w:trPr>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9"/>
        </w:trPr>
        <w:tc>
          <w:tcPr>
            <w:tcW w:w="1240" w:type="dxa"/>
            <w:vAlign w:val="bottom"/>
            <w:shd w:val="clear" w:color="auto" w:fill="808080"/>
          </w:tcPr>
          <w:p>
            <w:pPr>
              <w:spacing w:after="0"/>
              <w:rPr>
                <w:sz w:val="12"/>
                <w:szCs w:val="12"/>
                <w:color w:val="auto"/>
              </w:rPr>
            </w:pPr>
          </w:p>
        </w:tc>
        <w:tc>
          <w:tcPr>
            <w:tcW w:w="260" w:type="dxa"/>
            <w:vAlign w:val="bottom"/>
            <w:shd w:val="clear" w:color="auto" w:fill="808080"/>
          </w:tcPr>
          <w:p>
            <w:pPr>
              <w:spacing w:after="0"/>
              <w:rPr>
                <w:sz w:val="12"/>
                <w:szCs w:val="12"/>
                <w:color w:val="auto"/>
              </w:rPr>
            </w:pPr>
          </w:p>
        </w:tc>
        <w:tc>
          <w:tcPr>
            <w:tcW w:w="8900" w:type="dxa"/>
            <w:vAlign w:val="bottom"/>
            <w:shd w:val="clear" w:color="auto" w:fill="808080"/>
          </w:tcPr>
          <w:p>
            <w:pPr>
              <w:spacing w:after="0"/>
              <w:rPr>
                <w:sz w:val="12"/>
                <w:szCs w:val="12"/>
                <w:color w:val="auto"/>
              </w:rPr>
            </w:pPr>
          </w:p>
        </w:tc>
        <w:tc>
          <w:tcPr>
            <w:tcW w:w="1020" w:type="dxa"/>
            <w:vAlign w:val="bottom"/>
            <w:shd w:val="clear" w:color="auto" w:fill="808080"/>
          </w:tcPr>
          <w:p>
            <w:pPr>
              <w:spacing w:after="0"/>
              <w:rPr>
                <w:sz w:val="12"/>
                <w:szCs w:val="12"/>
                <w:color w:val="auto"/>
              </w:rPr>
            </w:pPr>
          </w:p>
        </w:tc>
      </w:tr>
    </w:tbl>
    <w:p>
      <w:pPr>
        <w:sectPr>
          <w:pgSz w:w="11900" w:h="16838" w:orient="portrait"/>
          <w:cols w:equalWidth="0" w:num="1">
            <w:col w:w="11420"/>
          </w:cols>
          <w:pgMar w:left="240" w:top="111" w:right="2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3920" w:val="left"/>
          <w:tab w:leader="none" w:pos="4620" w:val="left"/>
        </w:tabs>
        <w:rPr>
          <w:sz w:val="20"/>
          <w:szCs w:val="20"/>
          <w:color w:val="auto"/>
        </w:rPr>
      </w:pPr>
      <w:r>
        <w:rPr>
          <w:rFonts w:ascii="Arial" w:cs="Arial" w:eastAsia="Arial" w:hAnsi="Arial"/>
          <w:sz w:val="18"/>
          <w:szCs w:val="18"/>
          <w:color w:val="auto"/>
        </w:rPr>
        <w:t>Date: August 21,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Narsi Narayanan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14605</wp:posOffset>
            </wp:positionV>
            <wp:extent cx="36531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Vice President of Finance</w:t>
      </w:r>
    </w:p>
    <w:p>
      <w:pPr>
        <w:sectPr>
          <w:pgSz w:w="11900" w:h="16838" w:orient="portrait"/>
          <w:cols w:equalWidth="0" w:num="1">
            <w:col w:w="11160"/>
          </w:cols>
          <w:pgMar w:left="240" w:top="11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Brent Johnson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801-303-3577</w:t>
      </w:r>
    </w:p>
    <w:p>
      <w:pPr>
        <w:spacing w:after="0"/>
        <w:rPr>
          <w:sz w:val="20"/>
          <w:szCs w:val="20"/>
          <w:color w:val="auto"/>
        </w:rPr>
      </w:pPr>
      <w:r>
        <w:rPr>
          <w:rFonts w:ascii="Arial" w:cs="Arial" w:eastAsia="Arial" w:hAnsi="Arial"/>
          <w:sz w:val="22"/>
          <w:szCs w:val="22"/>
          <w:color w:val="auto"/>
        </w:rPr>
        <w:t>brent.johnson@clearone.com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CLEARONE REPORTS 2012 SECOND QUARTER FINANCIAL RESULTS</w:t>
      </w:r>
    </w:p>
    <w:p>
      <w:pPr>
        <w:spacing w:after="0" w:line="233"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 xml:space="preserve">SALT LAKE CITY, UTAH </w:t>
      </w:r>
      <w:r>
        <w:rPr>
          <w:rFonts w:ascii="Arial" w:cs="Arial" w:eastAsia="Arial" w:hAnsi="Arial"/>
          <w:sz w:val="22"/>
          <w:szCs w:val="22"/>
          <w:color w:val="auto"/>
        </w:rPr>
        <w:t>—</w:t>
      </w:r>
      <w:r>
        <w:rPr>
          <w:rFonts w:ascii="Arial" w:cs="Arial" w:eastAsia="Arial" w:hAnsi="Arial"/>
          <w:sz w:val="22"/>
          <w:szCs w:val="22"/>
          <w:b w:val="1"/>
          <w:bCs w:val="1"/>
          <w:color w:val="auto"/>
        </w:rPr>
        <w:t xml:space="preserve"> August 13, 2012 </w:t>
      </w:r>
      <w:r>
        <w:rPr>
          <w:rFonts w:ascii="Arial" w:cs="Arial" w:eastAsia="Arial" w:hAnsi="Arial"/>
          <w:sz w:val="22"/>
          <w:szCs w:val="22"/>
          <w:color w:val="auto"/>
        </w:rPr>
        <w:t>— ClearOne (NASDAQ: CLRO) today reported its financial results for the three</w:t>
      </w:r>
      <w:r>
        <w:rPr>
          <w:rFonts w:ascii="Arial" w:cs="Arial" w:eastAsia="Arial" w:hAnsi="Arial"/>
          <w:sz w:val="22"/>
          <w:szCs w:val="22"/>
          <w:b w:val="1"/>
          <w:bCs w:val="1"/>
          <w:color w:val="auto"/>
        </w:rPr>
        <w:t xml:space="preserve"> </w:t>
      </w:r>
      <w:r>
        <w:rPr>
          <w:rFonts w:ascii="Arial" w:cs="Arial" w:eastAsia="Arial" w:hAnsi="Arial"/>
          <w:sz w:val="22"/>
          <w:szCs w:val="22"/>
          <w:color w:val="auto"/>
        </w:rPr>
        <w:t>and six months ended June 30, 2012.</w:t>
      </w:r>
    </w:p>
    <w:p>
      <w:pPr>
        <w:spacing w:after="0" w:line="196" w:lineRule="exact"/>
        <w:rPr>
          <w:sz w:val="20"/>
          <w:szCs w:val="20"/>
          <w:color w:val="auto"/>
        </w:rPr>
      </w:pPr>
    </w:p>
    <w:p>
      <w:pPr>
        <w:ind w:right="180"/>
        <w:spacing w:after="0" w:line="277" w:lineRule="auto"/>
        <w:rPr>
          <w:sz w:val="20"/>
          <w:szCs w:val="20"/>
          <w:color w:val="auto"/>
        </w:rPr>
      </w:pPr>
      <w:r>
        <w:rPr>
          <w:rFonts w:ascii="Arial" w:cs="Arial" w:eastAsia="Arial" w:hAnsi="Arial"/>
          <w:sz w:val="19"/>
          <w:szCs w:val="19"/>
          <w:color w:val="auto"/>
        </w:rPr>
        <w:t>For the 2012 second quarter, revenue was $11.7 million compared with $11.9 million for the second quarter of 2011. Gross profit was $7.1 million, or 61% of revenue, compared with $7.2 million, or 60% of revenue, for the second quarter of 2011. Operating expenses increased to $6.0 million from $5.3 million in the prior year second quarter. Operating income declined to $1.1 million from $1.9 million for the second quarter of last year. Net income declined to $575,000, or $0.06 per diluted share, from $1.3 million, or $0.14 per diluted share, for the 2011 second quarter. Non-GAAP net income decreased to $905,000, or $0.10 per diluted share, from $1.7 million, or $0.18 per diluted share, for the second quarter of 2011. Non-GAAP Adjusted EBITDA decreased to $1.9 million, or $0.20 per diluted share, from $2.6 million, or $0.27 per diluted share, for the second quarter of 2011.</w:t>
      </w:r>
    </w:p>
    <w:p>
      <w:pPr>
        <w:spacing w:after="0" w:line="180"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For the first half of 2012, revenue was $21.8 million compared with $22.6 million for the same period in 2011. Gross profit was $13.2 million, or 61% of revenue, compared with $13.5 million, or 60% of revenue, for the first half of 2011. Operating expenses, excluding litigation proceeds, increased to $11.6 million from $10.4 million in the first six months of the prior year. Operating income declined to $1.8 million from $3.1 million for the same period in the previous year. Net income declined to $1.0 million, or $0.11 per diluted share, from $2.1 million, or $0.23 per diluted share, for the 2011 first half. Non-GAAP net income decreased to $1.5 million, or $0.17 per diluted share, from $2.8 million, or $0.30 per diluted share, for the first half of 2011. Non-GAAP Adjusted EBITDA decreased to $3.1 million, or $0.33 per diluted share, from $4.5 million, or $0.48 per diluted share, for the first half of 2011.</w:t>
      </w:r>
    </w:p>
    <w:p>
      <w:pPr>
        <w:spacing w:after="0" w:line="215" w:lineRule="exact"/>
        <w:rPr>
          <w:sz w:val="20"/>
          <w:szCs w:val="20"/>
          <w:color w:val="auto"/>
        </w:rPr>
      </w:pPr>
    </w:p>
    <w:p>
      <w:pPr>
        <w:ind w:right="280"/>
        <w:spacing w:after="0" w:line="328" w:lineRule="auto"/>
        <w:rPr>
          <w:sz w:val="20"/>
          <w:szCs w:val="20"/>
          <w:color w:val="auto"/>
        </w:rPr>
      </w:pPr>
      <w:r>
        <w:rPr>
          <w:rFonts w:ascii="Arial" w:cs="Arial" w:eastAsia="Arial" w:hAnsi="Arial"/>
          <w:sz w:val="19"/>
          <w:szCs w:val="19"/>
          <w:color w:val="auto"/>
        </w:rPr>
        <w:t>The reconciliation between GAAP and Non-GAAP measures is available in the tables attached to this release. The results for the first six months of 2012 included the operations of VCON, a video conferencing solutions company acquired in February 2012.</w:t>
      </w:r>
    </w:p>
    <w:p>
      <w:pPr>
        <w:spacing w:after="0" w:line="132" w:lineRule="exact"/>
        <w:rPr>
          <w:sz w:val="20"/>
          <w:szCs w:val="20"/>
          <w:color w:val="auto"/>
        </w:rPr>
      </w:pPr>
    </w:p>
    <w:p>
      <w:pPr>
        <w:ind w:right="500"/>
        <w:spacing w:after="0" w:line="239" w:lineRule="auto"/>
        <w:rPr>
          <w:sz w:val="20"/>
          <w:szCs w:val="20"/>
          <w:color w:val="auto"/>
        </w:rPr>
      </w:pPr>
      <w:r>
        <w:rPr>
          <w:rFonts w:ascii="Arial" w:cs="Arial" w:eastAsia="Arial" w:hAnsi="Arial"/>
          <w:sz w:val="22"/>
          <w:szCs w:val="22"/>
          <w:color w:val="auto"/>
        </w:rPr>
        <w:t>At June 30, 2012, the Company had cash and cash equivalents of $10.4 million, and no debt after paying for the acquisition of VCON.</w:t>
      </w:r>
    </w:p>
    <w:p>
      <w:pPr>
        <w:ind w:right="300"/>
        <w:spacing w:after="0" w:line="244" w:lineRule="auto"/>
        <w:rPr>
          <w:sz w:val="20"/>
          <w:szCs w:val="20"/>
          <w:color w:val="auto"/>
        </w:rPr>
      </w:pPr>
      <w:r>
        <w:rPr>
          <w:rFonts w:ascii="Arial" w:cs="Arial" w:eastAsia="Arial" w:hAnsi="Arial"/>
          <w:sz w:val="21"/>
          <w:szCs w:val="21"/>
          <w:color w:val="auto"/>
        </w:rPr>
        <w:t>“Our financial performance for the 2012 second quarter met our expectations but did not match last year’s record-setting results, due to overall softness in all the markets in which we operate,” said Zee Hakimoglu, President, Chief Executive Officer and Chairman of ClearOne. “We continue to build and align our sales channel and internal sales organization for the new video solutions we are bringing to the market. The new products from our acquisition of VCON are in production and will be shipping under the ClearOne brand at the end of this month. The introduction of these new software-based video conferencing products complements our industry-leading enterprise audio, expands our total available market and we believe will make immediate contributions to ClearOne’s top-line.”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94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266" w:lineRule="exact"/>
        <w:rPr>
          <w:sz w:val="20"/>
          <w:szCs w:val="20"/>
          <w:color w:val="auto"/>
        </w:rPr>
      </w:pPr>
    </w:p>
    <w:p>
      <w:pPr>
        <w:ind w:left="660" w:right="80" w:hanging="328"/>
        <w:spacing w:after="0" w:line="291" w:lineRule="auto"/>
        <w:tabs>
          <w:tab w:leader="none" w:pos="633" w:val="left"/>
        </w:tabs>
        <w:numPr>
          <w:ilvl w:val="0"/>
          <w:numId w:val="1"/>
        </w:numPr>
        <w:rPr>
          <w:rFonts w:ascii="Arial" w:cs="Arial" w:eastAsia="Arial" w:hAnsi="Arial"/>
          <w:sz w:val="19"/>
          <w:szCs w:val="19"/>
          <w:color w:val="auto"/>
        </w:rPr>
      </w:pPr>
      <w:r>
        <w:rPr>
          <w:rFonts w:ascii="Arial" w:cs="Arial" w:eastAsia="Arial" w:hAnsi="Arial"/>
          <w:sz w:val="19"/>
          <w:szCs w:val="19"/>
          <w:color w:val="auto"/>
        </w:rPr>
        <w:t>At InfoComm, ClearOne demonstrated COLLABORATE™, software-based video conferencing solutions for desktop, room, infrastructure and management to provide future-proof solutions for video and audio conferencing and collaboration.</w:t>
      </w:r>
    </w:p>
    <w:p>
      <w:pPr>
        <w:spacing w:after="0" w:line="1" w:lineRule="exact"/>
        <w:rPr>
          <w:rFonts w:ascii="Arial" w:cs="Arial" w:eastAsia="Arial" w:hAnsi="Arial"/>
          <w:sz w:val="19"/>
          <w:szCs w:val="19"/>
          <w:color w:val="auto"/>
        </w:rPr>
      </w:pPr>
    </w:p>
    <w:p>
      <w:pPr>
        <w:ind w:left="660" w:right="300" w:hanging="328"/>
        <w:spacing w:after="0" w:line="243" w:lineRule="auto"/>
        <w:tabs>
          <w:tab w:leader="none" w:pos="633" w:val="left"/>
        </w:tabs>
        <w:numPr>
          <w:ilvl w:val="0"/>
          <w:numId w:val="1"/>
        </w:numPr>
        <w:rPr>
          <w:rFonts w:ascii="Arial" w:cs="Arial" w:eastAsia="Arial" w:hAnsi="Arial"/>
          <w:sz w:val="22"/>
          <w:szCs w:val="22"/>
          <w:color w:val="auto"/>
        </w:rPr>
      </w:pPr>
      <w:r>
        <w:rPr>
          <w:rFonts w:ascii="Arial" w:cs="Arial" w:eastAsia="Arial" w:hAnsi="Arial"/>
          <w:sz w:val="22"/>
          <w:szCs w:val="22"/>
          <w:color w:val="auto"/>
        </w:rPr>
        <w:t>ClearOne introduced at InfoComm CONNECT™ AVB and CONNECT™ CobraNet™, its first network audio bridges to provide a modular approach for networked audio using ClearOne’s flagship audio products.</w:t>
      </w:r>
    </w:p>
    <w:p>
      <w:pPr>
        <w:ind w:left="660" w:right="280" w:hanging="328"/>
        <w:spacing w:after="0" w:line="243" w:lineRule="auto"/>
        <w:tabs>
          <w:tab w:leader="none" w:pos="633"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company also unveiled at the tradeshow the Beamforming Microphone Array, the Pro Audio industry's first professional-grade microphone array with patent-pending audio beamforming with adaptive steering and next generation AEC technology.</w:t>
      </w:r>
    </w:p>
    <w:p>
      <w:pPr>
        <w:spacing w:after="0" w:line="1" w:lineRule="exact"/>
        <w:rPr>
          <w:rFonts w:ascii="Arial" w:cs="Arial" w:eastAsia="Arial" w:hAnsi="Arial"/>
          <w:sz w:val="22"/>
          <w:szCs w:val="22"/>
          <w:color w:val="auto"/>
        </w:rPr>
      </w:pPr>
    </w:p>
    <w:p>
      <w:pPr>
        <w:ind w:left="660" w:right="20" w:hanging="328"/>
        <w:spacing w:after="0" w:line="290" w:lineRule="auto"/>
        <w:tabs>
          <w:tab w:leader="none" w:pos="633" w:val="left"/>
        </w:tabs>
        <w:numPr>
          <w:ilvl w:val="0"/>
          <w:numId w:val="1"/>
        </w:numPr>
        <w:rPr>
          <w:rFonts w:ascii="Arial" w:cs="Arial" w:eastAsia="Arial" w:hAnsi="Arial"/>
          <w:sz w:val="19"/>
          <w:szCs w:val="19"/>
          <w:color w:val="auto"/>
        </w:rPr>
      </w:pPr>
      <w:r>
        <w:rPr>
          <w:rFonts w:ascii="Arial" w:cs="Arial" w:eastAsia="Arial" w:hAnsi="Arial"/>
          <w:sz w:val="19"/>
          <w:szCs w:val="19"/>
          <w:color w:val="auto"/>
        </w:rPr>
        <w:t>Also, Frost &amp; Sullivan, recognized ClearOne with the 2012 Global Tabletop Audio Conferencing Endpoints Product Line Strategy Award. The award recognizes ClearOne’s breadth of product line for emerging UC and VoIP trends for enterprise and SMBs. The Product Line Strategy Award criteria measured ClearOne's tabletop solutions against the competition in several categories, including breadth of product line, size of addressable customer base, impact on market share and breadth of applications and markets served. When compared to competitive solutions, the Frost &amp; Sullivan analysis gave top ratings to ClearOne in every category, including a perfect score for breadth of applications and markets served.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ClearOne provides non-GAAP financial information in the form of Non-GAAP net income, EBITDA, Adjusted EBITDA and corresponding earnings per share to investors to supplement GAAP financial information. ClearOne believes that excluding certain items from GAAP results allows ClearOne's management to better understand ClearOne's consolidated financial performance from period to period as management does not believe that the excluded items are reflective of underlying operating performance. Non-GAAP net income, EBITDA, Adjusted EBITDA and corresponding earnings per share excludes certain costs and expenses, the details of which are provided in the tables below containing the reconciliation between GAAP and Non-GAAP financial measures. The exclusion of these items in the non-GAAP presentation should not be interpreted as implying that these items are non-recurring, infrequent, or unusual. ClearOne believes non-GAAP financial measures will provide investors with useful information to help them evaluate ClearOne's operating results and projections. This non-GAAP financial information is not meant to be considered in isolation or as a substitute for operating income, net income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net income to GAAP net income is included with this news release.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ClearOne</w:t>
      </w:r>
    </w:p>
    <w:p>
      <w:pPr>
        <w:spacing w:after="0" w:line="14" w:lineRule="exact"/>
        <w:rPr>
          <w:sz w:val="20"/>
          <w:szCs w:val="20"/>
          <w:color w:val="auto"/>
        </w:rPr>
      </w:pPr>
    </w:p>
    <w:p>
      <w:pPr>
        <w:ind w:right="100"/>
        <w:spacing w:after="0" w:line="280" w:lineRule="auto"/>
        <w:rPr>
          <w:sz w:val="20"/>
          <w:szCs w:val="20"/>
          <w:color w:val="auto"/>
        </w:rPr>
      </w:pPr>
      <w:r>
        <w:rPr>
          <w:rFonts w:ascii="Arial" w:cs="Arial" w:eastAsia="Arial" w:hAnsi="Arial"/>
          <w:sz w:val="19"/>
          <w:szCs w:val="19"/>
          <w:color w:val="auto"/>
        </w:rPr>
        <w:t>ClearOne is a global company that designs, develops and sells conferencing, collaboration, streaming and digital signage solutions for audio, video and data multimedia communication. The performance and simplicity of its advanced comprehensive solutions enhance the quality of life. ClearOne products are designed for business and residential use, offering unprecedented levels of functionality, reliability and scalability. More information about the Company can be found at www.clearone.com.</w:t>
      </w:r>
    </w:p>
    <w:p>
      <w:pPr>
        <w:spacing w:after="0" w:line="178"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any statements of the plans and objectives of management for future operations,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http://www.b2i.us/irpass.asp?BzID=509&amp;to=ea&amp;s=0</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CLEARONE COMMUNICATIONS,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153035</wp:posOffset>
            </wp:positionV>
            <wp:extent cx="2143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265" w:lineRule="exact"/>
        <w:rPr>
          <w:sz w:val="20"/>
          <w:szCs w:val="20"/>
          <w:color w:val="auto"/>
        </w:rPr>
      </w:pPr>
    </w:p>
    <w:tbl>
      <w:tblPr>
        <w:tblLayout w:type="fixed"/>
        <w:tblInd w:w="112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of June 30, 2012</w:t>
            </w:r>
          </w:p>
        </w:tc>
        <w:tc>
          <w:tcPr>
            <w:tcW w:w="1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As of December 31, 2011</w:t>
            </w:r>
          </w:p>
        </w:tc>
        <w:tc>
          <w:tcPr>
            <w:tcW w:w="0" w:type="dxa"/>
            <w:vAlign w:val="bottom"/>
          </w:tcPr>
          <w:p>
            <w:pPr>
              <w:spacing w:after="0"/>
              <w:rPr>
                <w:sz w:val="1"/>
                <w:szCs w:val="1"/>
                <w:color w:val="auto"/>
              </w:rPr>
            </w:pPr>
          </w:p>
        </w:tc>
      </w:tr>
      <w:tr>
        <w:trPr>
          <w:trHeight w:val="188"/>
        </w:trPr>
        <w:tc>
          <w:tcPr>
            <w:tcW w:w="5820" w:type="dxa"/>
            <w:vAlign w:val="bottom"/>
            <w:vMerge w:val="restart"/>
          </w:tcPr>
          <w:p>
            <w:pPr>
              <w:ind w:left="26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Unaudited</w:t>
            </w:r>
          </w:p>
        </w:tc>
        <w:tc>
          <w:tcPr>
            <w:tcW w:w="4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204"/>
        </w:trPr>
        <w:tc>
          <w:tcPr>
            <w:tcW w:w="5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82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10,418</w:t>
            </w:r>
          </w:p>
        </w:tc>
        <w:tc>
          <w:tcPr>
            <w:tcW w:w="460" w:type="dxa"/>
            <w:vAlign w:val="bottom"/>
          </w:tcPr>
          <w:p>
            <w:pPr>
              <w:jc w:val="right"/>
              <w:ind w:right="163"/>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16,683</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6"/>
                <w:szCs w:val="16"/>
                <w:color w:val="auto"/>
              </w:rPr>
              <w:t>Receivables, net of allowance for doubtful accounts of $61 and $149, respectively</w:t>
            </w:r>
          </w:p>
        </w:tc>
        <w:tc>
          <w:tcPr>
            <w:tcW w:w="300" w:type="dxa"/>
            <w:vAlign w:val="bottom"/>
          </w:tcPr>
          <w:p>
            <w:pPr>
              <w:spacing w:after="0"/>
              <w:rPr>
                <w:sz w:val="17"/>
                <w:szCs w:val="17"/>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7,409</w:t>
            </w:r>
          </w:p>
        </w:tc>
        <w:tc>
          <w:tcPr>
            <w:tcW w:w="460" w:type="dxa"/>
            <w:vAlign w:val="bottom"/>
          </w:tcPr>
          <w:p>
            <w:pPr>
              <w:spacing w:after="0"/>
              <w:rPr>
                <w:sz w:val="17"/>
                <w:szCs w:val="17"/>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8,457</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17"/>
                <w:szCs w:val="17"/>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15,064</w:t>
            </w:r>
          </w:p>
        </w:tc>
        <w:tc>
          <w:tcPr>
            <w:tcW w:w="460" w:type="dxa"/>
            <w:vAlign w:val="bottom"/>
          </w:tcPr>
          <w:p>
            <w:pPr>
              <w:spacing w:after="0"/>
              <w:rPr>
                <w:sz w:val="17"/>
                <w:szCs w:val="17"/>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12,565</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7"/>
                <w:szCs w:val="17"/>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3,025</w:t>
            </w:r>
          </w:p>
        </w:tc>
        <w:tc>
          <w:tcPr>
            <w:tcW w:w="460" w:type="dxa"/>
            <w:vAlign w:val="bottom"/>
          </w:tcPr>
          <w:p>
            <w:pPr>
              <w:spacing w:after="0"/>
              <w:rPr>
                <w:sz w:val="17"/>
                <w:szCs w:val="17"/>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2,987</w:t>
            </w:r>
          </w:p>
        </w:tc>
        <w:tc>
          <w:tcPr>
            <w:tcW w:w="0" w:type="dxa"/>
            <w:vAlign w:val="bottom"/>
          </w:tcPr>
          <w:p>
            <w:pPr>
              <w:spacing w:after="0"/>
              <w:rPr>
                <w:sz w:val="1"/>
                <w:szCs w:val="1"/>
                <w:color w:val="auto"/>
              </w:rPr>
            </w:pPr>
          </w:p>
        </w:tc>
      </w:tr>
      <w:tr>
        <w:trPr>
          <w:trHeight w:val="199"/>
        </w:trPr>
        <w:tc>
          <w:tcPr>
            <w:tcW w:w="5820" w:type="dxa"/>
            <w:vAlign w:val="bottom"/>
          </w:tcPr>
          <w:p>
            <w:pPr>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1,501</w:t>
            </w:r>
          </w:p>
        </w:tc>
        <w:tc>
          <w:tcPr>
            <w:tcW w:w="4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7"/>
        </w:trPr>
        <w:tc>
          <w:tcPr>
            <w:tcW w:w="5820" w:type="dxa"/>
            <w:vAlign w:val="bottom"/>
          </w:tcPr>
          <w:p>
            <w:pPr>
              <w:ind w:left="16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8"/>
                <w:szCs w:val="18"/>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37,417</w:t>
            </w:r>
          </w:p>
        </w:tc>
        <w:tc>
          <w:tcPr>
            <w:tcW w:w="460" w:type="dxa"/>
            <w:vAlign w:val="bottom"/>
          </w:tcPr>
          <w:p>
            <w:pPr>
              <w:spacing w:after="0"/>
              <w:rPr>
                <w:sz w:val="18"/>
                <w:szCs w:val="18"/>
                <w:color w:val="auto"/>
              </w:rPr>
            </w:pPr>
          </w:p>
        </w:tc>
        <w:tc>
          <w:tcPr>
            <w:tcW w:w="1460" w:type="dxa"/>
            <w:vAlign w:val="bottom"/>
          </w:tcPr>
          <w:p>
            <w:pPr>
              <w:jc w:val="right"/>
              <w:ind w:right="240"/>
              <w:spacing w:after="0"/>
              <w:rPr>
                <w:sz w:val="20"/>
                <w:szCs w:val="20"/>
                <w:color w:val="auto"/>
              </w:rPr>
            </w:pPr>
            <w:r>
              <w:rPr>
                <w:rFonts w:ascii="Arial" w:cs="Arial" w:eastAsia="Arial" w:hAnsi="Arial"/>
                <w:sz w:val="16"/>
                <w:szCs w:val="16"/>
                <w:color w:val="auto"/>
              </w:rPr>
              <w:t>41,432</w:t>
            </w:r>
          </w:p>
        </w:tc>
        <w:tc>
          <w:tcPr>
            <w:tcW w:w="0" w:type="dxa"/>
            <w:vAlign w:val="bottom"/>
          </w:tcPr>
          <w:p>
            <w:pPr>
              <w:spacing w:after="0"/>
              <w:rPr>
                <w:sz w:val="1"/>
                <w:szCs w:val="1"/>
                <w:color w:val="auto"/>
              </w:rPr>
            </w:pPr>
          </w:p>
        </w:tc>
      </w:tr>
      <w:tr>
        <w:trPr>
          <w:trHeight w:val="388"/>
        </w:trPr>
        <w:tc>
          <w:tcPr>
            <w:tcW w:w="5820" w:type="dxa"/>
            <w:vAlign w:val="bottom"/>
          </w:tcPr>
          <w:p>
            <w:pPr>
              <w:spacing w:after="0"/>
              <w:rPr>
                <w:sz w:val="20"/>
                <w:szCs w:val="20"/>
                <w:color w:val="auto"/>
              </w:rPr>
            </w:pPr>
            <w:r>
              <w:rPr>
                <w:rFonts w:ascii="Arial" w:cs="Arial" w:eastAsia="Arial" w:hAnsi="Arial"/>
                <w:sz w:val="16"/>
                <w:szCs w:val="16"/>
                <w:color w:val="auto"/>
              </w:rPr>
              <w:t>Long-term inventories, net</w:t>
            </w:r>
          </w:p>
        </w:tc>
        <w:tc>
          <w:tcPr>
            <w:tcW w:w="300" w:type="dxa"/>
            <w:vAlign w:val="bottom"/>
          </w:tcPr>
          <w:p>
            <w:pPr>
              <w:spacing w:after="0"/>
              <w:rPr>
                <w:sz w:val="24"/>
                <w:szCs w:val="24"/>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2,064</w:t>
            </w:r>
          </w:p>
        </w:tc>
        <w:tc>
          <w:tcPr>
            <w:tcW w:w="460" w:type="dxa"/>
            <w:vAlign w:val="bottom"/>
          </w:tcPr>
          <w:p>
            <w:pPr>
              <w:spacing w:after="0"/>
              <w:rPr>
                <w:sz w:val="24"/>
                <w:szCs w:val="24"/>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7"/>
                <w:szCs w:val="17"/>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2,135</w:t>
            </w:r>
          </w:p>
        </w:tc>
        <w:tc>
          <w:tcPr>
            <w:tcW w:w="460" w:type="dxa"/>
            <w:vAlign w:val="bottom"/>
          </w:tcPr>
          <w:p>
            <w:pPr>
              <w:spacing w:after="0"/>
              <w:rPr>
                <w:sz w:val="17"/>
                <w:szCs w:val="17"/>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2,338</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20"/>
                <w:szCs w:val="20"/>
                <w:color w:val="auto"/>
              </w:rPr>
            </w:pPr>
            <w:r>
              <w:rPr>
                <w:rFonts w:ascii="Arial" w:cs="Arial" w:eastAsia="Arial" w:hAnsi="Arial"/>
                <w:sz w:val="16"/>
                <w:szCs w:val="16"/>
                <w:color w:val="auto"/>
              </w:rPr>
              <w:t>Intangibles, net</w:t>
            </w:r>
          </w:p>
        </w:tc>
        <w:tc>
          <w:tcPr>
            <w:tcW w:w="300" w:type="dxa"/>
            <w:vAlign w:val="bottom"/>
          </w:tcPr>
          <w:p>
            <w:pPr>
              <w:spacing w:after="0"/>
              <w:rPr>
                <w:sz w:val="17"/>
                <w:szCs w:val="17"/>
                <w:color w:val="auto"/>
              </w:rPr>
            </w:pPr>
          </w:p>
        </w:tc>
        <w:tc>
          <w:tcPr>
            <w:tcW w:w="1160" w:type="dxa"/>
            <w:vAlign w:val="bottom"/>
          </w:tcPr>
          <w:p>
            <w:pPr>
              <w:jc w:val="right"/>
              <w:ind w:right="100"/>
              <w:spacing w:after="0"/>
              <w:rPr>
                <w:sz w:val="20"/>
                <w:szCs w:val="20"/>
                <w:color w:val="auto"/>
              </w:rPr>
            </w:pPr>
            <w:r>
              <w:rPr>
                <w:rFonts w:ascii="Arial" w:cs="Arial" w:eastAsia="Arial" w:hAnsi="Arial"/>
                <w:sz w:val="16"/>
                <w:szCs w:val="16"/>
                <w:color w:val="auto"/>
              </w:rPr>
              <w:t>5,858</w:t>
            </w:r>
          </w:p>
        </w:tc>
        <w:tc>
          <w:tcPr>
            <w:tcW w:w="460" w:type="dxa"/>
            <w:vAlign w:val="bottom"/>
          </w:tcPr>
          <w:p>
            <w:pPr>
              <w:spacing w:after="0"/>
              <w:rPr>
                <w:sz w:val="17"/>
                <w:szCs w:val="17"/>
                <w:color w:val="auto"/>
              </w:rPr>
            </w:pPr>
          </w:p>
        </w:tc>
        <w:tc>
          <w:tcPr>
            <w:tcW w:w="1460" w:type="dxa"/>
            <w:vAlign w:val="bottom"/>
          </w:tcPr>
          <w:p>
            <w:pPr>
              <w:jc w:val="right"/>
              <w:ind w:right="120"/>
              <w:spacing w:after="0"/>
              <w:rPr>
                <w:sz w:val="20"/>
                <w:szCs w:val="20"/>
                <w:color w:val="auto"/>
              </w:rPr>
            </w:pPr>
            <w:r>
              <w:rPr>
                <w:rFonts w:ascii="Arial" w:cs="Arial" w:eastAsia="Arial" w:hAnsi="Arial"/>
                <w:sz w:val="16"/>
                <w:szCs w:val="16"/>
                <w:color w:val="auto"/>
              </w:rPr>
              <w:t>2,690</w:t>
            </w:r>
          </w:p>
        </w:tc>
        <w:tc>
          <w:tcPr>
            <w:tcW w:w="0" w:type="dxa"/>
            <w:vAlign w:val="bottom"/>
          </w:tcPr>
          <w:p>
            <w:pPr>
              <w:spacing w:after="0"/>
              <w:rPr>
                <w:sz w:val="1"/>
                <w:szCs w:val="1"/>
                <w:color w:val="auto"/>
              </w:rPr>
            </w:pPr>
          </w:p>
        </w:tc>
      </w:tr>
      <w:tr>
        <w:trPr>
          <w:trHeight w:val="206"/>
        </w:trPr>
        <w:tc>
          <w:tcPr>
            <w:tcW w:w="5820" w:type="dxa"/>
            <w:vAlign w:val="bottom"/>
          </w:tcPr>
          <w:p>
            <w:pPr>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78" w:orient="portrait"/>
          <w:cols w:equalWidth="0" w:num="1">
            <w:col w:w="11400"/>
          </w:cols>
          <w:pgMar w:left="240" w:top="126" w:right="259" w:bottom="0" w:gutter="0" w:footer="0" w:header="0"/>
        </w:sectPr>
      </w:pPr>
    </w:p>
    <w:bookmarkStart w:id="5" w:name="page6"/>
    <w:bookmarkEnd w:id="5"/>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06"/>
        </w:trPr>
        <w:tc>
          <w:tcPr>
            <w:tcW w:w="4240" w:type="dxa"/>
            <w:vAlign w:val="bottom"/>
          </w:tcPr>
          <w:p>
            <w:pPr>
              <w:spacing w:after="0"/>
              <w:rPr>
                <w:sz w:val="20"/>
                <w:szCs w:val="20"/>
                <w:color w:val="auto"/>
              </w:rPr>
            </w:pPr>
            <w:r>
              <w:rPr>
                <w:rFonts w:ascii="Arial" w:cs="Arial" w:eastAsia="Arial" w:hAnsi="Arial"/>
                <w:sz w:val="16"/>
                <w:szCs w:val="16"/>
                <w:color w:val="auto"/>
              </w:rPr>
              <w:t>Other assets</w:t>
            </w:r>
          </w:p>
        </w:tc>
        <w:tc>
          <w:tcPr>
            <w:tcW w:w="15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1,93964</w:t>
            </w:r>
          </w:p>
        </w:tc>
        <w:tc>
          <w:tcPr>
            <w:tcW w:w="6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1,15341</w:t>
            </w:r>
          </w:p>
        </w:tc>
      </w:tr>
      <w:tr>
        <w:trPr>
          <w:trHeight w:val="175"/>
        </w:trPr>
        <w:tc>
          <w:tcPr>
            <w:tcW w:w="4240" w:type="dxa"/>
            <w:vAlign w:val="bottom"/>
          </w:tcPr>
          <w:p>
            <w:pPr>
              <w:ind w:left="160"/>
              <w:spacing w:after="0" w:line="175" w:lineRule="exact"/>
              <w:rPr>
                <w:sz w:val="20"/>
                <w:szCs w:val="20"/>
                <w:color w:val="auto"/>
              </w:rPr>
            </w:pPr>
            <w:r>
              <w:rPr>
                <w:rFonts w:ascii="Arial" w:cs="Arial" w:eastAsia="Arial" w:hAnsi="Arial"/>
                <w:sz w:val="16"/>
                <w:szCs w:val="16"/>
                <w:color w:val="auto"/>
              </w:rPr>
              <w:t>Total assets</w:t>
            </w:r>
          </w:p>
        </w:tc>
        <w:tc>
          <w:tcPr>
            <w:tcW w:w="1580" w:type="dxa"/>
            <w:vAlign w:val="bottom"/>
          </w:tcPr>
          <w:p>
            <w:pPr>
              <w:spacing w:after="0"/>
              <w:rPr>
                <w:sz w:val="15"/>
                <w:szCs w:val="15"/>
                <w:color w:val="auto"/>
              </w:rPr>
            </w:pPr>
          </w:p>
        </w:tc>
        <w:tc>
          <w:tcPr>
            <w:tcW w:w="520" w:type="dxa"/>
            <w:vAlign w:val="bottom"/>
            <w:tcBorders>
              <w:bottom w:val="single" w:sz="8" w:color="auto"/>
            </w:tcBorders>
          </w:tcPr>
          <w:p>
            <w:pPr>
              <w:jc w:val="right"/>
              <w:ind w:right="239"/>
              <w:spacing w:after="0" w:line="175"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99"/>
              <w:spacing w:after="0" w:line="175" w:lineRule="exact"/>
              <w:rPr>
                <w:sz w:val="20"/>
                <w:szCs w:val="20"/>
                <w:color w:val="auto"/>
              </w:rPr>
            </w:pPr>
            <w:r>
              <w:rPr>
                <w:rFonts w:ascii="Arial" w:cs="Arial" w:eastAsia="Arial" w:hAnsi="Arial"/>
                <w:sz w:val="16"/>
                <w:szCs w:val="16"/>
                <w:color w:val="auto"/>
              </w:rPr>
              <w:t>49,477</w:t>
            </w:r>
          </w:p>
        </w:tc>
        <w:tc>
          <w:tcPr>
            <w:tcW w:w="680" w:type="dxa"/>
            <w:vAlign w:val="bottom"/>
            <w:tcBorders>
              <w:bottom w:val="single" w:sz="8" w:color="auto"/>
            </w:tcBorders>
          </w:tcPr>
          <w:p>
            <w:pPr>
              <w:jc w:val="right"/>
              <w:ind w:right="379"/>
              <w:spacing w:after="0" w:line="175"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line="175" w:lineRule="exact"/>
              <w:rPr>
                <w:sz w:val="20"/>
                <w:szCs w:val="20"/>
                <w:color w:val="auto"/>
              </w:rPr>
            </w:pPr>
            <w:r>
              <w:rPr>
                <w:rFonts w:ascii="Arial" w:cs="Arial" w:eastAsia="Arial" w:hAnsi="Arial"/>
                <w:sz w:val="16"/>
                <w:szCs w:val="16"/>
                <w:color w:val="auto"/>
              </w:rPr>
              <w:t>49,559</w:t>
            </w:r>
          </w:p>
        </w:tc>
      </w:tr>
      <w:tr>
        <w:trPr>
          <w:trHeight w:val="20"/>
        </w:trPr>
        <w:tc>
          <w:tcPr>
            <w:tcW w:w="5820" w:type="dxa"/>
            <w:vAlign w:val="bottom"/>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407"/>
        </w:trPr>
        <w:tc>
          <w:tcPr>
            <w:tcW w:w="6340" w:type="dxa"/>
            <w:vAlign w:val="bottom"/>
            <w:gridSpan w:val="3"/>
          </w:tcPr>
          <w:p>
            <w:pPr>
              <w:ind w:left="1160"/>
              <w:spacing w:after="0"/>
              <w:rPr>
                <w:sz w:val="20"/>
                <w:szCs w:val="20"/>
                <w:color w:val="auto"/>
              </w:rPr>
            </w:pPr>
            <w:r>
              <w:rPr>
                <w:rFonts w:ascii="Arial" w:cs="Arial" w:eastAsia="Arial" w:hAnsi="Arial"/>
                <w:sz w:val="16"/>
                <w:szCs w:val="16"/>
                <w:b w:val="1"/>
                <w:bCs w:val="1"/>
                <w:color w:val="auto"/>
              </w:rPr>
              <w:t>LIABILITIES AND SHAREHOLDERS' EQUITY</w:t>
            </w: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2"/>
        </w:trPr>
        <w:tc>
          <w:tcPr>
            <w:tcW w:w="4240" w:type="dxa"/>
            <w:vAlign w:val="bottom"/>
          </w:tcPr>
          <w:p>
            <w:pPr>
              <w:spacing w:after="0"/>
              <w:rPr>
                <w:sz w:val="20"/>
                <w:szCs w:val="20"/>
                <w:color w:val="auto"/>
              </w:rPr>
            </w:pPr>
            <w:r>
              <w:rPr>
                <w:rFonts w:ascii="Arial" w:cs="Arial" w:eastAsia="Arial" w:hAnsi="Arial"/>
                <w:sz w:val="16"/>
                <w:szCs w:val="16"/>
                <w:color w:val="auto"/>
              </w:rPr>
              <w:t>Current liabilities:</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Accounts payable</w:t>
            </w:r>
          </w:p>
        </w:tc>
        <w:tc>
          <w:tcPr>
            <w:tcW w:w="21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1,285</w:t>
            </w:r>
          </w:p>
        </w:tc>
        <w:tc>
          <w:tcPr>
            <w:tcW w:w="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2,814</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Accrued liabilities</w:t>
            </w: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2,648</w:t>
            </w:r>
          </w:p>
        </w:tc>
        <w:tc>
          <w:tcPr>
            <w:tcW w:w="68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2,534</w:t>
            </w:r>
          </w:p>
        </w:tc>
      </w:tr>
      <w:tr>
        <w:trPr>
          <w:trHeight w:val="199"/>
        </w:trPr>
        <w:tc>
          <w:tcPr>
            <w:tcW w:w="4240" w:type="dxa"/>
            <w:vAlign w:val="bottom"/>
          </w:tcPr>
          <w:p>
            <w:pPr>
              <w:spacing w:after="0"/>
              <w:rPr>
                <w:sz w:val="20"/>
                <w:szCs w:val="20"/>
                <w:color w:val="auto"/>
              </w:rPr>
            </w:pPr>
            <w:r>
              <w:rPr>
                <w:rFonts w:ascii="Arial" w:cs="Arial" w:eastAsia="Arial" w:hAnsi="Arial"/>
                <w:sz w:val="16"/>
                <w:szCs w:val="16"/>
                <w:color w:val="auto"/>
              </w:rPr>
              <w:t>Deferred product revenue</w:t>
            </w:r>
          </w:p>
        </w:tc>
        <w:tc>
          <w:tcPr>
            <w:tcW w:w="15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3,451</w:t>
            </w:r>
          </w:p>
        </w:tc>
        <w:tc>
          <w:tcPr>
            <w:tcW w:w="6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3,404</w:t>
            </w:r>
          </w:p>
        </w:tc>
      </w:tr>
      <w:tr>
        <w:trPr>
          <w:trHeight w:val="217"/>
        </w:trPr>
        <w:tc>
          <w:tcPr>
            <w:tcW w:w="4240" w:type="dxa"/>
            <w:vAlign w:val="bottom"/>
          </w:tcPr>
          <w:p>
            <w:pPr>
              <w:ind w:left="160"/>
              <w:spacing w:after="0"/>
              <w:rPr>
                <w:sz w:val="20"/>
                <w:szCs w:val="20"/>
                <w:color w:val="auto"/>
              </w:rPr>
            </w:pPr>
            <w:r>
              <w:rPr>
                <w:rFonts w:ascii="Arial" w:cs="Arial" w:eastAsia="Arial" w:hAnsi="Arial"/>
                <w:sz w:val="16"/>
                <w:szCs w:val="16"/>
                <w:color w:val="auto"/>
              </w:rPr>
              <w:t>Total current liabilities</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7,384</w:t>
            </w:r>
          </w:p>
        </w:tc>
        <w:tc>
          <w:tcPr>
            <w:tcW w:w="680" w:type="dxa"/>
            <w:vAlign w:val="bottom"/>
          </w:tcPr>
          <w:p>
            <w:pPr>
              <w:spacing w:after="0"/>
              <w:rPr>
                <w:sz w:val="18"/>
                <w:szCs w:val="18"/>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8,752</w:t>
            </w:r>
          </w:p>
        </w:tc>
      </w:tr>
      <w:tr>
        <w:trPr>
          <w:trHeight w:val="388"/>
        </w:trPr>
        <w:tc>
          <w:tcPr>
            <w:tcW w:w="4240" w:type="dxa"/>
            <w:vAlign w:val="bottom"/>
          </w:tcPr>
          <w:p>
            <w:pPr>
              <w:spacing w:after="0"/>
              <w:rPr>
                <w:sz w:val="20"/>
                <w:szCs w:val="20"/>
                <w:color w:val="auto"/>
              </w:rPr>
            </w:pPr>
            <w:r>
              <w:rPr>
                <w:rFonts w:ascii="Arial" w:cs="Arial" w:eastAsia="Arial" w:hAnsi="Arial"/>
                <w:sz w:val="16"/>
                <w:szCs w:val="16"/>
                <w:color w:val="auto"/>
              </w:rPr>
              <w:t>Deferred income taxes</w:t>
            </w: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128</w:t>
            </w:r>
          </w:p>
        </w:tc>
        <w:tc>
          <w:tcPr>
            <w:tcW w:w="680" w:type="dxa"/>
            <w:vAlign w:val="bottom"/>
          </w:tcPr>
          <w:p>
            <w:pPr>
              <w:spacing w:after="0"/>
              <w:rPr>
                <w:sz w:val="24"/>
                <w:szCs w:val="24"/>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101</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Deferred rent</w:t>
            </w: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487</w:t>
            </w:r>
          </w:p>
        </w:tc>
        <w:tc>
          <w:tcPr>
            <w:tcW w:w="68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494</w:t>
            </w:r>
          </w:p>
        </w:tc>
      </w:tr>
      <w:tr>
        <w:trPr>
          <w:trHeight w:val="212"/>
        </w:trPr>
        <w:tc>
          <w:tcPr>
            <w:tcW w:w="424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686</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548</w:t>
            </w:r>
          </w:p>
        </w:tc>
      </w:tr>
      <w:tr>
        <w:trPr>
          <w:trHeight w:val="169"/>
        </w:trPr>
        <w:tc>
          <w:tcPr>
            <w:tcW w:w="4240" w:type="dxa"/>
            <w:vAlign w:val="bottom"/>
          </w:tcPr>
          <w:p>
            <w:pPr>
              <w:ind w:left="160"/>
              <w:spacing w:after="0" w:line="169" w:lineRule="exact"/>
              <w:rPr>
                <w:sz w:val="20"/>
                <w:szCs w:val="20"/>
                <w:color w:val="auto"/>
              </w:rPr>
            </w:pPr>
            <w:r>
              <w:rPr>
                <w:rFonts w:ascii="Arial" w:cs="Arial" w:eastAsia="Arial" w:hAnsi="Arial"/>
                <w:sz w:val="16"/>
                <w:szCs w:val="16"/>
                <w:color w:val="auto"/>
              </w:rPr>
              <w:t>Total liabilities</w:t>
            </w:r>
          </w:p>
        </w:tc>
        <w:tc>
          <w:tcPr>
            <w:tcW w:w="15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color w:val="auto"/>
              </w:rPr>
              <w:t>8,685</w:t>
            </w: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9,895</w:t>
            </w:r>
          </w:p>
        </w:tc>
      </w:tr>
      <w:tr>
        <w:trPr>
          <w:trHeight w:val="416"/>
        </w:trPr>
        <w:tc>
          <w:tcPr>
            <w:tcW w:w="4240" w:type="dxa"/>
            <w:vAlign w:val="bottom"/>
          </w:tcPr>
          <w:p>
            <w:pPr>
              <w:spacing w:after="0"/>
              <w:rPr>
                <w:sz w:val="20"/>
                <w:szCs w:val="20"/>
                <w:color w:val="auto"/>
              </w:rPr>
            </w:pPr>
            <w:r>
              <w:rPr>
                <w:rFonts w:ascii="Arial" w:cs="Arial" w:eastAsia="Arial" w:hAnsi="Arial"/>
                <w:sz w:val="16"/>
                <w:szCs w:val="16"/>
                <w:color w:val="auto"/>
              </w:rPr>
              <w:t>Shareholders' equity:</w:t>
            </w: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w w:val="91"/>
              </w:rPr>
              <w:t>Common stock, par value $0.001, 50,000,000 shares authorized,</w:t>
            </w:r>
          </w:p>
        </w:tc>
        <w:tc>
          <w:tcPr>
            <w:tcW w:w="2100" w:type="dxa"/>
            <w:vAlign w:val="bottom"/>
            <w:gridSpan w:val="2"/>
          </w:tcPr>
          <w:p>
            <w:pPr>
              <w:jc w:val="right"/>
              <w:ind w:right="999"/>
              <w:spacing w:after="0"/>
              <w:rPr>
                <w:sz w:val="20"/>
                <w:szCs w:val="20"/>
                <w:color w:val="auto"/>
              </w:rPr>
            </w:pPr>
            <w:r>
              <w:rPr>
                <w:rFonts w:ascii="Arial" w:cs="Arial" w:eastAsia="Arial" w:hAnsi="Arial"/>
                <w:sz w:val="16"/>
                <w:szCs w:val="16"/>
                <w:color w:val="auto"/>
                <w:w w:val="97"/>
              </w:rPr>
              <w:t>9,125,774 and</w:t>
            </w: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9,098,152 shares issued and outstanding, respectively</w:t>
            </w: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68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40,265</w:t>
            </w:r>
          </w:p>
        </w:tc>
        <w:tc>
          <w:tcPr>
            <w:tcW w:w="68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40,073</w:t>
            </w: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Treasury stock at cost - 22,814 shares as of June 30, 2012</w:t>
            </w:r>
          </w:p>
        </w:tc>
        <w:tc>
          <w:tcPr>
            <w:tcW w:w="1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(92)</w:t>
            </w:r>
          </w:p>
        </w:tc>
        <w:tc>
          <w:tcPr>
            <w:tcW w:w="68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2"/>
        </w:trPr>
        <w:tc>
          <w:tcPr>
            <w:tcW w:w="4240" w:type="dxa"/>
            <w:vAlign w:val="bottom"/>
          </w:tcPr>
          <w:p>
            <w:pPr>
              <w:spacing w:after="0"/>
              <w:rPr>
                <w:sz w:val="20"/>
                <w:szCs w:val="20"/>
                <w:color w:val="auto"/>
              </w:rPr>
            </w:pPr>
            <w:r>
              <w:rPr>
                <w:rFonts w:ascii="Arial" w:cs="Arial" w:eastAsia="Arial" w:hAnsi="Arial"/>
                <w:sz w:val="16"/>
                <w:szCs w:val="16"/>
                <w:color w:val="auto"/>
              </w:rPr>
              <w:t>Retained earnings (accumulated deficit)</w:t>
            </w:r>
          </w:p>
        </w:tc>
        <w:tc>
          <w:tcPr>
            <w:tcW w:w="15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610</w:t>
            </w:r>
          </w:p>
        </w:tc>
        <w:tc>
          <w:tcPr>
            <w:tcW w:w="6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(418)</w:t>
            </w:r>
          </w:p>
        </w:tc>
      </w:tr>
      <w:tr>
        <w:trPr>
          <w:trHeight w:val="169"/>
        </w:trPr>
        <w:tc>
          <w:tcPr>
            <w:tcW w:w="4240" w:type="dxa"/>
            <w:vAlign w:val="bottom"/>
          </w:tcPr>
          <w:p>
            <w:pPr>
              <w:ind w:left="160"/>
              <w:spacing w:after="0" w:line="169" w:lineRule="exact"/>
              <w:rPr>
                <w:sz w:val="20"/>
                <w:szCs w:val="20"/>
                <w:color w:val="auto"/>
              </w:rPr>
            </w:pPr>
            <w:r>
              <w:rPr>
                <w:rFonts w:ascii="Arial" w:cs="Arial" w:eastAsia="Arial" w:hAnsi="Arial"/>
                <w:sz w:val="16"/>
                <w:szCs w:val="16"/>
                <w:color w:val="auto"/>
              </w:rPr>
              <w:t>Total shareholders' equity</w:t>
            </w:r>
          </w:p>
        </w:tc>
        <w:tc>
          <w:tcPr>
            <w:tcW w:w="15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color w:val="auto"/>
              </w:rPr>
              <w:t>40,792</w:t>
            </w: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39,664</w:t>
            </w:r>
          </w:p>
        </w:tc>
      </w:tr>
      <w:tr>
        <w:trPr>
          <w:trHeight w:val="169"/>
        </w:trPr>
        <w:tc>
          <w:tcPr>
            <w:tcW w:w="4240" w:type="dxa"/>
            <w:vAlign w:val="bottom"/>
          </w:tcPr>
          <w:p>
            <w:pPr>
              <w:ind w:left="160"/>
              <w:spacing w:after="0" w:line="169" w:lineRule="exact"/>
              <w:rPr>
                <w:sz w:val="20"/>
                <w:szCs w:val="20"/>
                <w:color w:val="auto"/>
              </w:rPr>
            </w:pPr>
            <w:r>
              <w:rPr>
                <w:rFonts w:ascii="Arial" w:cs="Arial" w:eastAsia="Arial" w:hAnsi="Arial"/>
                <w:sz w:val="16"/>
                <w:szCs w:val="16"/>
                <w:color w:val="auto"/>
              </w:rPr>
              <w:t>Total liabilities and shareholders' equity</w:t>
            </w:r>
          </w:p>
        </w:tc>
        <w:tc>
          <w:tcPr>
            <w:tcW w:w="1580" w:type="dxa"/>
            <w:vAlign w:val="bottom"/>
          </w:tcPr>
          <w:p>
            <w:pPr>
              <w:spacing w:after="0"/>
              <w:rPr>
                <w:sz w:val="14"/>
                <w:szCs w:val="14"/>
                <w:color w:val="auto"/>
              </w:rPr>
            </w:pPr>
          </w:p>
        </w:tc>
        <w:tc>
          <w:tcPr>
            <w:tcW w:w="52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color w:val="auto"/>
              </w:rPr>
              <w:t>49,477</w:t>
            </w:r>
          </w:p>
        </w:tc>
        <w:tc>
          <w:tcPr>
            <w:tcW w:w="680" w:type="dxa"/>
            <w:vAlign w:val="bottom"/>
            <w:tcBorders>
              <w:bottom w:val="single" w:sz="8" w:color="auto"/>
            </w:tcBorders>
          </w:tcPr>
          <w:p>
            <w:pPr>
              <w:jc w:val="right"/>
              <w:ind w:right="379"/>
              <w:spacing w:after="0" w:line="169"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49,559</w:t>
            </w:r>
          </w:p>
        </w:tc>
      </w:tr>
      <w:tr>
        <w:trPr>
          <w:trHeight w:val="20"/>
        </w:trPr>
        <w:tc>
          <w:tcPr>
            <w:tcW w:w="4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281" w:lineRule="auto"/>
        <w:rPr>
          <w:sz w:val="20"/>
          <w:szCs w:val="20"/>
          <w:color w:val="auto"/>
        </w:rPr>
      </w:pPr>
      <w:r>
        <w:rPr>
          <w:rFonts w:ascii="Arial" w:cs="Arial" w:eastAsia="Arial" w:hAnsi="Arial"/>
          <w:sz w:val="16"/>
          <w:szCs w:val="16"/>
          <w:b w:val="1"/>
          <w:bCs w:val="1"/>
          <w:color w:val="auto"/>
        </w:rPr>
        <w:t>CLEARONE COMMUNICATIONS, INC. UNAUDITED CONDENSED CONSOLIDATED STATEMENTS OF OPERATIONS (Dollars in thousands, except per share value)</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w w:val="99"/>
              </w:rPr>
              <w:t>Three months ended June 30,</w:t>
            </w: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47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398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13"/>
        </w:trPr>
        <w:tc>
          <w:tcPr>
            <w:tcW w:w="3980" w:type="dxa"/>
            <w:vAlign w:val="bottom"/>
            <w:vMerge w:val="continue"/>
          </w:tcPr>
          <w:p>
            <w:pPr>
              <w:spacing w:after="0"/>
              <w:rPr>
                <w:sz w:val="18"/>
                <w:szCs w:val="18"/>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11,655</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11,890</w:t>
            </w:r>
          </w:p>
        </w:tc>
        <w:tc>
          <w:tcPr>
            <w:tcW w:w="4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21,809</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22,591</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4,562</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4,734</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8,608</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9,133</w:t>
            </w:r>
          </w:p>
        </w:tc>
        <w:tc>
          <w:tcPr>
            <w:tcW w:w="0" w:type="dxa"/>
            <w:vAlign w:val="bottom"/>
          </w:tcPr>
          <w:p>
            <w:pPr>
              <w:spacing w:after="0"/>
              <w:rPr>
                <w:sz w:val="1"/>
                <w:szCs w:val="1"/>
                <w:color w:val="auto"/>
              </w:rPr>
            </w:pPr>
          </w:p>
        </w:tc>
      </w:tr>
      <w:tr>
        <w:trPr>
          <w:trHeight w:val="183"/>
        </w:trPr>
        <w:tc>
          <w:tcPr>
            <w:tcW w:w="3980" w:type="dxa"/>
            <w:vAlign w:val="bottom"/>
          </w:tcPr>
          <w:p>
            <w:pPr>
              <w:spacing w:after="0" w:line="183" w:lineRule="exact"/>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7,093</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7,156</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13,201</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13,458</w:t>
            </w:r>
          </w:p>
        </w:tc>
        <w:tc>
          <w:tcPr>
            <w:tcW w:w="0" w:type="dxa"/>
            <w:vAlign w:val="bottom"/>
          </w:tcPr>
          <w:p>
            <w:pPr>
              <w:spacing w:after="0"/>
              <w:rPr>
                <w:sz w:val="1"/>
                <w:szCs w:val="1"/>
                <w:color w:val="auto"/>
              </w:rPr>
            </w:pPr>
          </w:p>
        </w:tc>
      </w:tr>
      <w:tr>
        <w:trPr>
          <w:trHeight w:val="420"/>
        </w:trPr>
        <w:tc>
          <w:tcPr>
            <w:tcW w:w="398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980" w:type="dxa"/>
            <w:vAlign w:val="bottom"/>
          </w:tcPr>
          <w:p>
            <w:pPr>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2,254</w:t>
            </w:r>
          </w:p>
        </w:tc>
        <w:tc>
          <w:tcPr>
            <w:tcW w:w="380" w:type="dxa"/>
            <w:vAlign w:val="bottom"/>
          </w:tcPr>
          <w:p>
            <w:pPr>
              <w:spacing w:after="0"/>
              <w:rPr>
                <w:sz w:val="19"/>
                <w:szCs w:val="19"/>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2,106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4,388</w:t>
            </w:r>
          </w:p>
        </w:tc>
        <w:tc>
          <w:tcPr>
            <w:tcW w:w="380" w:type="dxa"/>
            <w:vAlign w:val="bottom"/>
          </w:tcPr>
          <w:p>
            <w:pPr>
              <w:spacing w:after="0"/>
              <w:rPr>
                <w:sz w:val="19"/>
                <w:szCs w:val="19"/>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4,089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320" w:type="dxa"/>
            <w:vAlign w:val="bottom"/>
          </w:tcPr>
          <w:p>
            <w:pPr>
              <w:spacing w:after="0"/>
              <w:rPr>
                <w:sz w:val="18"/>
                <w:szCs w:val="18"/>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2,029</w:t>
            </w:r>
          </w:p>
        </w:tc>
        <w:tc>
          <w:tcPr>
            <w:tcW w:w="38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1,816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4,037</w:t>
            </w:r>
          </w:p>
        </w:tc>
        <w:tc>
          <w:tcPr>
            <w:tcW w:w="38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3,453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320" w:type="dxa"/>
            <w:vAlign w:val="bottom"/>
          </w:tcPr>
          <w:p>
            <w:pPr>
              <w:spacing w:after="0"/>
              <w:rPr>
                <w:sz w:val="18"/>
                <w:szCs w:val="18"/>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1,686</w:t>
            </w:r>
          </w:p>
        </w:tc>
        <w:tc>
          <w:tcPr>
            <w:tcW w:w="380" w:type="dxa"/>
            <w:vAlign w:val="bottom"/>
          </w:tcPr>
          <w:p>
            <w:pPr>
              <w:spacing w:after="0"/>
              <w:rPr>
                <w:sz w:val="18"/>
                <w:szCs w:val="18"/>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1,361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3,191</w:t>
            </w:r>
          </w:p>
        </w:tc>
        <w:tc>
          <w:tcPr>
            <w:tcW w:w="380" w:type="dxa"/>
            <w:vAlign w:val="bottom"/>
          </w:tcPr>
          <w:p>
            <w:pPr>
              <w:spacing w:after="0"/>
              <w:rPr>
                <w:sz w:val="18"/>
                <w:szCs w:val="18"/>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6"/>
                <w:szCs w:val="16"/>
                <w:color w:val="auto"/>
              </w:rPr>
              <w:t>Proceeds from litigation</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(250)</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980" w:type="dxa"/>
            <w:vAlign w:val="bottom"/>
          </w:tcPr>
          <w:p>
            <w:pPr>
              <w:spacing w:after="0" w:line="183" w:lineRule="exact"/>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5,969</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rPr>
              <w:t>5,283</w:t>
            </w: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11,366</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10,375</w:t>
            </w:r>
          </w:p>
        </w:tc>
        <w:tc>
          <w:tcPr>
            <w:tcW w:w="0" w:type="dxa"/>
            <w:vAlign w:val="bottom"/>
          </w:tcPr>
          <w:p>
            <w:pPr>
              <w:spacing w:after="0"/>
              <w:rPr>
                <w:sz w:val="1"/>
                <w:szCs w:val="1"/>
                <w:color w:val="auto"/>
              </w:rPr>
            </w:pPr>
          </w:p>
        </w:tc>
      </w:tr>
      <w:tr>
        <w:trPr>
          <w:trHeight w:val="443"/>
        </w:trPr>
        <w:tc>
          <w:tcPr>
            <w:tcW w:w="3980" w:type="dxa"/>
            <w:vAlign w:val="bottom"/>
          </w:tcPr>
          <w:p>
            <w:pPr>
              <w:spacing w:after="0"/>
              <w:rPr>
                <w:sz w:val="20"/>
                <w:szCs w:val="20"/>
                <w:color w:val="auto"/>
              </w:rPr>
            </w:pPr>
            <w:r>
              <w:rPr>
                <w:rFonts w:ascii="Arial" w:cs="Arial" w:eastAsia="Arial" w:hAnsi="Arial"/>
                <w:sz w:val="16"/>
                <w:szCs w:val="16"/>
                <w:color w:val="auto"/>
              </w:rPr>
              <w:t>Operating income</w:t>
            </w:r>
          </w:p>
        </w:tc>
        <w:tc>
          <w:tcPr>
            <w:tcW w:w="320" w:type="dxa"/>
            <w:vAlign w:val="bottom"/>
          </w:tcPr>
          <w:p>
            <w:pPr>
              <w:spacing w:after="0"/>
              <w:rPr>
                <w:sz w:val="24"/>
                <w:szCs w:val="24"/>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1,124</w:t>
            </w:r>
          </w:p>
        </w:tc>
        <w:tc>
          <w:tcPr>
            <w:tcW w:w="380" w:type="dxa"/>
            <w:vAlign w:val="bottom"/>
          </w:tcPr>
          <w:p>
            <w:pPr>
              <w:spacing w:after="0"/>
              <w:rPr>
                <w:sz w:val="24"/>
                <w:szCs w:val="24"/>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1,873</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1,835</w:t>
            </w:r>
          </w:p>
        </w:tc>
        <w:tc>
          <w:tcPr>
            <w:tcW w:w="380" w:type="dxa"/>
            <w:vAlign w:val="bottom"/>
          </w:tcPr>
          <w:p>
            <w:pPr>
              <w:spacing w:after="0"/>
              <w:rPr>
                <w:sz w:val="24"/>
                <w:szCs w:val="24"/>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3,083</w:t>
            </w:r>
          </w:p>
        </w:tc>
        <w:tc>
          <w:tcPr>
            <w:tcW w:w="0" w:type="dxa"/>
            <w:vAlign w:val="bottom"/>
          </w:tcPr>
          <w:p>
            <w:pPr>
              <w:spacing w:after="0"/>
              <w:rPr>
                <w:sz w:val="1"/>
                <w:szCs w:val="1"/>
                <w:color w:val="auto"/>
              </w:rPr>
            </w:pPr>
          </w:p>
        </w:tc>
      </w:tr>
      <w:tr>
        <w:trPr>
          <w:trHeight w:val="199"/>
        </w:trPr>
        <w:tc>
          <w:tcPr>
            <w:tcW w:w="398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29"/>
        </w:trPr>
        <w:tc>
          <w:tcPr>
            <w:tcW w:w="39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24"/>
                <w:szCs w:val="24"/>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1,119</w:t>
            </w:r>
          </w:p>
        </w:tc>
        <w:tc>
          <w:tcPr>
            <w:tcW w:w="380" w:type="dxa"/>
            <w:vAlign w:val="bottom"/>
          </w:tcPr>
          <w:p>
            <w:pPr>
              <w:spacing w:after="0"/>
              <w:rPr>
                <w:sz w:val="24"/>
                <w:szCs w:val="24"/>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1,880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1,846</w:t>
            </w:r>
          </w:p>
        </w:tc>
        <w:tc>
          <w:tcPr>
            <w:tcW w:w="380" w:type="dxa"/>
            <w:vAlign w:val="bottom"/>
          </w:tcPr>
          <w:p>
            <w:pPr>
              <w:spacing w:after="0"/>
              <w:rPr>
                <w:sz w:val="24"/>
                <w:szCs w:val="24"/>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3,101</w:t>
            </w:r>
          </w:p>
        </w:tc>
        <w:tc>
          <w:tcPr>
            <w:tcW w:w="0" w:type="dxa"/>
            <w:vAlign w:val="bottom"/>
          </w:tcPr>
          <w:p>
            <w:pPr>
              <w:spacing w:after="0"/>
              <w:rPr>
                <w:sz w:val="1"/>
                <w:szCs w:val="1"/>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544</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559</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818</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169"/>
        </w:trPr>
        <w:tc>
          <w:tcPr>
            <w:tcW w:w="3980" w:type="dxa"/>
            <w:vAlign w:val="bottom"/>
          </w:tcPr>
          <w:p>
            <w:pPr>
              <w:spacing w:after="0" w:line="169" w:lineRule="exact"/>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line="169" w:lineRule="exact"/>
              <w:rPr>
                <w:sz w:val="20"/>
                <w:szCs w:val="20"/>
                <w:color w:val="auto"/>
              </w:rPr>
            </w:pPr>
            <w:r>
              <w:rPr>
                <w:rFonts w:ascii="Arial" w:cs="Arial" w:eastAsia="Arial" w:hAnsi="Arial"/>
                <w:sz w:val="16"/>
                <w:szCs w:val="16"/>
                <w:color w:val="auto"/>
              </w:rPr>
              <w:t>575</w:t>
            </w:r>
          </w:p>
        </w:tc>
        <w:tc>
          <w:tcPr>
            <w:tcW w:w="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rPr>
              <w:t>1,321</w:t>
            </w: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80"/>
              <w:spacing w:after="0" w:line="169" w:lineRule="exact"/>
              <w:rPr>
                <w:sz w:val="20"/>
                <w:szCs w:val="20"/>
                <w:color w:val="auto"/>
              </w:rPr>
            </w:pPr>
            <w:r>
              <w:rPr>
                <w:rFonts w:ascii="Arial" w:cs="Arial" w:eastAsia="Arial" w:hAnsi="Arial"/>
                <w:sz w:val="16"/>
                <w:szCs w:val="16"/>
                <w:color w:val="auto"/>
              </w:rPr>
              <w:t>1,028</w:t>
            </w:r>
          </w:p>
        </w:tc>
        <w:tc>
          <w:tcPr>
            <w:tcW w:w="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6"/>
                <w:szCs w:val="16"/>
                <w:color w:val="auto"/>
              </w:rPr>
              <w:t>Basic earnings per common share</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980" w:type="dxa"/>
            <w:vAlign w:val="bottom"/>
            <w:vMerge w:val="continue"/>
          </w:tcPr>
          <w:p>
            <w:pPr>
              <w:spacing w:after="0"/>
              <w:rPr>
                <w:sz w:val="24"/>
                <w:szCs w:val="24"/>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0.06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0.15</w:t>
            </w:r>
          </w:p>
        </w:tc>
        <w:tc>
          <w:tcPr>
            <w:tcW w:w="4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0.11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33"/>
        </w:trPr>
        <w:tc>
          <w:tcPr>
            <w:tcW w:w="398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0.06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0.14</w:t>
            </w:r>
          </w:p>
        </w:tc>
        <w:tc>
          <w:tcPr>
            <w:tcW w:w="4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0.11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415"/>
        </w:trPr>
        <w:tc>
          <w:tcPr>
            <w:tcW w:w="398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320" w:type="dxa"/>
            <w:vAlign w:val="bottom"/>
          </w:tcPr>
          <w:p>
            <w:pPr>
              <w:spacing w:after="0"/>
              <w:rPr>
                <w:sz w:val="24"/>
                <w:szCs w:val="24"/>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9,107,420</w:t>
            </w:r>
          </w:p>
        </w:tc>
        <w:tc>
          <w:tcPr>
            <w:tcW w:w="380" w:type="dxa"/>
            <w:vAlign w:val="bottom"/>
          </w:tcPr>
          <w:p>
            <w:pPr>
              <w:spacing w:after="0"/>
              <w:rPr>
                <w:sz w:val="24"/>
                <w:szCs w:val="24"/>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8,992,500</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9,102,786</w:t>
            </w:r>
          </w:p>
        </w:tc>
        <w:tc>
          <w:tcPr>
            <w:tcW w:w="380" w:type="dxa"/>
            <w:vAlign w:val="bottom"/>
          </w:tcPr>
          <w:p>
            <w:pPr>
              <w:spacing w:after="0"/>
              <w:rPr>
                <w:sz w:val="24"/>
                <w:szCs w:val="24"/>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8,962,171</w:t>
            </w:r>
          </w:p>
        </w:tc>
        <w:tc>
          <w:tcPr>
            <w:tcW w:w="0" w:type="dxa"/>
            <w:vAlign w:val="bottom"/>
          </w:tcPr>
          <w:p>
            <w:pPr>
              <w:spacing w:after="0"/>
              <w:rPr>
                <w:sz w:val="1"/>
                <w:szCs w:val="1"/>
                <w:color w:val="auto"/>
              </w:rPr>
            </w:pPr>
          </w:p>
        </w:tc>
      </w:tr>
      <w:tr>
        <w:trPr>
          <w:trHeight w:val="233"/>
        </w:trPr>
        <w:tc>
          <w:tcPr>
            <w:tcW w:w="398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320" w:type="dxa"/>
            <w:vAlign w:val="bottom"/>
          </w:tcPr>
          <w:p>
            <w:pPr>
              <w:spacing w:after="0"/>
              <w:rPr>
                <w:sz w:val="20"/>
                <w:szCs w:val="20"/>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9,226,426</w:t>
            </w:r>
          </w:p>
        </w:tc>
        <w:tc>
          <w:tcPr>
            <w:tcW w:w="380" w:type="dxa"/>
            <w:vAlign w:val="bottom"/>
          </w:tcPr>
          <w:p>
            <w:pPr>
              <w:spacing w:after="0"/>
              <w:rPr>
                <w:sz w:val="20"/>
                <w:szCs w:val="20"/>
                <w:color w:val="auto"/>
              </w:rPr>
            </w:pPr>
          </w:p>
        </w:tc>
        <w:tc>
          <w:tcPr>
            <w:tcW w:w="1080" w:type="dxa"/>
            <w:vAlign w:val="bottom"/>
          </w:tcPr>
          <w:p>
            <w:pPr>
              <w:jc w:val="right"/>
              <w:ind w:right="239"/>
              <w:spacing w:after="0"/>
              <w:rPr>
                <w:sz w:val="20"/>
                <w:szCs w:val="20"/>
                <w:color w:val="auto"/>
              </w:rPr>
            </w:pPr>
            <w:r>
              <w:rPr>
                <w:rFonts w:ascii="Arial" w:cs="Arial" w:eastAsia="Arial" w:hAnsi="Arial"/>
                <w:sz w:val="16"/>
                <w:szCs w:val="16"/>
                <w:color w:val="auto"/>
              </w:rPr>
              <w:t>9,433,650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80"/>
              <w:spacing w:after="0"/>
              <w:rPr>
                <w:sz w:val="20"/>
                <w:szCs w:val="20"/>
                <w:color w:val="auto"/>
              </w:rPr>
            </w:pPr>
            <w:r>
              <w:rPr>
                <w:rFonts w:ascii="Arial" w:cs="Arial" w:eastAsia="Arial" w:hAnsi="Arial"/>
                <w:sz w:val="16"/>
                <w:szCs w:val="16"/>
                <w:color w:val="auto"/>
              </w:rPr>
              <w:t>9,224,727</w:t>
            </w:r>
          </w:p>
        </w:tc>
        <w:tc>
          <w:tcPr>
            <w:tcW w:w="380" w:type="dxa"/>
            <w:vAlign w:val="bottom"/>
          </w:tcPr>
          <w:p>
            <w:pPr>
              <w:spacing w:after="0"/>
              <w:rPr>
                <w:sz w:val="20"/>
                <w:szCs w:val="20"/>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color w:val="auto"/>
              </w:rPr>
              <w:t>9,279,800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CLEARONE COMMUNICATIONS,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GAAP TO NON-GAAP NET INCOME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thousands, except per share value)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 June 30, 2012</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 June 30, 2011</w:t>
            </w:r>
          </w:p>
        </w:tc>
      </w:tr>
      <w:tr>
        <w:trPr>
          <w:trHeight w:val="196"/>
        </w:trPr>
        <w:tc>
          <w:tcPr>
            <w:tcW w:w="3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GAAP</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Non-GAAP</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GAAP</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6"/>
              </w:rPr>
              <w:t>Non-GAAP</w:t>
            </w:r>
          </w:p>
        </w:tc>
      </w:tr>
      <w:tr>
        <w:trPr>
          <w:trHeight w:val="213"/>
        </w:trPr>
        <w:tc>
          <w:tcPr>
            <w:tcW w:w="3080" w:type="dxa"/>
            <w:vAlign w:val="bottom"/>
          </w:tcPr>
          <w:p>
            <w:pPr>
              <w:spacing w:after="0"/>
              <w:rPr>
                <w:sz w:val="20"/>
                <w:szCs w:val="20"/>
                <w:color w:val="auto"/>
              </w:rPr>
            </w:pPr>
            <w:r>
              <w:rPr>
                <w:rFonts w:ascii="Arial" w:cs="Arial" w:eastAsia="Arial" w:hAnsi="Arial"/>
                <w:sz w:val="16"/>
                <w:szCs w:val="16"/>
                <w:color w:val="auto"/>
              </w:rPr>
              <w:t>Revenue</w:t>
            </w:r>
          </w:p>
        </w:tc>
        <w:tc>
          <w:tcPr>
            <w:tcW w:w="1640" w:type="dxa"/>
            <w:vAlign w:val="bottom"/>
            <w:gridSpan w:val="2"/>
          </w:tcPr>
          <w:p>
            <w:pPr>
              <w:jc w:val="right"/>
              <w:ind w:right="83"/>
              <w:spacing w:after="0"/>
              <w:rPr>
                <w:sz w:val="20"/>
                <w:szCs w:val="20"/>
                <w:color w:val="auto"/>
              </w:rPr>
            </w:pPr>
            <w:r>
              <w:rPr>
                <w:rFonts w:ascii="Arial" w:cs="Arial" w:eastAsia="Arial" w:hAnsi="Arial"/>
                <w:sz w:val="16"/>
                <w:szCs w:val="16"/>
                <w:color w:val="auto"/>
              </w:rPr>
              <w:t>$  11,655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  11,655</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11,890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11,890</w:t>
            </w:r>
          </w:p>
        </w:tc>
      </w:tr>
      <w:tr>
        <w:trPr>
          <w:trHeight w:val="212"/>
        </w:trPr>
        <w:tc>
          <w:tcPr>
            <w:tcW w:w="3080" w:type="dxa"/>
            <w:vAlign w:val="bottom"/>
          </w:tcPr>
          <w:p>
            <w:pPr>
              <w:spacing w:after="0"/>
              <w:rPr>
                <w:sz w:val="20"/>
                <w:szCs w:val="20"/>
                <w:color w:val="auto"/>
              </w:rPr>
            </w:pPr>
            <w:r>
              <w:rPr>
                <w:rFonts w:ascii="Arial" w:cs="Arial" w:eastAsia="Arial" w:hAnsi="Arial"/>
                <w:sz w:val="16"/>
                <w:szCs w:val="16"/>
                <w:color w:val="auto"/>
              </w:rPr>
              <w:t>Cost of goods sold</w:t>
            </w:r>
          </w:p>
        </w:tc>
        <w:tc>
          <w:tcPr>
            <w:tcW w:w="800" w:type="dxa"/>
            <w:vAlign w:val="bottom"/>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4,562</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4,562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4,734</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4,734</w:t>
            </w:r>
          </w:p>
        </w:tc>
      </w:tr>
      <w:tr>
        <w:trPr>
          <w:trHeight w:val="183"/>
        </w:trPr>
        <w:tc>
          <w:tcPr>
            <w:tcW w:w="3080" w:type="dxa"/>
            <w:vAlign w:val="bottom"/>
          </w:tcPr>
          <w:p>
            <w:pPr>
              <w:spacing w:after="0" w:line="183" w:lineRule="exact"/>
              <w:rPr>
                <w:sz w:val="20"/>
                <w:szCs w:val="20"/>
                <w:color w:val="auto"/>
              </w:rPr>
            </w:pPr>
            <w:r>
              <w:rPr>
                <w:rFonts w:ascii="Arial" w:cs="Arial" w:eastAsia="Arial" w:hAnsi="Arial"/>
                <w:sz w:val="16"/>
                <w:szCs w:val="16"/>
                <w:color w:val="auto"/>
              </w:rPr>
              <w:t>Gross profit</w:t>
            </w:r>
          </w:p>
        </w:tc>
        <w:tc>
          <w:tcPr>
            <w:tcW w:w="1640" w:type="dxa"/>
            <w:vAlign w:val="bottom"/>
            <w:gridSpan w:val="2"/>
          </w:tcPr>
          <w:p>
            <w:pPr>
              <w:jc w:val="right"/>
              <w:ind w:right="83"/>
              <w:spacing w:after="0" w:line="183" w:lineRule="exact"/>
              <w:rPr>
                <w:sz w:val="20"/>
                <w:szCs w:val="20"/>
                <w:color w:val="auto"/>
              </w:rPr>
            </w:pPr>
            <w:r>
              <w:rPr>
                <w:rFonts w:ascii="Arial" w:cs="Arial" w:eastAsia="Arial" w:hAnsi="Arial"/>
                <w:sz w:val="16"/>
                <w:szCs w:val="16"/>
                <w:color w:val="auto"/>
              </w:rPr>
              <w:t>7,093</w:t>
            </w:r>
          </w:p>
        </w:tc>
        <w:tc>
          <w:tcPr>
            <w:tcW w:w="320" w:type="dxa"/>
            <w:vAlign w:val="bottom"/>
          </w:tcPr>
          <w:p>
            <w:pPr>
              <w:spacing w:after="0"/>
              <w:rPr>
                <w:sz w:val="15"/>
                <w:szCs w:val="15"/>
                <w:color w:val="auto"/>
              </w:rPr>
            </w:pPr>
          </w:p>
        </w:tc>
        <w:tc>
          <w:tcPr>
            <w:tcW w:w="6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180"/>
              <w:spacing w:after="0" w:line="183" w:lineRule="exact"/>
              <w:rPr>
                <w:sz w:val="20"/>
                <w:szCs w:val="20"/>
                <w:color w:val="auto"/>
              </w:rPr>
            </w:pPr>
            <w:r>
              <w:rPr>
                <w:rFonts w:ascii="Arial" w:cs="Arial" w:eastAsia="Arial" w:hAnsi="Arial"/>
                <w:sz w:val="16"/>
                <w:szCs w:val="16"/>
                <w:color w:val="auto"/>
              </w:rPr>
              <w:t>7,093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61"/>
              <w:spacing w:after="0" w:line="183" w:lineRule="exact"/>
              <w:rPr>
                <w:sz w:val="20"/>
                <w:szCs w:val="20"/>
                <w:color w:val="auto"/>
              </w:rPr>
            </w:pPr>
            <w:r>
              <w:rPr>
                <w:rFonts w:ascii="Arial" w:cs="Arial" w:eastAsia="Arial" w:hAnsi="Arial"/>
                <w:sz w:val="16"/>
                <w:szCs w:val="16"/>
                <w:color w:val="auto"/>
              </w:rPr>
              <w:t>7,156</w:t>
            </w:r>
          </w:p>
        </w:tc>
        <w:tc>
          <w:tcPr>
            <w:tcW w:w="300" w:type="dxa"/>
            <w:vAlign w:val="bottom"/>
          </w:tcPr>
          <w:p>
            <w:pPr>
              <w:spacing w:after="0"/>
              <w:rPr>
                <w:sz w:val="15"/>
                <w:szCs w:val="15"/>
                <w:color w:val="auto"/>
              </w:rPr>
            </w:pPr>
          </w:p>
        </w:tc>
        <w:tc>
          <w:tcPr>
            <w:tcW w:w="700" w:type="dxa"/>
            <w:vAlign w:val="bottom"/>
          </w:tcPr>
          <w:p>
            <w:pPr>
              <w:jc w:val="right"/>
              <w:ind w:right="279"/>
              <w:spacing w:after="0" w:line="183"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860" w:type="dxa"/>
            <w:vAlign w:val="bottom"/>
          </w:tcPr>
          <w:p>
            <w:pPr>
              <w:jc w:val="right"/>
              <w:ind w:right="140"/>
              <w:spacing w:after="0" w:line="183" w:lineRule="exact"/>
              <w:rPr>
                <w:sz w:val="20"/>
                <w:szCs w:val="20"/>
                <w:color w:val="auto"/>
              </w:rPr>
            </w:pPr>
            <w:r>
              <w:rPr>
                <w:rFonts w:ascii="Arial" w:cs="Arial" w:eastAsia="Arial" w:hAnsi="Arial"/>
                <w:sz w:val="16"/>
                <w:szCs w:val="16"/>
                <w:color w:val="auto"/>
              </w:rPr>
              <w:t>7,156</w:t>
            </w:r>
          </w:p>
        </w:tc>
      </w:tr>
      <w:tr>
        <w:trPr>
          <w:trHeight w:val="420"/>
        </w:trPr>
        <w:tc>
          <w:tcPr>
            <w:tcW w:w="3080" w:type="dxa"/>
            <w:vAlign w:val="bottom"/>
          </w:tcPr>
          <w:p>
            <w:pPr>
              <w:spacing w:after="0"/>
              <w:rPr>
                <w:sz w:val="20"/>
                <w:szCs w:val="20"/>
                <w:color w:val="auto"/>
              </w:rPr>
            </w:pPr>
            <w:r>
              <w:rPr>
                <w:rFonts w:ascii="Arial" w:cs="Arial" w:eastAsia="Arial" w:hAnsi="Arial"/>
                <w:sz w:val="16"/>
                <w:szCs w:val="16"/>
                <w:color w:val="auto"/>
              </w:rPr>
              <w:t>Operating expenses:</w:t>
            </w:r>
          </w:p>
        </w:tc>
        <w:tc>
          <w:tcPr>
            <w:tcW w:w="8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26"/>
        </w:trPr>
        <w:tc>
          <w:tcPr>
            <w:tcW w:w="3080" w:type="dxa"/>
            <w:vAlign w:val="bottom"/>
          </w:tcPr>
          <w:p>
            <w:pPr>
              <w:spacing w:after="0"/>
              <w:rPr>
                <w:sz w:val="20"/>
                <w:szCs w:val="20"/>
                <w:color w:val="auto"/>
              </w:rPr>
            </w:pPr>
            <w:r>
              <w:rPr>
                <w:rFonts w:ascii="Arial" w:cs="Arial" w:eastAsia="Arial" w:hAnsi="Arial"/>
                <w:sz w:val="16"/>
                <w:szCs w:val="16"/>
                <w:color w:val="auto"/>
              </w:rPr>
              <w:t>Sales and marketing</w:t>
            </w:r>
          </w:p>
        </w:tc>
        <w:tc>
          <w:tcPr>
            <w:tcW w:w="1640" w:type="dxa"/>
            <w:vAlign w:val="bottom"/>
            <w:gridSpan w:val="2"/>
          </w:tcPr>
          <w:p>
            <w:pPr>
              <w:jc w:val="right"/>
              <w:ind w:right="83"/>
              <w:spacing w:after="0"/>
              <w:rPr>
                <w:sz w:val="20"/>
                <w:szCs w:val="20"/>
                <w:color w:val="auto"/>
              </w:rPr>
            </w:pPr>
            <w:r>
              <w:rPr>
                <w:rFonts w:ascii="Arial" w:cs="Arial" w:eastAsia="Arial" w:hAnsi="Arial"/>
                <w:sz w:val="16"/>
                <w:szCs w:val="16"/>
                <w:color w:val="auto"/>
              </w:rPr>
              <w:t>2,254</w:t>
            </w:r>
          </w:p>
        </w:tc>
        <w:tc>
          <w:tcPr>
            <w:tcW w:w="320" w:type="dxa"/>
            <w:vAlign w:val="bottom"/>
          </w:tcPr>
          <w:p>
            <w:pPr>
              <w:spacing w:after="0"/>
              <w:rPr>
                <w:sz w:val="19"/>
                <w:szCs w:val="19"/>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color w:val="auto"/>
              </w:rPr>
              <w:t>(17)</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2,237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2,106</w:t>
            </w:r>
          </w:p>
        </w:tc>
        <w:tc>
          <w:tcPr>
            <w:tcW w:w="300" w:type="dxa"/>
            <w:vAlign w:val="bottom"/>
          </w:tcPr>
          <w:p>
            <w:pPr>
              <w:spacing w:after="0"/>
              <w:rPr>
                <w:sz w:val="19"/>
                <w:szCs w:val="19"/>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9"/>
                <w:szCs w:val="19"/>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2,100</w:t>
            </w:r>
          </w:p>
        </w:tc>
      </w:tr>
      <w:tr>
        <w:trPr>
          <w:trHeight w:val="216"/>
        </w:trPr>
        <w:tc>
          <w:tcPr>
            <w:tcW w:w="3080" w:type="dxa"/>
            <w:vAlign w:val="bottom"/>
          </w:tcPr>
          <w:p>
            <w:pPr>
              <w:spacing w:after="0"/>
              <w:rPr>
                <w:sz w:val="20"/>
                <w:szCs w:val="20"/>
                <w:color w:val="auto"/>
              </w:rPr>
            </w:pPr>
            <w:r>
              <w:rPr>
                <w:rFonts w:ascii="Arial" w:cs="Arial" w:eastAsia="Arial" w:hAnsi="Arial"/>
                <w:sz w:val="16"/>
                <w:szCs w:val="16"/>
                <w:color w:val="auto"/>
              </w:rPr>
              <w:t>Research and product development</w:t>
            </w:r>
          </w:p>
        </w:tc>
        <w:tc>
          <w:tcPr>
            <w:tcW w:w="1640" w:type="dxa"/>
            <w:vAlign w:val="bottom"/>
            <w:gridSpan w:val="2"/>
          </w:tcPr>
          <w:p>
            <w:pPr>
              <w:jc w:val="right"/>
              <w:ind w:right="83"/>
              <w:spacing w:after="0"/>
              <w:rPr>
                <w:sz w:val="20"/>
                <w:szCs w:val="20"/>
                <w:color w:val="auto"/>
              </w:rPr>
            </w:pPr>
            <w:r>
              <w:rPr>
                <w:rFonts w:ascii="Arial" w:cs="Arial" w:eastAsia="Arial" w:hAnsi="Arial"/>
                <w:sz w:val="16"/>
                <w:szCs w:val="16"/>
                <w:color w:val="auto"/>
              </w:rPr>
              <w:t>2,029</w:t>
            </w:r>
          </w:p>
        </w:tc>
        <w:tc>
          <w:tcPr>
            <w:tcW w:w="32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color w:val="auto"/>
              </w:rPr>
              <w:t>(10)</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1,816</w:t>
            </w:r>
          </w:p>
        </w:tc>
        <w:tc>
          <w:tcPr>
            <w:tcW w:w="300" w:type="dxa"/>
            <w:vAlign w:val="bottom"/>
          </w:tcPr>
          <w:p>
            <w:pPr>
              <w:spacing w:after="0"/>
              <w:rPr>
                <w:sz w:val="18"/>
                <w:szCs w:val="18"/>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8"/>
                <w:szCs w:val="18"/>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1,812</w:t>
            </w:r>
          </w:p>
        </w:tc>
      </w:tr>
      <w:tr>
        <w:trPr>
          <w:trHeight w:val="216"/>
        </w:trPr>
        <w:tc>
          <w:tcPr>
            <w:tcW w:w="3080" w:type="dxa"/>
            <w:vAlign w:val="bottom"/>
          </w:tcPr>
          <w:p>
            <w:pPr>
              <w:spacing w:after="0"/>
              <w:rPr>
                <w:sz w:val="20"/>
                <w:szCs w:val="20"/>
                <w:color w:val="auto"/>
              </w:rPr>
            </w:pPr>
            <w:r>
              <w:rPr>
                <w:rFonts w:ascii="Arial" w:cs="Arial" w:eastAsia="Arial" w:hAnsi="Arial"/>
                <w:sz w:val="16"/>
                <w:szCs w:val="16"/>
                <w:color w:val="auto"/>
              </w:rPr>
              <w:t>General and administrative</w:t>
            </w:r>
          </w:p>
        </w:tc>
        <w:tc>
          <w:tcPr>
            <w:tcW w:w="1640" w:type="dxa"/>
            <w:vAlign w:val="bottom"/>
            <w:gridSpan w:val="2"/>
          </w:tcPr>
          <w:p>
            <w:pPr>
              <w:jc w:val="right"/>
              <w:ind w:right="83"/>
              <w:spacing w:after="0"/>
              <w:rPr>
                <w:sz w:val="20"/>
                <w:szCs w:val="20"/>
                <w:color w:val="auto"/>
              </w:rPr>
            </w:pPr>
            <w:r>
              <w:rPr>
                <w:rFonts w:ascii="Arial" w:cs="Arial" w:eastAsia="Arial" w:hAnsi="Arial"/>
                <w:sz w:val="16"/>
                <w:szCs w:val="16"/>
                <w:color w:val="auto"/>
              </w:rPr>
              <w:t>1,686</w:t>
            </w:r>
          </w:p>
        </w:tc>
        <w:tc>
          <w:tcPr>
            <w:tcW w:w="320" w:type="dxa"/>
            <w:vAlign w:val="bottom"/>
          </w:tcPr>
          <w:p>
            <w:pPr>
              <w:spacing w:after="0"/>
              <w:rPr>
                <w:sz w:val="18"/>
                <w:szCs w:val="18"/>
                <w:color w:val="auto"/>
              </w:rPr>
            </w:pPr>
          </w:p>
        </w:tc>
        <w:tc>
          <w:tcPr>
            <w:tcW w:w="680" w:type="dxa"/>
            <w:vAlign w:val="bottom"/>
          </w:tcPr>
          <w:p>
            <w:pPr>
              <w:jc w:val="right"/>
              <w:ind w:right="219"/>
              <w:spacing w:after="0"/>
              <w:rPr>
                <w:sz w:val="20"/>
                <w:szCs w:val="20"/>
                <w:color w:val="auto"/>
              </w:rPr>
            </w:pPr>
            <w:r>
              <w:rPr>
                <w:rFonts w:ascii="Arial" w:cs="Arial" w:eastAsia="Arial" w:hAnsi="Arial"/>
                <w:sz w:val="16"/>
                <w:szCs w:val="16"/>
                <w:color w:val="auto"/>
                <w:w w:val="96"/>
              </w:rPr>
              <w:t>(534)</w:t>
            </w:r>
          </w:p>
        </w:tc>
        <w:tc>
          <w:tcPr>
            <w:tcW w:w="1000" w:type="dxa"/>
            <w:vAlign w:val="bottom"/>
          </w:tcPr>
          <w:p>
            <w:pPr>
              <w:jc w:val="right"/>
              <w:ind w:right="180"/>
              <w:spacing w:after="0"/>
              <w:rPr>
                <w:sz w:val="20"/>
                <w:szCs w:val="20"/>
                <w:color w:val="auto"/>
              </w:rPr>
            </w:pPr>
            <w:r>
              <w:rPr>
                <w:rFonts w:ascii="Arial" w:cs="Arial" w:eastAsia="Arial" w:hAnsi="Arial"/>
                <w:sz w:val="16"/>
                <w:szCs w:val="16"/>
                <w:color w:val="auto"/>
              </w:rPr>
              <w:t>1,152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61"/>
              <w:spacing w:after="0"/>
              <w:rPr>
                <w:sz w:val="20"/>
                <w:szCs w:val="20"/>
                <w:color w:val="auto"/>
              </w:rPr>
            </w:pPr>
            <w:r>
              <w:rPr>
                <w:rFonts w:ascii="Arial" w:cs="Arial" w:eastAsia="Arial" w:hAnsi="Arial"/>
                <w:sz w:val="16"/>
                <w:szCs w:val="16"/>
                <w:color w:val="auto"/>
              </w:rPr>
              <w:t>1,361</w:t>
            </w:r>
          </w:p>
        </w:tc>
        <w:tc>
          <w:tcPr>
            <w:tcW w:w="300" w:type="dxa"/>
            <w:vAlign w:val="bottom"/>
          </w:tcPr>
          <w:p>
            <w:pPr>
              <w:spacing w:after="0"/>
              <w:rPr>
                <w:sz w:val="18"/>
                <w:szCs w:val="18"/>
                <w:color w:val="auto"/>
              </w:rPr>
            </w:pPr>
          </w:p>
        </w:tc>
        <w:tc>
          <w:tcPr>
            <w:tcW w:w="700" w:type="dxa"/>
            <w:vAlign w:val="bottom"/>
          </w:tcPr>
          <w:p>
            <w:pPr>
              <w:jc w:val="right"/>
              <w:ind w:right="239"/>
              <w:spacing w:after="0"/>
              <w:rPr>
                <w:sz w:val="20"/>
                <w:szCs w:val="20"/>
                <w:color w:val="auto"/>
              </w:rPr>
            </w:pPr>
            <w:r>
              <w:rPr>
                <w:rFonts w:ascii="Arial" w:cs="Arial" w:eastAsia="Arial" w:hAnsi="Arial"/>
                <w:sz w:val="16"/>
                <w:szCs w:val="16"/>
                <w:color w:val="auto"/>
                <w:w w:val="96"/>
              </w:rPr>
              <w:t>(479)</w:t>
            </w:r>
          </w:p>
        </w:tc>
        <w:tc>
          <w:tcPr>
            <w:tcW w:w="160" w:type="dxa"/>
            <w:vAlign w:val="bottom"/>
          </w:tcPr>
          <w:p>
            <w:pPr>
              <w:spacing w:after="0"/>
              <w:rPr>
                <w:sz w:val="18"/>
                <w:szCs w:val="18"/>
                <w:color w:val="auto"/>
              </w:rPr>
            </w:pPr>
          </w:p>
        </w:tc>
        <w:tc>
          <w:tcPr>
            <w:tcW w:w="860" w:type="dxa"/>
            <w:vAlign w:val="bottom"/>
          </w:tcPr>
          <w:p>
            <w:pPr>
              <w:jc w:val="right"/>
              <w:ind w:right="140"/>
              <w:spacing w:after="0"/>
              <w:rPr>
                <w:sz w:val="20"/>
                <w:szCs w:val="20"/>
                <w:color w:val="auto"/>
              </w:rPr>
            </w:pPr>
            <w:r>
              <w:rPr>
                <w:rFonts w:ascii="Arial" w:cs="Arial" w:eastAsia="Arial" w:hAnsi="Arial"/>
                <w:sz w:val="16"/>
                <w:szCs w:val="16"/>
                <w:color w:val="auto"/>
              </w:rPr>
              <w:t>882</w:t>
            </w:r>
          </w:p>
        </w:tc>
      </w:tr>
      <w:tr>
        <w:trPr>
          <w:trHeight w:val="212"/>
        </w:trPr>
        <w:tc>
          <w:tcPr>
            <w:tcW w:w="3080" w:type="dxa"/>
            <w:vAlign w:val="bottom"/>
          </w:tcPr>
          <w:p>
            <w:pPr>
              <w:spacing w:after="0"/>
              <w:rPr>
                <w:sz w:val="20"/>
                <w:szCs w:val="20"/>
                <w:color w:val="auto"/>
              </w:rPr>
            </w:pPr>
            <w:r>
              <w:rPr>
                <w:rFonts w:ascii="Arial" w:cs="Arial" w:eastAsia="Arial" w:hAnsi="Arial"/>
                <w:sz w:val="16"/>
                <w:szCs w:val="16"/>
                <w:color w:val="auto"/>
              </w:rPr>
              <w:t>Proceeds from litigation</w:t>
            </w:r>
          </w:p>
        </w:tc>
        <w:tc>
          <w:tcPr>
            <w:tcW w:w="800" w:type="dxa"/>
            <w:vAlign w:val="bottom"/>
          </w:tcPr>
          <w:p>
            <w:pPr>
              <w:spacing w:after="0"/>
              <w:rPr>
                <w:sz w:val="18"/>
                <w:szCs w:val="18"/>
                <w:color w:val="auto"/>
              </w:rPr>
            </w:pP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r>
      <w:tr>
        <w:trPr>
          <w:trHeight w:val="183"/>
        </w:trPr>
        <w:tc>
          <w:tcPr>
            <w:tcW w:w="3080" w:type="dxa"/>
            <w:vAlign w:val="bottom"/>
          </w:tcPr>
          <w:p>
            <w:pPr>
              <w:spacing w:after="0" w:line="183" w:lineRule="exact"/>
              <w:rPr>
                <w:sz w:val="20"/>
                <w:szCs w:val="20"/>
                <w:color w:val="auto"/>
              </w:rPr>
            </w:pPr>
            <w:r>
              <w:rPr>
                <w:rFonts w:ascii="Arial" w:cs="Arial" w:eastAsia="Arial" w:hAnsi="Arial"/>
                <w:sz w:val="16"/>
                <w:szCs w:val="16"/>
                <w:color w:val="auto"/>
              </w:rPr>
              <w:t>Total operating expenses</w:t>
            </w:r>
          </w:p>
        </w:tc>
        <w:tc>
          <w:tcPr>
            <w:tcW w:w="800" w:type="dxa"/>
            <w:vAlign w:val="bottom"/>
          </w:tcPr>
          <w:p>
            <w:pPr>
              <w:spacing w:after="0"/>
              <w:rPr>
                <w:sz w:val="15"/>
                <w:szCs w:val="15"/>
                <w:color w:val="auto"/>
              </w:rPr>
            </w:pPr>
          </w:p>
        </w:tc>
        <w:tc>
          <w:tcPr>
            <w:tcW w:w="840" w:type="dxa"/>
            <w:vAlign w:val="bottom"/>
            <w:tcBorders>
              <w:bottom w:val="single" w:sz="8" w:color="auto"/>
            </w:tcBorders>
          </w:tcPr>
          <w:p>
            <w:pPr>
              <w:jc w:val="right"/>
              <w:ind w:right="83"/>
              <w:spacing w:after="0" w:line="183" w:lineRule="exact"/>
              <w:rPr>
                <w:sz w:val="20"/>
                <w:szCs w:val="20"/>
                <w:color w:val="auto"/>
              </w:rPr>
            </w:pPr>
            <w:r>
              <w:rPr>
                <w:rFonts w:ascii="Arial" w:cs="Arial" w:eastAsia="Arial" w:hAnsi="Arial"/>
                <w:sz w:val="16"/>
                <w:szCs w:val="16"/>
                <w:color w:val="auto"/>
              </w:rPr>
              <w:t>5,969</w:t>
            </w: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w w:val="96"/>
              </w:rPr>
              <w:t>(561)</w:t>
            </w:r>
          </w:p>
        </w:tc>
        <w:tc>
          <w:tcPr>
            <w:tcW w:w="1000" w:type="dxa"/>
            <w:vAlign w:val="bottom"/>
            <w:tcBorders>
              <w:bottom w:val="single" w:sz="8" w:color="auto"/>
            </w:tcBorders>
          </w:tcPr>
          <w:p>
            <w:pPr>
              <w:jc w:val="right"/>
              <w:ind w:right="180"/>
              <w:spacing w:after="0" w:line="183" w:lineRule="exact"/>
              <w:rPr>
                <w:sz w:val="20"/>
                <w:szCs w:val="20"/>
                <w:color w:val="auto"/>
              </w:rPr>
            </w:pPr>
            <w:r>
              <w:rPr>
                <w:rFonts w:ascii="Arial" w:cs="Arial" w:eastAsia="Arial" w:hAnsi="Arial"/>
                <w:sz w:val="16"/>
                <w:szCs w:val="16"/>
                <w:color w:val="auto"/>
              </w:rPr>
              <w:t>5,408</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5,283</w:t>
            </w: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w w:val="96"/>
              </w:rPr>
              <w:t>(489)</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4,794</w:t>
            </w:r>
          </w:p>
        </w:tc>
      </w:tr>
    </w:tbl>
    <w:p>
      <w:pPr>
        <w:sectPr>
          <w:pgSz w:w="11900" w:h="16838" w:orient="portrait"/>
          <w:cols w:equalWidth="0" w:num="1">
            <w:col w:w="9880"/>
          </w:cols>
          <w:pgMar w:left="1020" w:top="130" w:right="999" w:bottom="0" w:gutter="0" w:footer="0" w:header="0"/>
        </w:sectPr>
      </w:pPr>
    </w:p>
    <w:bookmarkStart w:id="6" w:name="page7"/>
    <w:bookmarkEnd w:id="6"/>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Operating income</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1,124</w:t>
            </w:r>
          </w:p>
        </w:tc>
        <w:tc>
          <w:tcPr>
            <w:tcW w:w="320" w:type="dxa"/>
            <w:vAlign w:val="bottom"/>
          </w:tcPr>
          <w:p>
            <w:pPr>
              <w:spacing w:after="0"/>
              <w:rPr>
                <w:sz w:val="17"/>
                <w:szCs w:val="17"/>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561</w:t>
            </w:r>
          </w:p>
        </w:tc>
        <w:tc>
          <w:tcPr>
            <w:tcW w:w="4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1,685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1,873</w:t>
            </w:r>
          </w:p>
        </w:tc>
        <w:tc>
          <w:tcPr>
            <w:tcW w:w="320" w:type="dxa"/>
            <w:vAlign w:val="bottom"/>
          </w:tcPr>
          <w:p>
            <w:pPr>
              <w:spacing w:after="0"/>
              <w:rPr>
                <w:sz w:val="17"/>
                <w:szCs w:val="17"/>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489</w:t>
            </w:r>
          </w:p>
        </w:tc>
        <w:tc>
          <w:tcPr>
            <w:tcW w:w="300" w:type="dxa"/>
            <w:vAlign w:val="bottom"/>
          </w:tcPr>
          <w:p>
            <w:pPr>
              <w:spacing w:after="0"/>
              <w:rPr>
                <w:sz w:val="17"/>
                <w:szCs w:val="17"/>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2,362</w:t>
            </w:r>
          </w:p>
        </w:tc>
        <w:tc>
          <w:tcPr>
            <w:tcW w:w="0" w:type="dxa"/>
            <w:vAlign w:val="bottom"/>
          </w:tcPr>
          <w:p>
            <w:pPr>
              <w:spacing w:after="0"/>
              <w:rPr>
                <w:sz w:val="1"/>
                <w:szCs w:val="1"/>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6"/>
                <w:szCs w:val="16"/>
                <w:color w:val="auto"/>
              </w:rPr>
              <w:t>Other income, net</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w:t>
            </w:r>
          </w:p>
        </w:tc>
        <w:tc>
          <w:tcPr>
            <w:tcW w:w="3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429"/>
        </w:trPr>
        <w:tc>
          <w:tcPr>
            <w:tcW w:w="38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1,119</w:t>
            </w:r>
          </w:p>
        </w:tc>
        <w:tc>
          <w:tcPr>
            <w:tcW w:w="320" w:type="dxa"/>
            <w:vAlign w:val="bottom"/>
          </w:tcPr>
          <w:p>
            <w:pPr>
              <w:spacing w:after="0"/>
              <w:rPr>
                <w:sz w:val="24"/>
                <w:szCs w:val="24"/>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561</w:t>
            </w:r>
          </w:p>
        </w:tc>
        <w:tc>
          <w:tcPr>
            <w:tcW w:w="400" w:type="dxa"/>
            <w:vAlign w:val="bottom"/>
          </w:tcPr>
          <w:p>
            <w:pPr>
              <w:spacing w:after="0"/>
              <w:rPr>
                <w:sz w:val="24"/>
                <w:szCs w:val="24"/>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1,680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1,880</w:t>
            </w:r>
          </w:p>
        </w:tc>
        <w:tc>
          <w:tcPr>
            <w:tcW w:w="320" w:type="dxa"/>
            <w:vAlign w:val="bottom"/>
          </w:tcPr>
          <w:p>
            <w:pPr>
              <w:spacing w:after="0"/>
              <w:rPr>
                <w:sz w:val="24"/>
                <w:szCs w:val="24"/>
                <w:color w:val="auto"/>
              </w:rPr>
            </w:pP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489</w:t>
            </w:r>
          </w:p>
        </w:tc>
        <w:tc>
          <w:tcPr>
            <w:tcW w:w="300" w:type="dxa"/>
            <w:vAlign w:val="bottom"/>
          </w:tcPr>
          <w:p>
            <w:pPr>
              <w:spacing w:after="0"/>
              <w:rPr>
                <w:sz w:val="24"/>
                <w:szCs w:val="24"/>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2,369</w:t>
            </w:r>
          </w:p>
        </w:tc>
        <w:tc>
          <w:tcPr>
            <w:tcW w:w="0" w:type="dxa"/>
            <w:vAlign w:val="bottom"/>
          </w:tcPr>
          <w:p>
            <w:pPr>
              <w:spacing w:after="0"/>
              <w:rPr>
                <w:sz w:val="1"/>
                <w:szCs w:val="1"/>
                <w:color w:val="auto"/>
              </w:rPr>
            </w:pPr>
          </w:p>
        </w:tc>
      </w:tr>
      <w:tr>
        <w:trPr>
          <w:trHeight w:val="199"/>
        </w:trPr>
        <w:tc>
          <w:tcPr>
            <w:tcW w:w="38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544</w:t>
            </w: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231</w:t>
            </w: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775</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559</w:t>
            </w:r>
          </w:p>
        </w:tc>
        <w:tc>
          <w:tcPr>
            <w:tcW w:w="3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142</w:t>
            </w: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169"/>
        </w:trPr>
        <w:tc>
          <w:tcPr>
            <w:tcW w:w="3860" w:type="dxa"/>
            <w:vAlign w:val="bottom"/>
          </w:tcPr>
          <w:p>
            <w:pPr>
              <w:spacing w:after="0" w:line="169" w:lineRule="exact"/>
              <w:rPr>
                <w:sz w:val="20"/>
                <w:szCs w:val="20"/>
                <w:color w:val="auto"/>
              </w:rPr>
            </w:pPr>
            <w:r>
              <w:rPr>
                <w:rFonts w:ascii="Arial" w:cs="Arial" w:eastAsia="Arial" w:hAnsi="Arial"/>
                <w:sz w:val="16"/>
                <w:szCs w:val="16"/>
                <w:color w:val="auto"/>
              </w:rPr>
              <w:t>Net income</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color w:val="auto"/>
              </w:rPr>
              <w:t>575</w:t>
            </w:r>
          </w:p>
        </w:tc>
        <w:tc>
          <w:tcPr>
            <w:tcW w:w="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color w:val="auto"/>
              </w:rPr>
              <w:t>330</w:t>
            </w:r>
          </w:p>
        </w:tc>
        <w:tc>
          <w:tcPr>
            <w:tcW w:w="400" w:type="dxa"/>
            <w:vAlign w:val="bottom"/>
            <w:tcBorders>
              <w:bottom w:val="single" w:sz="8" w:color="auto"/>
            </w:tcBorders>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79"/>
              <w:spacing w:after="0" w:line="169" w:lineRule="exact"/>
              <w:rPr>
                <w:sz w:val="20"/>
                <w:szCs w:val="20"/>
                <w:color w:val="auto"/>
              </w:rPr>
            </w:pPr>
            <w:r>
              <w:rPr>
                <w:rFonts w:ascii="Arial" w:cs="Arial" w:eastAsia="Arial" w:hAnsi="Arial"/>
                <w:sz w:val="16"/>
                <w:szCs w:val="16"/>
                <w:color w:val="auto"/>
              </w:rPr>
              <w:t>905</w:t>
            </w:r>
          </w:p>
        </w:tc>
        <w:tc>
          <w:tcPr>
            <w:tcW w:w="2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1,321</w:t>
            </w:r>
          </w:p>
        </w:tc>
        <w:tc>
          <w:tcPr>
            <w:tcW w:w="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6"/>
                <w:szCs w:val="16"/>
                <w:color w:val="auto"/>
              </w:rPr>
              <w:t>347</w:t>
            </w:r>
          </w:p>
        </w:tc>
        <w:tc>
          <w:tcPr>
            <w:tcW w:w="3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39"/>
              <w:spacing w:after="0" w:line="169" w:lineRule="exact"/>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Basic earnings per common share</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860" w:type="dxa"/>
            <w:vAlign w:val="bottom"/>
            <w:vMerge w:val="continue"/>
          </w:tcPr>
          <w:p>
            <w:pPr>
              <w:spacing w:after="0"/>
              <w:rPr>
                <w:sz w:val="24"/>
                <w:szCs w:val="24"/>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0.06</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0.10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0.15</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0.19</w:t>
            </w:r>
          </w:p>
        </w:tc>
        <w:tc>
          <w:tcPr>
            <w:tcW w:w="0" w:type="dxa"/>
            <w:vAlign w:val="bottom"/>
          </w:tcPr>
          <w:p>
            <w:pPr>
              <w:spacing w:after="0"/>
              <w:rPr>
                <w:sz w:val="1"/>
                <w:szCs w:val="1"/>
                <w:color w:val="auto"/>
              </w:rPr>
            </w:pPr>
          </w:p>
        </w:tc>
      </w:tr>
      <w:tr>
        <w:trPr>
          <w:trHeight w:val="233"/>
        </w:trPr>
        <w:tc>
          <w:tcPr>
            <w:tcW w:w="3860" w:type="dxa"/>
            <w:vAlign w:val="bottom"/>
          </w:tcPr>
          <w:p>
            <w:pPr>
              <w:spacing w:after="0"/>
              <w:rPr>
                <w:sz w:val="20"/>
                <w:szCs w:val="20"/>
                <w:color w:val="auto"/>
              </w:rPr>
            </w:pPr>
            <w:r>
              <w:rPr>
                <w:rFonts w:ascii="Arial" w:cs="Arial" w:eastAsia="Arial" w:hAnsi="Arial"/>
                <w:sz w:val="16"/>
                <w:szCs w:val="16"/>
                <w:color w:val="auto"/>
              </w:rPr>
              <w:t>Diluted earnings per common share</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119"/>
              <w:spacing w:after="0"/>
              <w:rPr>
                <w:sz w:val="20"/>
                <w:szCs w:val="20"/>
                <w:color w:val="auto"/>
              </w:rPr>
            </w:pPr>
            <w:r>
              <w:rPr>
                <w:rFonts w:ascii="Arial" w:cs="Arial" w:eastAsia="Arial" w:hAnsi="Arial"/>
                <w:sz w:val="16"/>
                <w:szCs w:val="16"/>
                <w:color w:val="auto"/>
              </w:rPr>
              <w:t>0.06</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79"/>
              <w:spacing w:after="0"/>
              <w:rPr>
                <w:sz w:val="20"/>
                <w:szCs w:val="20"/>
                <w:color w:val="auto"/>
              </w:rPr>
            </w:pPr>
            <w:r>
              <w:rPr>
                <w:rFonts w:ascii="Arial" w:cs="Arial" w:eastAsia="Arial" w:hAnsi="Arial"/>
                <w:sz w:val="16"/>
                <w:szCs w:val="16"/>
                <w:color w:val="auto"/>
              </w:rPr>
              <w:t>0.10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0.14</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415"/>
        </w:trPr>
        <w:tc>
          <w:tcPr>
            <w:tcW w:w="386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900" w:type="dxa"/>
            <w:vAlign w:val="bottom"/>
            <w:gridSpan w:val="3"/>
          </w:tcPr>
          <w:p>
            <w:pPr>
              <w:jc w:val="right"/>
              <w:ind w:right="119"/>
              <w:spacing w:after="0"/>
              <w:rPr>
                <w:sz w:val="20"/>
                <w:szCs w:val="20"/>
                <w:color w:val="auto"/>
              </w:rPr>
            </w:pPr>
            <w:r>
              <w:rPr>
                <w:rFonts w:ascii="Arial" w:cs="Arial" w:eastAsia="Arial" w:hAnsi="Arial"/>
                <w:sz w:val="16"/>
                <w:szCs w:val="16"/>
                <w:color w:val="auto"/>
                <w:w w:val="95"/>
              </w:rPr>
              <w:t>9,107,420</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2"/>
          </w:tcPr>
          <w:p>
            <w:pPr>
              <w:jc w:val="right"/>
              <w:ind w:right="179"/>
              <w:spacing w:after="0"/>
              <w:rPr>
                <w:sz w:val="20"/>
                <w:szCs w:val="20"/>
                <w:color w:val="auto"/>
              </w:rPr>
            </w:pPr>
            <w:r>
              <w:rPr>
                <w:rFonts w:ascii="Arial" w:cs="Arial" w:eastAsia="Arial" w:hAnsi="Arial"/>
                <w:sz w:val="16"/>
                <w:szCs w:val="16"/>
                <w:color w:val="auto"/>
              </w:rPr>
              <w:t>9,107,420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8,992,500</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w w:val="89"/>
              </w:rPr>
              <w:t>8,992,500</w:t>
            </w:r>
          </w:p>
        </w:tc>
        <w:tc>
          <w:tcPr>
            <w:tcW w:w="0" w:type="dxa"/>
            <w:vAlign w:val="bottom"/>
          </w:tcPr>
          <w:p>
            <w:pPr>
              <w:spacing w:after="0"/>
              <w:rPr>
                <w:sz w:val="1"/>
                <w:szCs w:val="1"/>
                <w:color w:val="auto"/>
              </w:rPr>
            </w:pPr>
          </w:p>
        </w:tc>
      </w:tr>
      <w:tr>
        <w:trPr>
          <w:trHeight w:val="233"/>
        </w:trPr>
        <w:tc>
          <w:tcPr>
            <w:tcW w:w="386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900" w:type="dxa"/>
            <w:vAlign w:val="bottom"/>
            <w:gridSpan w:val="3"/>
          </w:tcPr>
          <w:p>
            <w:pPr>
              <w:jc w:val="right"/>
              <w:ind w:right="119"/>
              <w:spacing w:after="0"/>
              <w:rPr>
                <w:sz w:val="20"/>
                <w:szCs w:val="20"/>
                <w:color w:val="auto"/>
              </w:rPr>
            </w:pPr>
            <w:r>
              <w:rPr>
                <w:rFonts w:ascii="Arial" w:cs="Arial" w:eastAsia="Arial" w:hAnsi="Arial"/>
                <w:sz w:val="16"/>
                <w:szCs w:val="16"/>
                <w:color w:val="auto"/>
                <w:w w:val="95"/>
              </w:rPr>
              <w:t>9,226,426</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40" w:type="dxa"/>
            <w:vAlign w:val="bottom"/>
            <w:gridSpan w:val="2"/>
          </w:tcPr>
          <w:p>
            <w:pPr>
              <w:jc w:val="right"/>
              <w:ind w:right="179"/>
              <w:spacing w:after="0"/>
              <w:rPr>
                <w:sz w:val="20"/>
                <w:szCs w:val="20"/>
                <w:color w:val="auto"/>
              </w:rPr>
            </w:pPr>
            <w:r>
              <w:rPr>
                <w:rFonts w:ascii="Arial" w:cs="Arial" w:eastAsia="Arial" w:hAnsi="Arial"/>
                <w:sz w:val="16"/>
                <w:szCs w:val="16"/>
                <w:color w:val="auto"/>
              </w:rPr>
              <w:t>9,226,426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9,433,650</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w w:val="89"/>
              </w:rPr>
              <w:t>9,433,650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040"/>
          </w:cols>
          <w:pgMar w:left="940" w:top="130" w:right="919" w:bottom="0" w:gutter="0" w:footer="0" w:header="0"/>
        </w:sectPr>
      </w:pPr>
    </w:p>
    <w:p>
      <w:pPr>
        <w:spacing w:after="0" w:line="211" w:lineRule="exact"/>
        <w:rPr>
          <w:sz w:val="20"/>
          <w:szCs w:val="20"/>
          <w:color w:val="auto"/>
        </w:rPr>
      </w:pPr>
    </w:p>
    <w:p>
      <w:pPr>
        <w:ind w:left="80"/>
        <w:spacing w:after="0"/>
        <w:rPr>
          <w:sz w:val="20"/>
          <w:szCs w:val="20"/>
          <w:color w:val="auto"/>
        </w:rPr>
      </w:pPr>
      <w:r>
        <w:rPr>
          <w:rFonts w:ascii="Arial" w:cs="Arial" w:eastAsia="Arial" w:hAnsi="Arial"/>
          <w:sz w:val="16"/>
          <w:szCs w:val="16"/>
          <w:b w:val="1"/>
          <w:bCs w:val="1"/>
          <w:u w:val="single" w:color="auto"/>
          <w:color w:val="auto"/>
        </w:rPr>
        <w:t>The adjustments consist of the following:</w:t>
      </w:r>
    </w:p>
    <w:p>
      <w:pPr>
        <w:spacing w:after="0" w:line="36" w:lineRule="exact"/>
        <w:rPr>
          <w:sz w:val="20"/>
          <w:szCs w:val="20"/>
          <w:color w:val="auto"/>
        </w:rPr>
      </w:pPr>
    </w:p>
    <w:p>
      <w:pPr>
        <w:ind w:left="80"/>
        <w:spacing w:after="0"/>
        <w:rPr>
          <w:sz w:val="20"/>
          <w:szCs w:val="20"/>
          <w:color w:val="auto"/>
        </w:rPr>
      </w:pPr>
      <w:r>
        <w:rPr>
          <w:rFonts w:ascii="Arial" w:cs="Arial" w:eastAsia="Arial" w:hAnsi="Arial"/>
          <w:sz w:val="16"/>
          <w:szCs w:val="16"/>
          <w:color w:val="auto"/>
        </w:rPr>
        <w:t>Share-based compensation</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Amortization of purchased intangibles</w:t>
      </w:r>
    </w:p>
    <w:p>
      <w:pPr>
        <w:spacing w:after="0" w:line="22" w:lineRule="exact"/>
        <w:rPr>
          <w:sz w:val="20"/>
          <w:szCs w:val="20"/>
          <w:color w:val="auto"/>
        </w:rPr>
      </w:pPr>
    </w:p>
    <w:p>
      <w:pPr>
        <w:ind w:left="80"/>
        <w:spacing w:after="0" w:line="276" w:lineRule="auto"/>
        <w:rPr>
          <w:sz w:val="20"/>
          <w:szCs w:val="20"/>
          <w:color w:val="auto"/>
        </w:rPr>
      </w:pPr>
      <w:r>
        <w:rPr>
          <w:rFonts w:ascii="Arial" w:cs="Arial" w:eastAsia="Arial" w:hAnsi="Arial"/>
          <w:sz w:val="16"/>
          <w:szCs w:val="16"/>
          <w:color w:val="auto"/>
        </w:rPr>
        <w:t>Legal expenses for litigation relating to indemnification of former officers, intellectual property claims and our claim for damages Acquisition related expenses</w:t>
      </w:r>
    </w:p>
    <w:p>
      <w:pPr>
        <w:spacing w:after="0" w:line="212" w:lineRule="exact"/>
        <w:rPr>
          <w:sz w:val="20"/>
          <w:szCs w:val="20"/>
          <w:color w:val="auto"/>
        </w:rPr>
      </w:pPr>
    </w:p>
    <w:p>
      <w:pPr>
        <w:ind w:left="240" w:right="280" w:hanging="161"/>
        <w:spacing w:after="0" w:line="328" w:lineRule="auto"/>
        <w:rPr>
          <w:sz w:val="20"/>
          <w:szCs w:val="20"/>
          <w:color w:val="auto"/>
        </w:rPr>
      </w:pPr>
      <w:r>
        <w:rPr>
          <w:rFonts w:ascii="Arial" w:cs="Arial" w:eastAsia="Arial" w:hAnsi="Arial"/>
          <w:sz w:val="16"/>
          <w:szCs w:val="16"/>
          <w:color w:val="auto"/>
        </w:rPr>
        <w:t>Provision for income taxes affected by the above adjustments Total adjustments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300" w:hanging="295"/>
        <w:spacing w:after="0"/>
        <w:tabs>
          <w:tab w:leader="none" w:pos="300" w:val="left"/>
        </w:tabs>
        <w:numPr>
          <w:ilvl w:val="0"/>
          <w:numId w:val="2"/>
        </w:numPr>
        <w:rPr>
          <w:rFonts w:ascii="Arial" w:cs="Arial" w:eastAsia="Arial" w:hAnsi="Arial"/>
          <w:sz w:val="14"/>
          <w:szCs w:val="14"/>
          <w:color w:val="auto"/>
        </w:rPr>
      </w:pPr>
      <w:r>
        <w:rPr>
          <w:rFonts w:ascii="Arial" w:cs="Arial" w:eastAsia="Arial" w:hAnsi="Arial"/>
          <w:sz w:val="14"/>
          <w:szCs w:val="14"/>
          <w:color w:val="auto"/>
        </w:rPr>
        <w:t>60</w:t>
      </w:r>
    </w:p>
    <w:p>
      <w:pPr>
        <w:spacing w:after="0" w:line="55" w:lineRule="exact"/>
        <w:rPr>
          <w:rFonts w:ascii="Arial" w:cs="Arial" w:eastAsia="Arial" w:hAnsi="Arial"/>
          <w:sz w:val="14"/>
          <w:szCs w:val="14"/>
          <w:color w:val="auto"/>
        </w:rPr>
      </w:pPr>
    </w:p>
    <w:p>
      <w:pPr>
        <w:ind w:left="220"/>
        <w:spacing w:after="0"/>
        <w:rPr>
          <w:rFonts w:ascii="Arial" w:cs="Arial" w:eastAsia="Arial" w:hAnsi="Arial"/>
          <w:sz w:val="14"/>
          <w:szCs w:val="14"/>
          <w:color w:val="auto"/>
        </w:rPr>
      </w:pPr>
      <w:r>
        <w:rPr>
          <w:rFonts w:ascii="Arial" w:cs="Arial" w:eastAsia="Arial" w:hAnsi="Arial"/>
          <w:sz w:val="14"/>
          <w:szCs w:val="14"/>
          <w:color w:val="auto"/>
        </w:rPr>
        <w:t>224</w:t>
      </w:r>
    </w:p>
    <w:p>
      <w:pPr>
        <w:spacing w:after="0" w:line="244"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237</w:t>
      </w:r>
    </w:p>
    <w:p>
      <w:pPr>
        <w:spacing w:after="0" w:line="22"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wp:posOffset>
            </wp:positionV>
            <wp:extent cx="6172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2"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561</w:t>
      </w:r>
    </w:p>
    <w:p>
      <w:pPr>
        <w:spacing w:after="0" w:line="32" w:lineRule="exact"/>
        <w:rPr>
          <w:sz w:val="20"/>
          <w:szCs w:val="20"/>
          <w:color w:val="auto"/>
        </w:rPr>
      </w:pPr>
    </w:p>
    <w:p>
      <w:pPr>
        <w:jc w:val="right"/>
        <w:ind w:right="1940"/>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635</wp:posOffset>
            </wp:positionV>
            <wp:extent cx="6172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-7620</wp:posOffset>
            </wp:positionV>
            <wp:extent cx="6172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8890</wp:posOffset>
            </wp:positionV>
            <wp:extent cx="617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300" w:hanging="295"/>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44</w:t>
      </w:r>
    </w:p>
    <w:p>
      <w:pPr>
        <w:spacing w:after="0" w:line="55"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87</w:t>
      </w:r>
    </w:p>
    <w:p>
      <w:pPr>
        <w:spacing w:after="0" w:line="244" w:lineRule="exact"/>
        <w:rPr>
          <w:sz w:val="20"/>
          <w:szCs w:val="20"/>
          <w:color w:val="auto"/>
        </w:rPr>
      </w:pPr>
    </w:p>
    <w:p>
      <w:pPr>
        <w:jc w:val="right"/>
        <w:ind w:right="1460"/>
        <w:spacing w:after="0"/>
        <w:rPr>
          <w:sz w:val="20"/>
          <w:szCs w:val="20"/>
          <w:color w:val="auto"/>
        </w:rPr>
      </w:pPr>
      <w:r>
        <w:rPr>
          <w:rFonts w:ascii="Arial" w:cs="Arial" w:eastAsia="Arial" w:hAnsi="Arial"/>
          <w:sz w:val="16"/>
          <w:szCs w:val="16"/>
          <w:color w:val="auto"/>
        </w:rPr>
        <w:t>358</w:t>
      </w:r>
    </w:p>
    <w:p>
      <w:pPr>
        <w:spacing w:after="0" w:line="22" w:lineRule="exact"/>
        <w:rPr>
          <w:sz w:val="20"/>
          <w:szCs w:val="20"/>
          <w:color w:val="auto"/>
        </w:rPr>
      </w:pPr>
    </w:p>
    <w:p>
      <w:pPr>
        <w:jc w:val="right"/>
        <w:ind w:right="1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-635</wp:posOffset>
            </wp:positionV>
            <wp:extent cx="626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489</w:t>
      </w:r>
    </w:p>
    <w:p>
      <w:pPr>
        <w:spacing w:after="0" w:line="5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15240</wp:posOffset>
            </wp:positionV>
            <wp:extent cx="6261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2"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-7620</wp:posOffset>
            </wp:positionV>
            <wp:extent cx="6261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8890</wp:posOffset>
            </wp:positionV>
            <wp:extent cx="6261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3">
            <w:col w:w="4340" w:space="660"/>
            <w:col w:w="2400" w:space="720"/>
            <w:col w:w="1920"/>
          </w:cols>
          <w:pgMar w:left="940" w:top="130" w:right="9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CLEARONE COMMUNICATIONS,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GAAP TO NON-GAAP NET INCOME</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thousands, except per share value)</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 2012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June 30, 2011</w:t>
            </w:r>
          </w:p>
        </w:tc>
        <w:tc>
          <w:tcPr>
            <w:tcW w:w="0" w:type="dxa"/>
            <w:vAlign w:val="bottom"/>
          </w:tcPr>
          <w:p>
            <w:pPr>
              <w:spacing w:after="0"/>
              <w:rPr>
                <w:sz w:val="1"/>
                <w:szCs w:val="1"/>
                <w:color w:val="auto"/>
              </w:rPr>
            </w:pPr>
          </w:p>
        </w:tc>
      </w:tr>
      <w:tr>
        <w:trPr>
          <w:trHeight w:val="196"/>
        </w:trPr>
        <w:tc>
          <w:tcPr>
            <w:tcW w:w="2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GAAP</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Adjustments</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Non-GAAP</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GAAP</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Adjustments</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13"/>
        </w:trPr>
        <w:tc>
          <w:tcPr>
            <w:tcW w:w="3780" w:type="dxa"/>
            <w:vAlign w:val="bottom"/>
            <w:gridSpan w:val="2"/>
          </w:tcPr>
          <w:p>
            <w:pPr>
              <w:spacing w:after="0"/>
              <w:rPr>
                <w:sz w:val="20"/>
                <w:szCs w:val="20"/>
                <w:color w:val="auto"/>
              </w:rPr>
            </w:pPr>
            <w:r>
              <w:rPr>
                <w:rFonts w:ascii="Arial" w:cs="Arial" w:eastAsia="Arial" w:hAnsi="Arial"/>
                <w:sz w:val="16"/>
                <w:szCs w:val="16"/>
                <w:color w:val="auto"/>
              </w:rPr>
              <w:t>Revenue</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21,809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80"/>
              <w:spacing w:after="0"/>
              <w:rPr>
                <w:sz w:val="20"/>
                <w:szCs w:val="20"/>
                <w:color w:val="auto"/>
              </w:rPr>
            </w:pPr>
            <w:r>
              <w:rPr>
                <w:rFonts w:ascii="Arial" w:cs="Arial" w:eastAsia="Arial" w:hAnsi="Arial"/>
                <w:sz w:val="16"/>
                <w:szCs w:val="16"/>
                <w:color w:val="auto"/>
              </w:rPr>
              <w:t>21,809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22,591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22,591</w:t>
            </w:r>
          </w:p>
        </w:tc>
        <w:tc>
          <w:tcPr>
            <w:tcW w:w="0" w:type="dxa"/>
            <w:vAlign w:val="bottom"/>
          </w:tcPr>
          <w:p>
            <w:pPr>
              <w:spacing w:after="0"/>
              <w:rPr>
                <w:sz w:val="1"/>
                <w:szCs w:val="1"/>
                <w:color w:val="auto"/>
              </w:rPr>
            </w:pPr>
          </w:p>
        </w:tc>
      </w:tr>
      <w:tr>
        <w:trPr>
          <w:trHeight w:val="212"/>
        </w:trPr>
        <w:tc>
          <w:tcPr>
            <w:tcW w:w="3780" w:type="dxa"/>
            <w:vAlign w:val="bottom"/>
            <w:gridSpan w:val="2"/>
          </w:tcPr>
          <w:p>
            <w:pPr>
              <w:spacing w:after="0"/>
              <w:rPr>
                <w:sz w:val="20"/>
                <w:szCs w:val="20"/>
                <w:color w:val="auto"/>
              </w:rPr>
            </w:pPr>
            <w:r>
              <w:rPr>
                <w:rFonts w:ascii="Arial" w:cs="Arial" w:eastAsia="Arial" w:hAnsi="Arial"/>
                <w:sz w:val="16"/>
                <w:szCs w:val="16"/>
                <w:color w:val="auto"/>
              </w:rPr>
              <w:t>Cost of goods sold</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8,608</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8,607</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9,133</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9,133</w:t>
            </w:r>
          </w:p>
        </w:tc>
        <w:tc>
          <w:tcPr>
            <w:tcW w:w="0" w:type="dxa"/>
            <w:vAlign w:val="bottom"/>
          </w:tcPr>
          <w:p>
            <w:pPr>
              <w:spacing w:after="0"/>
              <w:rPr>
                <w:sz w:val="1"/>
                <w:szCs w:val="1"/>
                <w:color w:val="auto"/>
              </w:rPr>
            </w:pPr>
          </w:p>
        </w:tc>
      </w:tr>
      <w:tr>
        <w:trPr>
          <w:trHeight w:val="183"/>
        </w:trPr>
        <w:tc>
          <w:tcPr>
            <w:tcW w:w="3780" w:type="dxa"/>
            <w:vAlign w:val="bottom"/>
            <w:gridSpan w:val="2"/>
          </w:tcPr>
          <w:p>
            <w:pPr>
              <w:spacing w:after="0" w:line="183" w:lineRule="exact"/>
              <w:rPr>
                <w:sz w:val="20"/>
                <w:szCs w:val="20"/>
                <w:color w:val="auto"/>
              </w:rPr>
            </w:pPr>
            <w:r>
              <w:rPr>
                <w:rFonts w:ascii="Arial" w:cs="Arial" w:eastAsia="Arial" w:hAnsi="Arial"/>
                <w:sz w:val="16"/>
                <w:szCs w:val="16"/>
                <w:color w:val="auto"/>
              </w:rPr>
              <w:t>Gross profit</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line="183" w:lineRule="exact"/>
              <w:rPr>
                <w:sz w:val="20"/>
                <w:szCs w:val="20"/>
                <w:color w:val="auto"/>
              </w:rPr>
            </w:pPr>
            <w:r>
              <w:rPr>
                <w:rFonts w:ascii="Arial" w:cs="Arial" w:eastAsia="Arial" w:hAnsi="Arial"/>
                <w:sz w:val="16"/>
                <w:szCs w:val="16"/>
                <w:color w:val="auto"/>
              </w:rPr>
              <w:t>13,201</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line="183" w:lineRule="exact"/>
              <w:rPr>
                <w:sz w:val="20"/>
                <w:szCs w:val="20"/>
                <w:color w:val="auto"/>
              </w:rPr>
            </w:pPr>
            <w:r>
              <w:rPr>
                <w:rFonts w:ascii="Arial" w:cs="Arial" w:eastAsia="Arial" w:hAnsi="Arial"/>
                <w:sz w:val="16"/>
                <w:szCs w:val="16"/>
                <w:color w:val="auto"/>
              </w:rPr>
              <w:t>13,202</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13,458</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13,458</w:t>
            </w:r>
          </w:p>
        </w:tc>
        <w:tc>
          <w:tcPr>
            <w:tcW w:w="0" w:type="dxa"/>
            <w:vAlign w:val="bottom"/>
          </w:tcPr>
          <w:p>
            <w:pPr>
              <w:spacing w:after="0"/>
              <w:rPr>
                <w:sz w:val="1"/>
                <w:szCs w:val="1"/>
                <w:color w:val="auto"/>
              </w:rPr>
            </w:pPr>
          </w:p>
        </w:tc>
      </w:tr>
      <w:tr>
        <w:trPr>
          <w:trHeight w:val="420"/>
        </w:trPr>
        <w:tc>
          <w:tcPr>
            <w:tcW w:w="378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780" w:type="dxa"/>
            <w:vAlign w:val="bottom"/>
            <w:gridSpan w:val="2"/>
          </w:tcPr>
          <w:p>
            <w:pPr>
              <w:spacing w:after="0"/>
              <w:rPr>
                <w:sz w:val="20"/>
                <w:szCs w:val="20"/>
                <w:color w:val="auto"/>
              </w:rPr>
            </w:pPr>
            <w:r>
              <w:rPr>
                <w:rFonts w:ascii="Arial" w:cs="Arial" w:eastAsia="Arial" w:hAnsi="Arial"/>
                <w:sz w:val="16"/>
                <w:szCs w:val="16"/>
                <w:color w:val="auto"/>
              </w:rPr>
              <w:t>Sales and marketing</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4,388</w:t>
            </w:r>
          </w:p>
        </w:tc>
        <w:tc>
          <w:tcPr>
            <w:tcW w:w="180" w:type="dxa"/>
            <w:vAlign w:val="bottom"/>
          </w:tcPr>
          <w:p>
            <w:pPr>
              <w:spacing w:after="0"/>
              <w:rPr>
                <w:sz w:val="19"/>
                <w:szCs w:val="19"/>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color w:val="auto"/>
              </w:rPr>
              <w:t>4,358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4,089</w:t>
            </w:r>
          </w:p>
        </w:tc>
        <w:tc>
          <w:tcPr>
            <w:tcW w:w="220" w:type="dxa"/>
            <w:vAlign w:val="bottom"/>
          </w:tcPr>
          <w:p>
            <w:pPr>
              <w:spacing w:after="0"/>
              <w:rPr>
                <w:sz w:val="19"/>
                <w:szCs w:val="19"/>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4,079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6"/>
                <w:szCs w:val="16"/>
                <w:color w:val="auto"/>
              </w:rPr>
              <w:t>Research and product development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4,037</w:t>
            </w:r>
          </w:p>
        </w:tc>
        <w:tc>
          <w:tcPr>
            <w:tcW w:w="18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color w:val="auto"/>
              </w:rPr>
              <w:t>4,020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3,453</w:t>
            </w:r>
          </w:p>
        </w:tc>
        <w:tc>
          <w:tcPr>
            <w:tcW w:w="22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3,445</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3,191</w:t>
            </w:r>
          </w:p>
        </w:tc>
        <w:tc>
          <w:tcPr>
            <w:tcW w:w="18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color w:val="auto"/>
                <w:w w:val="94"/>
              </w:rPr>
              <w:t>(1,005)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color w:val="auto"/>
              </w:rPr>
              <w:t>2,186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2,833</w:t>
            </w:r>
          </w:p>
        </w:tc>
        <w:tc>
          <w:tcPr>
            <w:tcW w:w="220" w:type="dxa"/>
            <w:vAlign w:val="bottom"/>
          </w:tcPr>
          <w:p>
            <w:pPr>
              <w:spacing w:after="0"/>
              <w:rPr>
                <w:sz w:val="18"/>
                <w:szCs w:val="18"/>
                <w:color w:val="auto"/>
              </w:rPr>
            </w:pPr>
          </w:p>
        </w:tc>
        <w:tc>
          <w:tcPr>
            <w:tcW w:w="700" w:type="dxa"/>
            <w:vAlign w:val="bottom"/>
          </w:tcPr>
          <w:p>
            <w:pPr>
              <w:jc w:val="right"/>
              <w:ind w:right="219"/>
              <w:spacing w:after="0"/>
              <w:rPr>
                <w:sz w:val="20"/>
                <w:szCs w:val="20"/>
                <w:color w:val="auto"/>
              </w:rPr>
            </w:pPr>
            <w:r>
              <w:rPr>
                <w:rFonts w:ascii="Arial" w:cs="Arial" w:eastAsia="Arial" w:hAnsi="Arial"/>
                <w:sz w:val="16"/>
                <w:szCs w:val="16"/>
                <w:color w:val="auto"/>
              </w:rPr>
              <w:t>(942)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1,891</w:t>
            </w:r>
          </w:p>
        </w:tc>
        <w:tc>
          <w:tcPr>
            <w:tcW w:w="0" w:type="dxa"/>
            <w:vAlign w:val="bottom"/>
          </w:tcPr>
          <w:p>
            <w:pPr>
              <w:spacing w:after="0"/>
              <w:rPr>
                <w:sz w:val="1"/>
                <w:szCs w:val="1"/>
                <w:color w:val="auto"/>
              </w:rPr>
            </w:pPr>
          </w:p>
        </w:tc>
      </w:tr>
      <w:tr>
        <w:trPr>
          <w:trHeight w:val="212"/>
        </w:trPr>
        <w:tc>
          <w:tcPr>
            <w:tcW w:w="3780" w:type="dxa"/>
            <w:vAlign w:val="bottom"/>
            <w:gridSpan w:val="2"/>
          </w:tcPr>
          <w:p>
            <w:pPr>
              <w:spacing w:after="0"/>
              <w:rPr>
                <w:sz w:val="20"/>
                <w:szCs w:val="20"/>
                <w:color w:val="auto"/>
              </w:rPr>
            </w:pPr>
            <w:r>
              <w:rPr>
                <w:rFonts w:ascii="Arial" w:cs="Arial" w:eastAsia="Arial" w:hAnsi="Arial"/>
                <w:sz w:val="16"/>
                <w:szCs w:val="16"/>
                <w:color w:val="auto"/>
              </w:rPr>
              <w:t>Proceeds from litigation</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(250)</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250</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80" w:type="dxa"/>
            <w:vAlign w:val="bottom"/>
            <w:gridSpan w:val="2"/>
          </w:tcPr>
          <w:p>
            <w:pPr>
              <w:spacing w:after="0" w:line="183" w:lineRule="exact"/>
              <w:rPr>
                <w:sz w:val="20"/>
                <w:szCs w:val="20"/>
                <w:color w:val="auto"/>
              </w:rPr>
            </w:pPr>
            <w:r>
              <w:rPr>
                <w:rFonts w:ascii="Arial" w:cs="Arial" w:eastAsia="Arial" w:hAnsi="Arial"/>
                <w:sz w:val="16"/>
                <w:szCs w:val="16"/>
                <w:color w:val="auto"/>
              </w:rPr>
              <w:t>Total operating expenses</w:t>
            </w: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0"/>
              <w:spacing w:after="0" w:line="183" w:lineRule="exact"/>
              <w:rPr>
                <w:sz w:val="20"/>
                <w:szCs w:val="20"/>
                <w:color w:val="auto"/>
              </w:rPr>
            </w:pPr>
            <w:r>
              <w:rPr>
                <w:rFonts w:ascii="Arial" w:cs="Arial" w:eastAsia="Arial" w:hAnsi="Arial"/>
                <w:sz w:val="16"/>
                <w:szCs w:val="16"/>
                <w:color w:val="auto"/>
              </w:rPr>
              <w:t>11,366</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(802)</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0"/>
              <w:spacing w:after="0" w:line="183" w:lineRule="exact"/>
              <w:rPr>
                <w:sz w:val="20"/>
                <w:szCs w:val="20"/>
                <w:color w:val="auto"/>
              </w:rPr>
            </w:pPr>
            <w:r>
              <w:rPr>
                <w:rFonts w:ascii="Arial" w:cs="Arial" w:eastAsia="Arial" w:hAnsi="Arial"/>
                <w:sz w:val="16"/>
                <w:szCs w:val="16"/>
                <w:color w:val="auto"/>
              </w:rPr>
              <w:t>10,564</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0"/>
              <w:spacing w:after="0" w:line="183" w:lineRule="exact"/>
              <w:rPr>
                <w:sz w:val="20"/>
                <w:szCs w:val="20"/>
                <w:color w:val="auto"/>
              </w:rPr>
            </w:pPr>
            <w:r>
              <w:rPr>
                <w:rFonts w:ascii="Arial" w:cs="Arial" w:eastAsia="Arial" w:hAnsi="Arial"/>
                <w:sz w:val="16"/>
                <w:szCs w:val="16"/>
                <w:color w:val="auto"/>
              </w:rPr>
              <w:t>10,375</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(960)</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0"/>
              <w:spacing w:after="0" w:line="183" w:lineRule="exact"/>
              <w:rPr>
                <w:sz w:val="20"/>
                <w:szCs w:val="20"/>
                <w:color w:val="auto"/>
              </w:rPr>
            </w:pPr>
            <w:r>
              <w:rPr>
                <w:rFonts w:ascii="Arial" w:cs="Arial" w:eastAsia="Arial" w:hAnsi="Arial"/>
                <w:sz w:val="16"/>
                <w:szCs w:val="16"/>
                <w:color w:val="auto"/>
              </w:rPr>
              <w:t>9,415</w:t>
            </w:r>
          </w:p>
        </w:tc>
        <w:tc>
          <w:tcPr>
            <w:tcW w:w="0" w:type="dxa"/>
            <w:vAlign w:val="bottom"/>
          </w:tcPr>
          <w:p>
            <w:pPr>
              <w:spacing w:after="0"/>
              <w:rPr>
                <w:sz w:val="1"/>
                <w:szCs w:val="1"/>
                <w:color w:val="auto"/>
              </w:rPr>
            </w:pPr>
          </w:p>
        </w:tc>
      </w:tr>
      <w:tr>
        <w:trPr>
          <w:trHeight w:val="429"/>
        </w:trPr>
        <w:tc>
          <w:tcPr>
            <w:tcW w:w="378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1,835</w:t>
            </w:r>
          </w:p>
        </w:tc>
        <w:tc>
          <w:tcPr>
            <w:tcW w:w="180" w:type="dxa"/>
            <w:vAlign w:val="bottom"/>
          </w:tcPr>
          <w:p>
            <w:pPr>
              <w:spacing w:after="0"/>
              <w:rPr>
                <w:sz w:val="24"/>
                <w:szCs w:val="24"/>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color w:val="auto"/>
              </w:rPr>
              <w:t>2,638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3,083</w:t>
            </w:r>
          </w:p>
        </w:tc>
        <w:tc>
          <w:tcPr>
            <w:tcW w:w="220" w:type="dxa"/>
            <w:vAlign w:val="bottom"/>
          </w:tcPr>
          <w:p>
            <w:pPr>
              <w:spacing w:after="0"/>
              <w:rPr>
                <w:sz w:val="24"/>
                <w:szCs w:val="24"/>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color w:val="auto"/>
              </w:rPr>
              <w:t>960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4,043</w:t>
            </w:r>
          </w:p>
        </w:tc>
        <w:tc>
          <w:tcPr>
            <w:tcW w:w="0" w:type="dxa"/>
            <w:vAlign w:val="bottom"/>
          </w:tcPr>
          <w:p>
            <w:pPr>
              <w:spacing w:after="0"/>
              <w:rPr>
                <w:sz w:val="1"/>
                <w:szCs w:val="1"/>
                <w:color w:val="auto"/>
              </w:rPr>
            </w:pPr>
          </w:p>
        </w:tc>
      </w:tr>
      <w:tr>
        <w:trPr>
          <w:trHeight w:val="199"/>
        </w:trPr>
        <w:tc>
          <w:tcPr>
            <w:tcW w:w="3780" w:type="dxa"/>
            <w:vAlign w:val="bottom"/>
            <w:gridSpan w:val="2"/>
          </w:tcPr>
          <w:p>
            <w:pPr>
              <w:spacing w:after="0"/>
              <w:rPr>
                <w:sz w:val="20"/>
                <w:szCs w:val="20"/>
                <w:color w:val="auto"/>
              </w:rPr>
            </w:pPr>
            <w:r>
              <w:rPr>
                <w:rFonts w:ascii="Arial" w:cs="Arial" w:eastAsia="Arial" w:hAnsi="Arial"/>
                <w:sz w:val="16"/>
                <w:szCs w:val="16"/>
                <w:color w:val="auto"/>
              </w:rPr>
              <w:t>Other income, net</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11</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29"/>
        </w:trPr>
        <w:tc>
          <w:tcPr>
            <w:tcW w:w="3780" w:type="dxa"/>
            <w:vAlign w:val="bottom"/>
            <w:gridSpan w:val="2"/>
          </w:tcPr>
          <w:p>
            <w:pPr>
              <w:spacing w:after="0"/>
              <w:rPr>
                <w:sz w:val="20"/>
                <w:szCs w:val="20"/>
                <w:color w:val="auto"/>
              </w:rPr>
            </w:pPr>
            <w:r>
              <w:rPr>
                <w:rFonts w:ascii="Arial" w:cs="Arial" w:eastAsia="Arial" w:hAnsi="Arial"/>
                <w:sz w:val="16"/>
                <w:szCs w:val="16"/>
                <w:color w:val="auto"/>
              </w:rPr>
              <w:t>Income before income taxes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1,846</w:t>
            </w:r>
          </w:p>
        </w:tc>
        <w:tc>
          <w:tcPr>
            <w:tcW w:w="180" w:type="dxa"/>
            <w:vAlign w:val="bottom"/>
          </w:tcPr>
          <w:p>
            <w:pPr>
              <w:spacing w:after="0"/>
              <w:rPr>
                <w:sz w:val="24"/>
                <w:szCs w:val="24"/>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380"/>
              <w:spacing w:after="0"/>
              <w:rPr>
                <w:sz w:val="20"/>
                <w:szCs w:val="20"/>
                <w:color w:val="auto"/>
              </w:rPr>
            </w:pPr>
            <w:r>
              <w:rPr>
                <w:rFonts w:ascii="Arial" w:cs="Arial" w:eastAsia="Arial" w:hAnsi="Arial"/>
                <w:sz w:val="16"/>
                <w:szCs w:val="16"/>
                <w:color w:val="auto"/>
              </w:rPr>
              <w:t>2,649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3,101</w:t>
            </w:r>
          </w:p>
        </w:tc>
        <w:tc>
          <w:tcPr>
            <w:tcW w:w="220" w:type="dxa"/>
            <w:vAlign w:val="bottom"/>
          </w:tcPr>
          <w:p>
            <w:pPr>
              <w:spacing w:after="0"/>
              <w:rPr>
                <w:sz w:val="24"/>
                <w:szCs w:val="24"/>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color w:val="auto"/>
              </w:rPr>
              <w:t>960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4,061</w:t>
            </w:r>
          </w:p>
        </w:tc>
        <w:tc>
          <w:tcPr>
            <w:tcW w:w="0" w:type="dxa"/>
            <w:vAlign w:val="bottom"/>
          </w:tcPr>
          <w:p>
            <w:pPr>
              <w:spacing w:after="0"/>
              <w:rPr>
                <w:sz w:val="1"/>
                <w:szCs w:val="1"/>
                <w:color w:val="auto"/>
              </w:rPr>
            </w:pPr>
          </w:p>
        </w:tc>
      </w:tr>
      <w:tr>
        <w:trPr>
          <w:trHeight w:val="199"/>
        </w:trPr>
        <w:tc>
          <w:tcPr>
            <w:tcW w:w="3780" w:type="dxa"/>
            <w:vAlign w:val="bottom"/>
            <w:gridSpan w:val="2"/>
          </w:tcPr>
          <w:p>
            <w:pPr>
              <w:spacing w:after="0"/>
              <w:rPr>
                <w:sz w:val="20"/>
                <w:szCs w:val="20"/>
                <w:color w:val="auto"/>
              </w:rPr>
            </w:pPr>
            <w:r>
              <w:rPr>
                <w:rFonts w:ascii="Arial" w:cs="Arial" w:eastAsia="Arial" w:hAnsi="Arial"/>
                <w:sz w:val="16"/>
                <w:szCs w:val="16"/>
                <w:color w:val="auto"/>
              </w:rPr>
              <w:t>Provision for (benefit from) income taxes</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818</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300</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1,118</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968</w:t>
            </w: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294</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1,262</w:t>
            </w:r>
          </w:p>
        </w:tc>
        <w:tc>
          <w:tcPr>
            <w:tcW w:w="0" w:type="dxa"/>
            <w:vAlign w:val="bottom"/>
          </w:tcPr>
          <w:p>
            <w:pPr>
              <w:spacing w:after="0"/>
              <w:rPr>
                <w:sz w:val="1"/>
                <w:szCs w:val="1"/>
                <w:color w:val="auto"/>
              </w:rPr>
            </w:pPr>
          </w:p>
        </w:tc>
      </w:tr>
      <w:tr>
        <w:trPr>
          <w:trHeight w:val="169"/>
        </w:trPr>
        <w:tc>
          <w:tcPr>
            <w:tcW w:w="3780" w:type="dxa"/>
            <w:vAlign w:val="bottom"/>
            <w:gridSpan w:val="2"/>
          </w:tcPr>
          <w:p>
            <w:pPr>
              <w:spacing w:after="0" w:line="169" w:lineRule="exact"/>
              <w:rPr>
                <w:sz w:val="20"/>
                <w:szCs w:val="20"/>
                <w:color w:val="auto"/>
              </w:rPr>
            </w:pPr>
            <w:r>
              <w:rPr>
                <w:rFonts w:ascii="Arial" w:cs="Arial" w:eastAsia="Arial" w:hAnsi="Arial"/>
                <w:sz w:val="16"/>
                <w:szCs w:val="16"/>
                <w:color w:val="auto"/>
              </w:rPr>
              <w:t>Net income</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ind w:right="160"/>
              <w:spacing w:after="0" w:line="169" w:lineRule="exact"/>
              <w:rPr>
                <w:sz w:val="20"/>
                <w:szCs w:val="20"/>
                <w:color w:val="auto"/>
              </w:rPr>
            </w:pPr>
            <w:r>
              <w:rPr>
                <w:rFonts w:ascii="Arial" w:cs="Arial" w:eastAsia="Arial" w:hAnsi="Arial"/>
                <w:sz w:val="16"/>
                <w:szCs w:val="16"/>
                <w:color w:val="auto"/>
              </w:rPr>
              <w:t>1,028</w:t>
            </w: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rPr>
              <w:t>503</w:t>
            </w:r>
          </w:p>
        </w:tc>
        <w:tc>
          <w:tcPr>
            <w:tcW w:w="180" w:type="dxa"/>
            <w:vAlign w:val="bottom"/>
            <w:tcBorders>
              <w:bottom w:val="single" w:sz="8" w:color="auto"/>
            </w:tcBorders>
            <w:gridSpan w:val="2"/>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80"/>
              <w:spacing w:after="0" w:line="169" w:lineRule="exact"/>
              <w:rPr>
                <w:sz w:val="20"/>
                <w:szCs w:val="20"/>
                <w:color w:val="auto"/>
              </w:rPr>
            </w:pPr>
            <w:r>
              <w:rPr>
                <w:rFonts w:ascii="Arial" w:cs="Arial" w:eastAsia="Arial" w:hAnsi="Arial"/>
                <w:sz w:val="16"/>
                <w:szCs w:val="16"/>
                <w:color w:val="auto"/>
              </w:rPr>
              <w:t>1,531</w:t>
            </w:r>
          </w:p>
        </w:tc>
        <w:tc>
          <w:tcPr>
            <w:tcW w:w="2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140"/>
              <w:spacing w:after="0" w:line="169" w:lineRule="exact"/>
              <w:rPr>
                <w:sz w:val="20"/>
                <w:szCs w:val="20"/>
                <w:color w:val="auto"/>
              </w:rPr>
            </w:pPr>
            <w:r>
              <w:rPr>
                <w:rFonts w:ascii="Arial" w:cs="Arial" w:eastAsia="Arial" w:hAnsi="Arial"/>
                <w:sz w:val="16"/>
                <w:szCs w:val="16"/>
                <w:color w:val="auto"/>
              </w:rPr>
              <w:t>2,133</w:t>
            </w:r>
          </w:p>
        </w:tc>
        <w:tc>
          <w:tcPr>
            <w:tcW w:w="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666</w:t>
            </w:r>
          </w:p>
        </w:tc>
        <w:tc>
          <w:tcPr>
            <w:tcW w:w="180" w:type="dxa"/>
            <w:vAlign w:val="bottom"/>
            <w:tcBorders>
              <w:bottom w:val="single" w:sz="8" w:color="auto"/>
            </w:tcBorders>
            <w:gridSpan w:val="2"/>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60"/>
              <w:spacing w:after="0" w:line="169" w:lineRule="exact"/>
              <w:rPr>
                <w:sz w:val="20"/>
                <w:szCs w:val="20"/>
                <w:color w:val="auto"/>
              </w:rPr>
            </w:pPr>
            <w:r>
              <w:rPr>
                <w:rFonts w:ascii="Arial" w:cs="Arial" w:eastAsia="Arial" w:hAnsi="Arial"/>
                <w:sz w:val="16"/>
                <w:szCs w:val="16"/>
                <w:color w:val="auto"/>
              </w:rPr>
              <w:t>2,799</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spacing w:after="0"/>
              <w:rPr>
                <w:sz w:val="20"/>
                <w:szCs w:val="20"/>
                <w:color w:val="auto"/>
              </w:rPr>
            </w:pPr>
            <w:r>
              <w:rPr>
                <w:rFonts w:ascii="Arial" w:cs="Arial" w:eastAsia="Arial" w:hAnsi="Arial"/>
                <w:sz w:val="16"/>
                <w:szCs w:val="16"/>
                <w:color w:val="auto"/>
              </w:rPr>
              <w:t>Basic earnings per common share</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3780" w:type="dxa"/>
            <w:vAlign w:val="bottom"/>
            <w:gridSpan w:val="2"/>
            <w:vMerge w:val="continue"/>
          </w:tcPr>
          <w:p>
            <w:pPr>
              <w:spacing w:after="0"/>
              <w:rPr>
                <w:sz w:val="24"/>
                <w:szCs w:val="24"/>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0.11</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80"/>
              <w:spacing w:after="0"/>
              <w:rPr>
                <w:sz w:val="20"/>
                <w:szCs w:val="20"/>
                <w:color w:val="auto"/>
              </w:rPr>
            </w:pPr>
            <w:r>
              <w:rPr>
                <w:rFonts w:ascii="Arial" w:cs="Arial" w:eastAsia="Arial" w:hAnsi="Arial"/>
                <w:sz w:val="16"/>
                <w:szCs w:val="16"/>
                <w:color w:val="auto"/>
              </w:rPr>
              <w:t>0.17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0.24</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0.31</w:t>
            </w:r>
          </w:p>
        </w:tc>
        <w:tc>
          <w:tcPr>
            <w:tcW w:w="0" w:type="dxa"/>
            <w:vAlign w:val="bottom"/>
          </w:tcPr>
          <w:p>
            <w:pPr>
              <w:spacing w:after="0"/>
              <w:rPr>
                <w:sz w:val="1"/>
                <w:szCs w:val="1"/>
                <w:color w:val="auto"/>
              </w:rPr>
            </w:pPr>
          </w:p>
        </w:tc>
      </w:tr>
      <w:tr>
        <w:trPr>
          <w:trHeight w:val="233"/>
        </w:trPr>
        <w:tc>
          <w:tcPr>
            <w:tcW w:w="3780" w:type="dxa"/>
            <w:vAlign w:val="bottom"/>
            <w:gridSpan w:val="2"/>
          </w:tcPr>
          <w:p>
            <w:pPr>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160"/>
              <w:spacing w:after="0"/>
              <w:rPr>
                <w:sz w:val="20"/>
                <w:szCs w:val="20"/>
                <w:color w:val="auto"/>
              </w:rPr>
            </w:pPr>
            <w:r>
              <w:rPr>
                <w:rFonts w:ascii="Arial" w:cs="Arial" w:eastAsia="Arial" w:hAnsi="Arial"/>
                <w:sz w:val="16"/>
                <w:szCs w:val="16"/>
                <w:color w:val="auto"/>
              </w:rPr>
              <w:t>0.11</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80"/>
              <w:spacing w:after="0"/>
              <w:rPr>
                <w:sz w:val="20"/>
                <w:szCs w:val="20"/>
                <w:color w:val="auto"/>
              </w:rPr>
            </w:pPr>
            <w:r>
              <w:rPr>
                <w:rFonts w:ascii="Arial" w:cs="Arial" w:eastAsia="Arial" w:hAnsi="Arial"/>
                <w:sz w:val="16"/>
                <w:szCs w:val="16"/>
                <w:color w:val="auto"/>
              </w:rPr>
              <w:t>0.17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0.23</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6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415"/>
        </w:trPr>
        <w:tc>
          <w:tcPr>
            <w:tcW w:w="378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w w:val="95"/>
              </w:rPr>
              <w:t>9,102,786</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6"/>
                <w:szCs w:val="16"/>
                <w:color w:val="auto"/>
                <w:w w:val="95"/>
              </w:rPr>
              <w:t>9,102,786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w w:val="89"/>
              </w:rPr>
              <w:t>8,962,171</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w w:val="98"/>
              </w:rPr>
              <w:t>8,962,171</w:t>
            </w:r>
          </w:p>
        </w:tc>
        <w:tc>
          <w:tcPr>
            <w:tcW w:w="0" w:type="dxa"/>
            <w:vAlign w:val="bottom"/>
          </w:tcPr>
          <w:p>
            <w:pPr>
              <w:spacing w:after="0"/>
              <w:rPr>
                <w:sz w:val="1"/>
                <w:szCs w:val="1"/>
                <w:color w:val="auto"/>
              </w:rPr>
            </w:pPr>
          </w:p>
        </w:tc>
      </w:tr>
      <w:tr>
        <w:trPr>
          <w:trHeight w:val="233"/>
        </w:trPr>
        <w:tc>
          <w:tcPr>
            <w:tcW w:w="378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940" w:type="dxa"/>
            <w:vAlign w:val="bottom"/>
            <w:gridSpan w:val="3"/>
          </w:tcPr>
          <w:p>
            <w:pPr>
              <w:jc w:val="right"/>
              <w:ind w:right="160"/>
              <w:spacing w:after="0"/>
              <w:rPr>
                <w:sz w:val="20"/>
                <w:szCs w:val="20"/>
                <w:color w:val="auto"/>
              </w:rPr>
            </w:pPr>
            <w:r>
              <w:rPr>
                <w:rFonts w:ascii="Arial" w:cs="Arial" w:eastAsia="Arial" w:hAnsi="Arial"/>
                <w:sz w:val="16"/>
                <w:szCs w:val="16"/>
                <w:color w:val="auto"/>
                <w:w w:val="95"/>
              </w:rPr>
              <w:t>9,224,727</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6"/>
                <w:szCs w:val="16"/>
                <w:color w:val="auto"/>
                <w:w w:val="95"/>
              </w:rPr>
              <w:t>9,224,727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w w:val="89"/>
              </w:rPr>
              <w:t>9,279,800</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6"/>
                <w:szCs w:val="16"/>
                <w:color w:val="auto"/>
                <w:w w:val="98"/>
              </w:rPr>
              <w:t>9,279,800</w:t>
            </w:r>
          </w:p>
        </w:tc>
        <w:tc>
          <w:tcPr>
            <w:tcW w:w="0" w:type="dxa"/>
            <w:vAlign w:val="bottom"/>
          </w:tcPr>
          <w:p>
            <w:pPr>
              <w:spacing w:after="0"/>
              <w:rPr>
                <w:sz w:val="1"/>
                <w:szCs w:val="1"/>
                <w:color w:val="auto"/>
              </w:rPr>
            </w:pPr>
          </w:p>
        </w:tc>
      </w:tr>
      <w:tr>
        <w:trPr>
          <w:trHeight w:val="587"/>
        </w:trPr>
        <w:tc>
          <w:tcPr>
            <w:tcW w:w="28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The adjustments consist of the following:</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78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59"/>
              <w:spacing w:after="0"/>
              <w:rPr>
                <w:sz w:val="20"/>
                <w:szCs w:val="20"/>
                <w:color w:val="auto"/>
              </w:rPr>
            </w:pPr>
            <w:r>
              <w:rPr>
                <w:rFonts w:ascii="Arial" w:cs="Arial" w:eastAsia="Arial" w:hAnsi="Arial"/>
                <w:sz w:val="16"/>
                <w:szCs w:val="16"/>
                <w:color w:val="auto"/>
              </w:rPr>
              <w:t>83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rPr>
                <w:sz w:val="20"/>
                <w:szCs w:val="20"/>
                <w:color w:val="auto"/>
              </w:rPr>
            </w:pPr>
            <w:r>
              <w:rPr>
                <w:rFonts w:ascii="Arial" w:cs="Arial" w:eastAsia="Arial" w:hAnsi="Arial"/>
                <w:sz w:val="16"/>
                <w:szCs w:val="16"/>
                <w:color w:val="auto"/>
              </w:rPr>
              <w:t>Amortization of purchased intangibles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351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color w:val="auto"/>
              </w:rPr>
              <w:t>175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5"/>
          </w:tcPr>
          <w:p>
            <w:pPr>
              <w:spacing w:after="0"/>
              <w:rPr>
                <w:sz w:val="20"/>
                <w:szCs w:val="20"/>
                <w:color w:val="auto"/>
              </w:rPr>
            </w:pPr>
            <w:r>
              <w:rPr>
                <w:rFonts w:ascii="Arial" w:cs="Arial" w:eastAsia="Arial" w:hAnsi="Arial"/>
                <w:sz w:val="16"/>
                <w:szCs w:val="16"/>
                <w:color w:val="auto"/>
              </w:rPr>
              <w:t>Legal expenses for litigation relating to indemnification of former</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gridSpan w:val="5"/>
          </w:tcPr>
          <w:p>
            <w:pPr>
              <w:spacing w:after="0"/>
              <w:rPr>
                <w:sz w:val="20"/>
                <w:szCs w:val="20"/>
                <w:color w:val="auto"/>
              </w:rPr>
            </w:pPr>
            <w:r>
              <w:rPr>
                <w:rFonts w:ascii="Arial" w:cs="Arial" w:eastAsia="Arial" w:hAnsi="Arial"/>
                <w:sz w:val="16"/>
                <w:szCs w:val="16"/>
                <w:color w:val="auto"/>
              </w:rPr>
              <w:t>officers, intellectual property claims and our claim for damages</w:t>
            </w:r>
          </w:p>
        </w:tc>
        <w:tc>
          <w:tcPr>
            <w:tcW w:w="180" w:type="dxa"/>
            <w:vAlign w:val="bottom"/>
          </w:tcPr>
          <w:p>
            <w:pPr>
              <w:spacing w:after="0"/>
              <w:rPr>
                <w:sz w:val="17"/>
                <w:szCs w:val="17"/>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364</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color w:val="auto"/>
              </w:rPr>
              <w:t>702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227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gridSpan w:val="2"/>
          </w:tcPr>
          <w:p>
            <w:pPr>
              <w:spacing w:after="0"/>
              <w:rPr>
                <w:sz w:val="20"/>
                <w:szCs w:val="20"/>
                <w:color w:val="auto"/>
              </w:rPr>
            </w:pPr>
            <w:r>
              <w:rPr>
                <w:rFonts w:ascii="Arial" w:cs="Arial" w:eastAsia="Arial" w:hAnsi="Arial"/>
                <w:sz w:val="16"/>
                <w:szCs w:val="16"/>
                <w:color w:val="auto"/>
              </w:rPr>
              <w:t>Proceeds from litigation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(250)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gridSpan w:val="2"/>
          </w:tcPr>
          <w:p>
            <w:pPr>
              <w:spacing w:after="0"/>
              <w:rPr>
                <w:sz w:val="20"/>
                <w:szCs w:val="20"/>
                <w:color w:val="auto"/>
              </w:rPr>
            </w:pPr>
            <w:r>
              <w:rPr>
                <w:rFonts w:ascii="Arial" w:cs="Arial" w:eastAsia="Arial" w:hAnsi="Arial"/>
                <w:sz w:val="16"/>
                <w:szCs w:val="16"/>
                <w:color w:val="auto"/>
              </w:rPr>
              <w:t>Total of adjustments before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color w:val="auto"/>
              </w:rPr>
              <w:t>803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color w:val="auto"/>
              </w:rPr>
              <w:t>960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Income taxes affected by the above adjustments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300</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294</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780" w:type="dxa"/>
            <w:vAlign w:val="bottom"/>
            <w:gridSpan w:val="2"/>
          </w:tcPr>
          <w:p>
            <w:pPr>
              <w:ind w:left="160"/>
              <w:spacing w:after="0" w:line="169" w:lineRule="exact"/>
              <w:rPr>
                <w:sz w:val="20"/>
                <w:szCs w:val="20"/>
                <w:color w:val="auto"/>
              </w:rPr>
            </w:pPr>
            <w:r>
              <w:rPr>
                <w:rFonts w:ascii="Arial" w:cs="Arial" w:eastAsia="Arial" w:hAnsi="Arial"/>
                <w:sz w:val="16"/>
                <w:szCs w:val="16"/>
                <w:color w:val="auto"/>
              </w:rPr>
              <w:t>Total adjustments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9"/>
              <w:spacing w:after="0" w:line="169" w:lineRule="exact"/>
              <w:rPr>
                <w:sz w:val="20"/>
                <w:szCs w:val="20"/>
                <w:color w:val="auto"/>
              </w:rPr>
            </w:pPr>
            <w:r>
              <w:rPr>
                <w:rFonts w:ascii="Arial" w:cs="Arial" w:eastAsia="Arial" w:hAnsi="Arial"/>
                <w:sz w:val="16"/>
                <w:szCs w:val="16"/>
                <w:color w:val="auto"/>
              </w:rPr>
              <w:t>503</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259"/>
              <w:spacing w:after="0" w:line="169" w:lineRule="exact"/>
              <w:rPr>
                <w:sz w:val="20"/>
                <w:szCs w:val="20"/>
                <w:color w:val="auto"/>
              </w:rPr>
            </w:pPr>
            <w:r>
              <w:rPr>
                <w:rFonts w:ascii="Arial" w:cs="Arial" w:eastAsia="Arial" w:hAnsi="Arial"/>
                <w:sz w:val="16"/>
                <w:szCs w:val="16"/>
                <w:color w:val="auto"/>
              </w:rPr>
              <w:t>666</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CLEARONE COMMUNICATIONS, INC.</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RECONCILIATION OF GAAP NET INCOME TO NON-GAAP ADJUSTED EBITDA</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thousands, except per share value)</w:t>
      </w:r>
    </w:p>
    <w:p>
      <w:pPr>
        <w:sectPr>
          <w:pgSz w:w="11900" w:h="16838" w:orient="portrait"/>
          <w:cols w:equalWidth="0" w:num="1">
            <w:col w:w="10040"/>
          </w:cols>
          <w:pgMar w:left="940" w:top="130" w:right="91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1"/>
              </w:rPr>
              <w:t>Three months ended June 30,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96"/>
        </w:trPr>
        <w:tc>
          <w:tcPr>
            <w:tcW w:w="4960" w:type="dxa"/>
            <w:vAlign w:val="bottom"/>
            <w:gridSpan w:val="2"/>
            <w:vMerge w:val="restart"/>
          </w:tcPr>
          <w:p>
            <w:pPr>
              <w:spacing w:after="0"/>
              <w:rPr>
                <w:sz w:val="20"/>
                <w:szCs w:val="20"/>
                <w:color w:val="auto"/>
              </w:rPr>
            </w:pPr>
            <w:r>
              <w:rPr>
                <w:rFonts w:ascii="Arial" w:cs="Arial" w:eastAsia="Arial" w:hAnsi="Arial"/>
                <w:sz w:val="16"/>
                <w:szCs w:val="16"/>
                <w:color w:val="auto"/>
              </w:rPr>
              <w:t>GAAP Net Income</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09"/>
        </w:trPr>
        <w:tc>
          <w:tcPr>
            <w:tcW w:w="496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575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1,321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1,028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176"/>
        </w:trPr>
        <w:tc>
          <w:tcPr>
            <w:tcW w:w="94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b w:val="1"/>
                <w:bCs w:val="1"/>
                <w:color w:val="auto"/>
                <w:w w:val="89"/>
              </w:rPr>
              <w:t>Adjustments:</w:t>
            </w: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960" w:type="dxa"/>
            <w:vAlign w:val="bottom"/>
            <w:gridSpan w:val="2"/>
          </w:tcPr>
          <w:p>
            <w:pPr>
              <w:spacing w:after="0"/>
              <w:rPr>
                <w:sz w:val="20"/>
                <w:szCs w:val="20"/>
                <w:color w:val="auto"/>
              </w:rPr>
            </w:pPr>
            <w:r>
              <w:rPr>
                <w:rFonts w:ascii="Arial" w:cs="Arial" w:eastAsia="Arial" w:hAnsi="Arial"/>
                <w:sz w:val="16"/>
                <w:szCs w:val="16"/>
                <w:color w:val="auto"/>
              </w:rPr>
              <w:t>Provision for (benefit from) for income taxes</w:t>
            </w:r>
          </w:p>
        </w:tc>
        <w:tc>
          <w:tcPr>
            <w:tcW w:w="1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544</w:t>
            </w:r>
          </w:p>
        </w:tc>
        <w:tc>
          <w:tcPr>
            <w:tcW w:w="220" w:type="dxa"/>
            <w:vAlign w:val="bottom"/>
          </w:tcPr>
          <w:p>
            <w:pPr>
              <w:spacing w:after="0"/>
              <w:rPr>
                <w:sz w:val="20"/>
                <w:szCs w:val="20"/>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559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818</w:t>
            </w:r>
          </w:p>
        </w:tc>
        <w:tc>
          <w:tcPr>
            <w:tcW w:w="220" w:type="dxa"/>
            <w:vAlign w:val="bottom"/>
          </w:tcPr>
          <w:p>
            <w:pPr>
              <w:spacing w:after="0"/>
              <w:rPr>
                <w:sz w:val="20"/>
                <w:szCs w:val="20"/>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968</w:t>
            </w:r>
          </w:p>
        </w:tc>
        <w:tc>
          <w:tcPr>
            <w:tcW w:w="0" w:type="dxa"/>
            <w:vAlign w:val="bottom"/>
          </w:tcPr>
          <w:p>
            <w:pPr>
              <w:spacing w:after="0"/>
              <w:rPr>
                <w:sz w:val="1"/>
                <w:szCs w:val="1"/>
                <w:color w:val="auto"/>
              </w:rPr>
            </w:pPr>
          </w:p>
        </w:tc>
      </w:tr>
      <w:tr>
        <w:trPr>
          <w:trHeight w:val="199"/>
        </w:trPr>
        <w:tc>
          <w:tcPr>
            <w:tcW w:w="49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417</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292</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754</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3"/>
        </w:trPr>
        <w:tc>
          <w:tcPr>
            <w:tcW w:w="4960" w:type="dxa"/>
            <w:vAlign w:val="bottom"/>
            <w:gridSpan w:val="2"/>
          </w:tcPr>
          <w:p>
            <w:pPr>
              <w:spacing w:after="0"/>
              <w:rPr>
                <w:sz w:val="20"/>
                <w:szCs w:val="20"/>
                <w:color w:val="auto"/>
              </w:rPr>
            </w:pPr>
            <w:r>
              <w:rPr>
                <w:rFonts w:ascii="Arial" w:cs="Arial" w:eastAsia="Arial" w:hAnsi="Arial"/>
                <w:sz w:val="16"/>
                <w:szCs w:val="16"/>
                <w:b w:val="1"/>
                <w:bCs w:val="1"/>
                <w:color w:val="auto"/>
              </w:rPr>
              <w:t>Non-GAAP EBITDA</w:t>
            </w:r>
          </w:p>
        </w:tc>
        <w:tc>
          <w:tcPr>
            <w:tcW w:w="12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1,536</w:t>
            </w:r>
          </w:p>
        </w:tc>
        <w:tc>
          <w:tcPr>
            <w:tcW w:w="220" w:type="dxa"/>
            <w:vAlign w:val="bottom"/>
          </w:tcPr>
          <w:p>
            <w:pPr>
              <w:spacing w:after="0"/>
              <w:rPr>
                <w:sz w:val="18"/>
                <w:szCs w:val="18"/>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2,172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2,600</w:t>
            </w:r>
          </w:p>
        </w:tc>
        <w:tc>
          <w:tcPr>
            <w:tcW w:w="220" w:type="dxa"/>
            <w:vAlign w:val="bottom"/>
          </w:tcPr>
          <w:p>
            <w:pPr>
              <w:spacing w:after="0"/>
              <w:rPr>
                <w:sz w:val="18"/>
                <w:szCs w:val="18"/>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3,688</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rPr>
                <w:sz w:val="20"/>
                <w:szCs w:val="20"/>
                <w:color w:val="auto"/>
              </w:rPr>
            </w:pPr>
            <w:r>
              <w:rPr>
                <w:rFonts w:ascii="Arial" w:cs="Arial" w:eastAsia="Arial" w:hAnsi="Arial"/>
                <w:sz w:val="16"/>
                <w:szCs w:val="16"/>
                <w:color w:val="auto"/>
              </w:rPr>
              <w:t>Share-based compensation</w:t>
            </w:r>
          </w:p>
        </w:tc>
        <w:tc>
          <w:tcPr>
            <w:tcW w:w="120" w:type="dxa"/>
            <w:vAlign w:val="bottom"/>
          </w:tcPr>
          <w:p>
            <w:pPr>
              <w:spacing w:after="0"/>
              <w:rPr>
                <w:sz w:val="17"/>
                <w:szCs w:val="17"/>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60</w:t>
            </w:r>
          </w:p>
        </w:tc>
        <w:tc>
          <w:tcPr>
            <w:tcW w:w="220" w:type="dxa"/>
            <w:vAlign w:val="bottom"/>
          </w:tcPr>
          <w:p>
            <w:pPr>
              <w:spacing w:after="0"/>
              <w:rPr>
                <w:sz w:val="17"/>
                <w:szCs w:val="17"/>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111</w:t>
            </w:r>
          </w:p>
        </w:tc>
        <w:tc>
          <w:tcPr>
            <w:tcW w:w="220" w:type="dxa"/>
            <w:vAlign w:val="bottom"/>
          </w:tcPr>
          <w:p>
            <w:pPr>
              <w:spacing w:after="0"/>
              <w:rPr>
                <w:sz w:val="17"/>
                <w:szCs w:val="17"/>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rPr>
                <w:sz w:val="20"/>
                <w:szCs w:val="20"/>
                <w:color w:val="auto"/>
              </w:rPr>
            </w:pPr>
            <w:r>
              <w:rPr>
                <w:rFonts w:ascii="Arial" w:cs="Arial" w:eastAsia="Arial" w:hAnsi="Arial"/>
                <w:sz w:val="16"/>
                <w:szCs w:val="16"/>
                <w:color w:val="auto"/>
              </w:rPr>
              <w:t>Legal expenses for litigation relating to indemnification of former</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gridSpan w:val="2"/>
          </w:tcPr>
          <w:p>
            <w:pPr>
              <w:spacing w:after="0"/>
              <w:rPr>
                <w:sz w:val="20"/>
                <w:szCs w:val="20"/>
                <w:color w:val="auto"/>
              </w:rPr>
            </w:pPr>
            <w:r>
              <w:rPr>
                <w:rFonts w:ascii="Arial" w:cs="Arial" w:eastAsia="Arial" w:hAnsi="Arial"/>
                <w:sz w:val="16"/>
                <w:szCs w:val="16"/>
                <w:color w:val="auto"/>
              </w:rPr>
              <w:t>officers, intellectual property claims and our claim for damages</w:t>
            </w:r>
          </w:p>
        </w:tc>
        <w:tc>
          <w:tcPr>
            <w:tcW w:w="120" w:type="dxa"/>
            <w:vAlign w:val="bottom"/>
          </w:tcPr>
          <w:p>
            <w:pPr>
              <w:spacing w:after="0"/>
              <w:rPr>
                <w:sz w:val="17"/>
                <w:szCs w:val="17"/>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237</w:t>
            </w:r>
          </w:p>
        </w:tc>
        <w:tc>
          <w:tcPr>
            <w:tcW w:w="220" w:type="dxa"/>
            <w:vAlign w:val="bottom"/>
          </w:tcPr>
          <w:p>
            <w:pPr>
              <w:spacing w:after="0"/>
              <w:rPr>
                <w:sz w:val="17"/>
                <w:szCs w:val="17"/>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358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364</w:t>
            </w:r>
          </w:p>
        </w:tc>
        <w:tc>
          <w:tcPr>
            <w:tcW w:w="220" w:type="dxa"/>
            <w:vAlign w:val="bottom"/>
          </w:tcPr>
          <w:p>
            <w:pPr>
              <w:spacing w:after="0"/>
              <w:rPr>
                <w:sz w:val="17"/>
                <w:szCs w:val="17"/>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6"/>
                <w:szCs w:val="16"/>
                <w:color w:val="auto"/>
              </w:rPr>
              <w:t>Acquisition related expenses</w:t>
            </w:r>
          </w:p>
        </w:tc>
        <w:tc>
          <w:tcPr>
            <w:tcW w:w="120" w:type="dxa"/>
            <w:vAlign w:val="bottom"/>
          </w:tcPr>
          <w:p>
            <w:pPr>
              <w:spacing w:after="0"/>
              <w:rPr>
                <w:sz w:val="18"/>
                <w:szCs w:val="18"/>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227</w:t>
            </w:r>
          </w:p>
        </w:tc>
        <w:tc>
          <w:tcPr>
            <w:tcW w:w="220" w:type="dxa"/>
            <w:vAlign w:val="bottom"/>
          </w:tcPr>
          <w:p>
            <w:pPr>
              <w:spacing w:after="0"/>
              <w:rPr>
                <w:sz w:val="18"/>
                <w:szCs w:val="18"/>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60" w:type="dxa"/>
            <w:vAlign w:val="bottom"/>
            <w:gridSpan w:val="2"/>
          </w:tcPr>
          <w:p>
            <w:pPr>
              <w:spacing w:after="0"/>
              <w:rPr>
                <w:sz w:val="20"/>
                <w:szCs w:val="20"/>
                <w:color w:val="auto"/>
              </w:rPr>
            </w:pPr>
            <w:r>
              <w:rPr>
                <w:rFonts w:ascii="Arial" w:cs="Arial" w:eastAsia="Arial" w:hAnsi="Arial"/>
                <w:sz w:val="16"/>
                <w:szCs w:val="16"/>
                <w:color w:val="auto"/>
              </w:rPr>
              <w:t>Proceeds from litigation</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(250)</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960" w:type="dxa"/>
            <w:vAlign w:val="bottom"/>
            <w:gridSpan w:val="2"/>
          </w:tcPr>
          <w:p>
            <w:pPr>
              <w:spacing w:after="0"/>
              <w:rPr>
                <w:sz w:val="20"/>
                <w:szCs w:val="20"/>
                <w:color w:val="auto"/>
              </w:rPr>
            </w:pPr>
            <w:r>
              <w:rPr>
                <w:rFonts w:ascii="Arial" w:cs="Arial" w:eastAsia="Arial" w:hAnsi="Arial"/>
                <w:sz w:val="16"/>
                <w:szCs w:val="16"/>
                <w:b w:val="1"/>
                <w:bCs w:val="1"/>
                <w:color w:val="auto"/>
              </w:rPr>
              <w:t>Non-GAAP Adjusted EBITDA</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1,873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2,574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3,075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4,473</w:t>
            </w:r>
          </w:p>
        </w:tc>
        <w:tc>
          <w:tcPr>
            <w:tcW w:w="0" w:type="dxa"/>
            <w:vAlign w:val="bottom"/>
          </w:tcPr>
          <w:p>
            <w:pPr>
              <w:spacing w:after="0"/>
              <w:rPr>
                <w:sz w:val="1"/>
                <w:szCs w:val="1"/>
                <w:color w:val="auto"/>
              </w:rPr>
            </w:pPr>
          </w:p>
        </w:tc>
      </w:tr>
      <w:tr>
        <w:trPr>
          <w:trHeight w:val="429"/>
        </w:trPr>
        <w:tc>
          <w:tcPr>
            <w:tcW w:w="4960" w:type="dxa"/>
            <w:vAlign w:val="bottom"/>
            <w:gridSpan w:val="2"/>
          </w:tcPr>
          <w:p>
            <w:pPr>
              <w:spacing w:after="0"/>
              <w:rPr>
                <w:sz w:val="20"/>
                <w:szCs w:val="20"/>
                <w:color w:val="auto"/>
              </w:rPr>
            </w:pPr>
            <w:r>
              <w:rPr>
                <w:rFonts w:ascii="Arial" w:cs="Arial" w:eastAsia="Arial" w:hAnsi="Arial"/>
                <w:sz w:val="16"/>
                <w:szCs w:val="16"/>
                <w:color w:val="auto"/>
              </w:rPr>
              <w:t>Basic weighted average shares outstanding</w:t>
            </w: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2"/>
              </w:rPr>
              <w:t>9,107,420</w:t>
            </w: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w w:val="92"/>
              </w:rPr>
              <w:t>8,992,500</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89"/>
              </w:rPr>
              <w:t>9,102,786</w:t>
            </w: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w w:val="92"/>
              </w:rPr>
              <w:t>8,962,171</w:t>
            </w:r>
          </w:p>
        </w:tc>
        <w:tc>
          <w:tcPr>
            <w:tcW w:w="0" w:type="dxa"/>
            <w:vAlign w:val="bottom"/>
          </w:tcPr>
          <w:p>
            <w:pPr>
              <w:spacing w:after="0"/>
              <w:rPr>
                <w:sz w:val="1"/>
                <w:szCs w:val="1"/>
                <w:color w:val="auto"/>
              </w:rPr>
            </w:pPr>
          </w:p>
        </w:tc>
      </w:tr>
      <w:tr>
        <w:trPr>
          <w:trHeight w:val="233"/>
        </w:trPr>
        <w:tc>
          <w:tcPr>
            <w:tcW w:w="4960" w:type="dxa"/>
            <w:vAlign w:val="bottom"/>
            <w:gridSpan w:val="2"/>
          </w:tcPr>
          <w:p>
            <w:pPr>
              <w:spacing w:after="0"/>
              <w:rPr>
                <w:sz w:val="20"/>
                <w:szCs w:val="20"/>
                <w:color w:val="auto"/>
              </w:rPr>
            </w:pPr>
            <w:r>
              <w:rPr>
                <w:rFonts w:ascii="Arial" w:cs="Arial" w:eastAsia="Arial" w:hAnsi="Arial"/>
                <w:sz w:val="16"/>
                <w:szCs w:val="16"/>
                <w:color w:val="auto"/>
              </w:rPr>
              <w:t>Diluted weighted average shares outstanding</w:t>
            </w:r>
          </w:p>
        </w:tc>
        <w:tc>
          <w:tcPr>
            <w:tcW w:w="1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w w:val="92"/>
              </w:rPr>
              <w:t>9,226,426</w:t>
            </w:r>
          </w:p>
        </w:tc>
        <w:tc>
          <w:tcPr>
            <w:tcW w:w="220" w:type="dxa"/>
            <w:vAlign w:val="bottom"/>
          </w:tcPr>
          <w:p>
            <w:pPr>
              <w:spacing w:after="0"/>
              <w:rPr>
                <w:sz w:val="20"/>
                <w:szCs w:val="20"/>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w w:val="92"/>
              </w:rPr>
              <w:t>9,433,650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Arial" w:cs="Arial" w:eastAsia="Arial" w:hAnsi="Arial"/>
                <w:sz w:val="16"/>
                <w:szCs w:val="16"/>
                <w:color w:val="auto"/>
                <w:w w:val="89"/>
              </w:rPr>
              <w:t>9,224,727</w:t>
            </w:r>
          </w:p>
        </w:tc>
        <w:tc>
          <w:tcPr>
            <w:tcW w:w="220" w:type="dxa"/>
            <w:vAlign w:val="bottom"/>
          </w:tcPr>
          <w:p>
            <w:pPr>
              <w:spacing w:after="0"/>
              <w:rPr>
                <w:sz w:val="20"/>
                <w:szCs w:val="20"/>
                <w:color w:val="auto"/>
              </w:rPr>
            </w:pPr>
          </w:p>
        </w:tc>
        <w:tc>
          <w:tcPr>
            <w:tcW w:w="900" w:type="dxa"/>
            <w:vAlign w:val="bottom"/>
          </w:tcPr>
          <w:p>
            <w:pPr>
              <w:jc w:val="right"/>
              <w:ind w:right="140"/>
              <w:spacing w:after="0"/>
              <w:rPr>
                <w:sz w:val="20"/>
                <w:szCs w:val="20"/>
                <w:color w:val="auto"/>
              </w:rPr>
            </w:pPr>
            <w:r>
              <w:rPr>
                <w:rFonts w:ascii="Arial" w:cs="Arial" w:eastAsia="Arial" w:hAnsi="Arial"/>
                <w:sz w:val="16"/>
                <w:szCs w:val="16"/>
                <w:color w:val="auto"/>
                <w:w w:val="92"/>
              </w:rPr>
              <w:t>9,279,800</w:t>
            </w:r>
          </w:p>
        </w:tc>
        <w:tc>
          <w:tcPr>
            <w:tcW w:w="0" w:type="dxa"/>
            <w:vAlign w:val="bottom"/>
          </w:tcPr>
          <w:p>
            <w:pPr>
              <w:spacing w:after="0"/>
              <w:rPr>
                <w:sz w:val="1"/>
                <w:szCs w:val="1"/>
                <w:color w:val="auto"/>
              </w:rPr>
            </w:pPr>
          </w:p>
        </w:tc>
      </w:tr>
      <w:tr>
        <w:trPr>
          <w:trHeight w:val="415"/>
        </w:trPr>
        <w:tc>
          <w:tcPr>
            <w:tcW w:w="4960" w:type="dxa"/>
            <w:vAlign w:val="bottom"/>
            <w:gridSpan w:val="2"/>
          </w:tcPr>
          <w:p>
            <w:pPr>
              <w:spacing w:after="0"/>
              <w:rPr>
                <w:sz w:val="20"/>
                <w:szCs w:val="20"/>
                <w:color w:val="auto"/>
              </w:rPr>
            </w:pPr>
            <w:r>
              <w:rPr>
                <w:rFonts w:ascii="Arial" w:cs="Arial" w:eastAsia="Arial" w:hAnsi="Arial"/>
                <w:sz w:val="16"/>
                <w:szCs w:val="16"/>
                <w:color w:val="auto"/>
              </w:rPr>
              <w:t>Basic Adjusted EBITDA per common share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0.29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0.34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33"/>
        </w:trPr>
        <w:tc>
          <w:tcPr>
            <w:tcW w:w="4960" w:type="dxa"/>
            <w:vAlign w:val="bottom"/>
            <w:gridSpan w:val="2"/>
          </w:tcPr>
          <w:p>
            <w:pPr>
              <w:spacing w:after="0"/>
              <w:rPr>
                <w:sz w:val="20"/>
                <w:szCs w:val="20"/>
                <w:color w:val="auto"/>
              </w:rPr>
            </w:pPr>
            <w:r>
              <w:rPr>
                <w:rFonts w:ascii="Arial" w:cs="Arial" w:eastAsia="Arial" w:hAnsi="Arial"/>
                <w:sz w:val="16"/>
                <w:szCs w:val="16"/>
                <w:color w:val="auto"/>
              </w:rPr>
              <w:t>Diluted Adjusted EBITDA per common share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0.27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
              <w:spacing w:after="0"/>
              <w:rPr>
                <w:sz w:val="20"/>
                <w:szCs w:val="20"/>
                <w:color w:val="auto"/>
              </w:rPr>
            </w:pPr>
            <w:r>
              <w:rPr>
                <w:rFonts w:ascii="Arial" w:cs="Arial" w:eastAsia="Arial" w:hAnsi="Arial"/>
                <w:sz w:val="16"/>
                <w:szCs w:val="16"/>
                <w:color w:val="auto"/>
              </w:rPr>
              <w:t>0.33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220"/>
      </w:cols>
      <w:pgMar w:left="1340" w:top="387"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2019-12-09T09:29:54Z</dcterms:created>
  <dcterms:modified xsi:type="dcterms:W3CDTF">2019-12-09T09:29:54Z</dcterms:modified>
</cp:coreProperties>
</file>