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15"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040" w:type="dxa"/>
            <w:vAlign w:val="bottom"/>
            <w:gridSpan w:val="12"/>
          </w:tcPr>
          <w:p>
            <w:pPr>
              <w:jc w:val="center"/>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December 12, 2014</w:t>
            </w: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88"/>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4"/>
              </w:rPr>
              <w:t>ClearOne, Inc.</w:t>
            </w:r>
          </w:p>
        </w:tc>
        <w:tc>
          <w:tcPr>
            <w:tcW w:w="420" w:type="dxa"/>
            <w:vAlign w:val="bottom"/>
          </w:tcPr>
          <w:p>
            <w:pPr>
              <w:spacing w:after="0"/>
              <w:rPr>
                <w:sz w:val="24"/>
                <w:szCs w:val="24"/>
                <w:color w:val="auto"/>
              </w:rPr>
            </w:pPr>
          </w:p>
        </w:tc>
        <w:tc>
          <w:tcPr>
            <w:tcW w:w="1440" w:type="dxa"/>
            <w:vAlign w:val="bottom"/>
            <w:tcBorders>
              <w:top w:val="single" w:sz="8" w:color="auto"/>
            </w:tcBorders>
            <w:gridSpan w:val="4"/>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40" w:type="dxa"/>
            <w:vAlign w:val="bottom"/>
            <w:gridSpan w:val="12"/>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10"/>
        </w:trPr>
        <w:tc>
          <w:tcPr>
            <w:tcW w:w="720" w:type="dxa"/>
            <w:vAlign w:val="bottom"/>
          </w:tcPr>
          <w:p>
            <w:pPr>
              <w:spacing w:after="0"/>
              <w:rPr>
                <w:sz w:val="24"/>
                <w:szCs w:val="24"/>
                <w:color w:val="auto"/>
              </w:rPr>
            </w:pPr>
          </w:p>
        </w:tc>
        <w:tc>
          <w:tcPr>
            <w:tcW w:w="20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Utah</w:t>
            </w:r>
          </w:p>
        </w:tc>
        <w:tc>
          <w:tcPr>
            <w:tcW w:w="3540" w:type="dxa"/>
            <w:vAlign w:val="bottom"/>
            <w:gridSpan w:val="7"/>
          </w:tcPr>
          <w:p>
            <w:pPr>
              <w:jc w:val="center"/>
              <w:ind w:left="1990"/>
              <w:spacing w:after="0"/>
              <w:rPr>
                <w:sz w:val="20"/>
                <w:szCs w:val="20"/>
                <w:color w:val="auto"/>
              </w:rPr>
            </w:pPr>
            <w:r>
              <w:rPr>
                <w:rFonts w:ascii="Arial" w:cs="Arial" w:eastAsia="Arial" w:hAnsi="Arial"/>
                <w:sz w:val="18"/>
                <w:szCs w:val="18"/>
                <w:b w:val="1"/>
                <w:bCs w:val="1"/>
                <w:color w:val="auto"/>
                <w:w w:val="90"/>
              </w:rPr>
              <w:t>001-33660</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87-0398877</w:t>
            </w:r>
          </w:p>
        </w:tc>
        <w:tc>
          <w:tcPr>
            <w:tcW w:w="740" w:type="dxa"/>
            <w:vAlign w:val="bottom"/>
          </w:tcPr>
          <w:p>
            <w:pPr>
              <w:spacing w:after="0"/>
              <w:rPr>
                <w:sz w:val="24"/>
                <w:szCs w:val="24"/>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720" w:type="dxa"/>
            <w:vAlign w:val="bottom"/>
          </w:tcPr>
          <w:p>
            <w:pPr>
              <w:spacing w:after="0"/>
              <w:rPr>
                <w:sz w:val="19"/>
                <w:szCs w:val="19"/>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1"/>
              </w:rPr>
              <w:t>(State or Other Jurisdiction</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gridSpan w:val="8"/>
          </w:tcPr>
          <w:p>
            <w:pPr>
              <w:jc w:val="center"/>
              <w:ind w:right="1380"/>
              <w:spacing w:after="0"/>
              <w:rPr>
                <w:sz w:val="20"/>
                <w:szCs w:val="20"/>
                <w:color w:val="auto"/>
              </w:rPr>
            </w:pPr>
            <w:r>
              <w:rPr>
                <w:rFonts w:ascii="Arial" w:cs="Arial" w:eastAsia="Arial" w:hAnsi="Arial"/>
                <w:sz w:val="18"/>
                <w:szCs w:val="18"/>
                <w:color w:val="auto"/>
                <w:w w:val="91"/>
              </w:rPr>
              <w:t>(Commission</w:t>
            </w: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4"/>
              </w:rPr>
              <w:t>of Incorporation)</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gridSpan w:val="8"/>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284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(I.R.S. Employer Identification No.)</w:t>
            </w:r>
          </w:p>
        </w:tc>
      </w:tr>
      <w:tr>
        <w:trPr>
          <w:trHeight w:val="1053"/>
        </w:trPr>
        <w:tc>
          <w:tcPr>
            <w:tcW w:w="720" w:type="dxa"/>
            <w:vAlign w:val="bottom"/>
          </w:tcPr>
          <w:p>
            <w:pPr>
              <w:spacing w:after="0"/>
              <w:rPr>
                <w:sz w:val="24"/>
                <w:szCs w:val="24"/>
                <w:color w:val="auto"/>
              </w:rPr>
            </w:pPr>
          </w:p>
        </w:tc>
        <w:tc>
          <w:tcPr>
            <w:tcW w:w="7120" w:type="dxa"/>
            <w:vAlign w:val="bottom"/>
            <w:gridSpan w:val="13"/>
          </w:tcPr>
          <w:p>
            <w:pPr>
              <w:jc w:val="center"/>
              <w:ind w:right="1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1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84116</w:t>
            </w:r>
          </w:p>
        </w:tc>
        <w:tc>
          <w:tcPr>
            <w:tcW w:w="740" w:type="dxa"/>
            <w:vAlign w:val="bottom"/>
          </w:tcPr>
          <w:p>
            <w:pPr>
              <w:spacing w:after="0"/>
              <w:rPr>
                <w:sz w:val="24"/>
                <w:szCs w:val="24"/>
                <w:color w:val="auto"/>
              </w:rPr>
            </w:pPr>
          </w:p>
        </w:tc>
      </w:tr>
      <w:tr>
        <w:trPr>
          <w:trHeight w:val="27"/>
        </w:trPr>
        <w:tc>
          <w:tcPr>
            <w:tcW w:w="7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40" w:type="dxa"/>
            <w:vAlign w:val="bottom"/>
            <w:gridSpan w:val="12"/>
          </w:tcPr>
          <w:p>
            <w:pPr>
              <w:jc w:val="center"/>
              <w:ind w:right="2180"/>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Pr>
          <w:p>
            <w:pPr>
              <w:spacing w:after="0"/>
              <w:rPr>
                <w:sz w:val="20"/>
                <w:szCs w:val="20"/>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(Zip Code)</w:t>
            </w:r>
          </w:p>
        </w:tc>
      </w:tr>
      <w:tr>
        <w:trPr>
          <w:trHeight w:val="635"/>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00" w:type="dxa"/>
            <w:vAlign w:val="bottom"/>
            <w:gridSpan w:val="5"/>
          </w:tcPr>
          <w:p>
            <w:pPr>
              <w:jc w:val="center"/>
              <w:ind w:left="1890"/>
              <w:spacing w:after="0"/>
              <w:rPr>
                <w:sz w:val="20"/>
                <w:szCs w:val="20"/>
                <w:color w:val="auto"/>
              </w:rPr>
            </w:pPr>
            <w:r>
              <w:rPr>
                <w:rFonts w:ascii="Arial" w:cs="Arial" w:eastAsia="Arial" w:hAnsi="Arial"/>
                <w:sz w:val="18"/>
                <w:szCs w:val="18"/>
                <w:b w:val="1"/>
                <w:bCs w:val="1"/>
                <w:color w:val="auto"/>
                <w:w w:val="90"/>
              </w:rPr>
              <w:t>(801) 975-7200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40" w:type="dxa"/>
            <w:vAlign w:val="bottom"/>
            <w:gridSpan w:val="12"/>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68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12, 2014, ClearOne, Inc. held its 2014 Annual Meeting of Shareholders at which ClearOne’s shareholders voted on the five proposals listed below. The final voting results with respect to each proposal are also set forth below. As of October 29, 2014, the record date for the meeting, there were 9,139,415 shares of common stock were issued and outstanding.</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Election of Directors: All four directors were re-elected to serve a term expiring at the 2015 Annual Meeting of Shareholders of the Company.</w:t>
      </w:r>
    </w:p>
    <w:p>
      <w:pPr>
        <w:spacing w:after="0" w:line="38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440" w:type="dxa"/>
            <w:vAlign w:val="bottom"/>
            <w:gridSpan w:val="2"/>
          </w:tcPr>
          <w:p>
            <w:pPr>
              <w:ind w:left="660"/>
              <w:spacing w:after="0"/>
              <w:rPr>
                <w:sz w:val="20"/>
                <w:szCs w:val="20"/>
                <w:color w:val="auto"/>
              </w:rPr>
            </w:pPr>
            <w:r>
              <w:rPr>
                <w:rFonts w:ascii="Arial" w:cs="Arial" w:eastAsia="Arial" w:hAnsi="Arial"/>
                <w:sz w:val="18"/>
                <w:szCs w:val="18"/>
                <w:color w:val="auto"/>
              </w:rPr>
              <w:t>Nominee</w:t>
            </w: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Votes For</w:t>
            </w:r>
          </w:p>
        </w:tc>
        <w:tc>
          <w:tcPr>
            <w:tcW w:w="24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Votes withheld (1)</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7"/>
        </w:trPr>
        <w:tc>
          <w:tcPr>
            <w:tcW w:w="2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Brad R. Baldwin</w:t>
            </w:r>
          </w:p>
        </w:tc>
        <w:tc>
          <w:tcPr>
            <w:tcW w:w="1100" w:type="dxa"/>
            <w:vAlign w:val="bottom"/>
          </w:tcPr>
          <w:p>
            <w:pPr>
              <w:ind w:left="180"/>
              <w:spacing w:after="0"/>
              <w:rPr>
                <w:sz w:val="20"/>
                <w:szCs w:val="20"/>
                <w:color w:val="auto"/>
              </w:rPr>
            </w:pPr>
            <w:r>
              <w:rPr>
                <w:rFonts w:ascii="Arial" w:cs="Arial" w:eastAsia="Arial" w:hAnsi="Arial"/>
                <w:sz w:val="18"/>
                <w:szCs w:val="18"/>
                <w:color w:val="auto"/>
              </w:rPr>
              <w:t>3,666,396</w:t>
            </w:r>
          </w:p>
        </w:tc>
        <w:tc>
          <w:tcPr>
            <w:tcW w:w="4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1,879,402</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1,396,768</w:t>
            </w:r>
          </w:p>
        </w:tc>
      </w:tr>
      <w:tr>
        <w:trPr>
          <w:trHeight w:val="27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Zeynep Hakimoglu</w:t>
            </w:r>
          </w:p>
        </w:tc>
        <w:tc>
          <w:tcPr>
            <w:tcW w:w="1100" w:type="dxa"/>
            <w:vAlign w:val="bottom"/>
          </w:tcPr>
          <w:p>
            <w:pPr>
              <w:ind w:left="180"/>
              <w:spacing w:after="0"/>
              <w:rPr>
                <w:sz w:val="20"/>
                <w:szCs w:val="20"/>
                <w:color w:val="auto"/>
              </w:rPr>
            </w:pPr>
            <w:r>
              <w:rPr>
                <w:rFonts w:ascii="Arial" w:cs="Arial" w:eastAsia="Arial" w:hAnsi="Arial"/>
                <w:sz w:val="18"/>
                <w:szCs w:val="18"/>
                <w:color w:val="auto"/>
              </w:rPr>
              <w:t>3,675,001</w:t>
            </w:r>
          </w:p>
        </w:tc>
        <w:tc>
          <w:tcPr>
            <w:tcW w:w="4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1,870,797</w:t>
            </w:r>
          </w:p>
        </w:tc>
        <w:tc>
          <w:tcPr>
            <w:tcW w:w="24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1,396,768</w:t>
            </w:r>
          </w:p>
        </w:tc>
      </w:tr>
      <w:tr>
        <w:trPr>
          <w:trHeight w:val="27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Larry R. Hendricks</w:t>
            </w:r>
          </w:p>
        </w:tc>
        <w:tc>
          <w:tcPr>
            <w:tcW w:w="1100" w:type="dxa"/>
            <w:vAlign w:val="bottom"/>
          </w:tcPr>
          <w:p>
            <w:pPr>
              <w:ind w:left="180"/>
              <w:spacing w:after="0"/>
              <w:rPr>
                <w:sz w:val="20"/>
                <w:szCs w:val="20"/>
                <w:color w:val="auto"/>
              </w:rPr>
            </w:pPr>
            <w:r>
              <w:rPr>
                <w:rFonts w:ascii="Arial" w:cs="Arial" w:eastAsia="Arial" w:hAnsi="Arial"/>
                <w:sz w:val="18"/>
                <w:szCs w:val="18"/>
                <w:color w:val="auto"/>
              </w:rPr>
              <w:t>3,671,555</w:t>
            </w:r>
          </w:p>
        </w:tc>
        <w:tc>
          <w:tcPr>
            <w:tcW w:w="4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1,874,243</w:t>
            </w:r>
          </w:p>
        </w:tc>
        <w:tc>
          <w:tcPr>
            <w:tcW w:w="24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1,396,768</w:t>
            </w:r>
          </w:p>
        </w:tc>
      </w:tr>
      <w:tr>
        <w:trPr>
          <w:trHeight w:val="27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Scott M. Huntsman</w:t>
            </w:r>
          </w:p>
        </w:tc>
        <w:tc>
          <w:tcPr>
            <w:tcW w:w="1100" w:type="dxa"/>
            <w:vAlign w:val="bottom"/>
          </w:tcPr>
          <w:p>
            <w:pPr>
              <w:ind w:left="180"/>
              <w:spacing w:after="0"/>
              <w:rPr>
                <w:sz w:val="20"/>
                <w:szCs w:val="20"/>
                <w:color w:val="auto"/>
              </w:rPr>
            </w:pPr>
            <w:r>
              <w:rPr>
                <w:rFonts w:ascii="Arial" w:cs="Arial" w:eastAsia="Arial" w:hAnsi="Arial"/>
                <w:sz w:val="18"/>
                <w:szCs w:val="18"/>
                <w:color w:val="auto"/>
              </w:rPr>
              <w:t>3,670,303</w:t>
            </w:r>
          </w:p>
        </w:tc>
        <w:tc>
          <w:tcPr>
            <w:tcW w:w="4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1,875,495</w:t>
            </w:r>
          </w:p>
        </w:tc>
        <w:tc>
          <w:tcPr>
            <w:tcW w:w="24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1,396,768</w:t>
            </w:r>
          </w:p>
        </w:tc>
      </w:tr>
    </w:tbl>
    <w:p>
      <w:pPr>
        <w:spacing w:after="0" w:line="200" w:lineRule="exact"/>
        <w:rPr>
          <w:sz w:val="20"/>
          <w:szCs w:val="20"/>
          <w:color w:val="auto"/>
        </w:rPr>
      </w:pPr>
    </w:p>
    <w:p>
      <w:pPr>
        <w:spacing w:after="0" w:line="245" w:lineRule="exact"/>
        <w:rPr>
          <w:sz w:val="20"/>
          <w:szCs w:val="20"/>
          <w:color w:val="auto"/>
        </w:rPr>
      </w:pPr>
    </w:p>
    <w:p>
      <w:pPr>
        <w:ind w:left="320" w:right="72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Ratification of the appointment of McGladrey, LLP as ClearOne’s independent public accountants: Our shareholders ratified the appointment of McGladrey, LLP as our independent public accountants.</w:t>
      </w:r>
    </w:p>
    <w:p>
      <w:pPr>
        <w:spacing w:after="0" w:line="302" w:lineRule="exact"/>
        <w:rPr>
          <w:sz w:val="20"/>
          <w:szCs w:val="20"/>
          <w:color w:val="auto"/>
        </w:rPr>
      </w:pPr>
    </w:p>
    <w:tbl>
      <w:tblPr>
        <w:tblLayout w:type="fixed"/>
        <w:tblInd w:w="500" w:type="dxa"/>
        <w:tblCellMar>
          <w:top w:w="0" w:type="dxa"/>
          <w:left w:w="0" w:type="dxa"/>
          <w:bottom w:w="0" w:type="dxa"/>
          <w:right w:w="0" w:type="dxa"/>
        </w:tblCellMar>
      </w:tblPr>
      <w:tr>
        <w:trPr>
          <w:trHeight w:val="287"/>
        </w:trPr>
        <w:tc>
          <w:tcPr>
            <w:tcW w:w="2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Votes for</w:t>
            </w:r>
          </w:p>
        </w:tc>
        <w:tc>
          <w:tcPr>
            <w:tcW w:w="25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 xml:space="preserve">Votes against </w:t>
            </w:r>
            <w:r>
              <w:rPr>
                <w:rFonts w:ascii="Arial" w:cs="Arial" w:eastAsia="Arial" w:hAnsi="Arial"/>
                <w:sz w:val="25"/>
                <w:szCs w:val="25"/>
                <w:color w:val="auto"/>
                <w:w w:val="84"/>
                <w:vertAlign w:val="superscript"/>
              </w:rPr>
              <w:t>(1)</w:t>
            </w:r>
          </w:p>
        </w:tc>
        <w:tc>
          <w:tcPr>
            <w:tcW w:w="27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Votes abstained</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5,263,527</w:t>
            </w:r>
          </w:p>
        </w:tc>
        <w:tc>
          <w:tcPr>
            <w:tcW w:w="420" w:type="dxa"/>
            <w:vAlign w:val="bottom"/>
          </w:tcPr>
          <w:p>
            <w:pPr>
              <w:spacing w:after="0"/>
              <w:rPr>
                <w:sz w:val="20"/>
                <w:szCs w:val="20"/>
                <w:color w:val="auto"/>
              </w:rPr>
            </w:pPr>
          </w:p>
        </w:tc>
        <w:tc>
          <w:tcPr>
            <w:tcW w:w="21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1,635,731</w:t>
            </w:r>
          </w:p>
        </w:tc>
        <w:tc>
          <w:tcPr>
            <w:tcW w:w="420" w:type="dxa"/>
            <w:vAlign w:val="bottom"/>
          </w:tcPr>
          <w:p>
            <w:pPr>
              <w:spacing w:after="0"/>
              <w:rPr>
                <w:sz w:val="20"/>
                <w:szCs w:val="20"/>
                <w:color w:val="auto"/>
              </w:rPr>
            </w:pPr>
          </w:p>
        </w:tc>
        <w:tc>
          <w:tcPr>
            <w:tcW w:w="23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43,308</w:t>
            </w:r>
          </w:p>
        </w:tc>
        <w:tc>
          <w:tcPr>
            <w:tcW w:w="400" w:type="dxa"/>
            <w:vAlign w:val="bottom"/>
          </w:tcPr>
          <w:p>
            <w:pPr>
              <w:spacing w:after="0"/>
              <w:rPr>
                <w:sz w:val="20"/>
                <w:szCs w:val="20"/>
                <w:color w:val="auto"/>
              </w:rPr>
            </w:pPr>
          </w:p>
        </w:tc>
        <w:tc>
          <w:tcPr>
            <w:tcW w:w="25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Advisory vote on the compensation of our named executive officers: Our shareholders approved the compensation of our named executive officers.</w:t>
      </w:r>
    </w:p>
    <w:p>
      <w:pPr>
        <w:spacing w:after="0" w:line="357" w:lineRule="exact"/>
        <w:rPr>
          <w:sz w:val="20"/>
          <w:szCs w:val="20"/>
          <w:color w:val="auto"/>
        </w:rPr>
      </w:pPr>
    </w:p>
    <w:tbl>
      <w:tblPr>
        <w:tblLayout w:type="fixed"/>
        <w:tblInd w:w="500" w:type="dxa"/>
        <w:tblCellMar>
          <w:top w:w="0" w:type="dxa"/>
          <w:left w:w="0" w:type="dxa"/>
          <w:bottom w:w="0" w:type="dxa"/>
          <w:right w:w="0" w:type="dxa"/>
        </w:tblCellMar>
      </w:tblPr>
      <w:tr>
        <w:trPr>
          <w:trHeight w:val="287"/>
        </w:trPr>
        <w:tc>
          <w:tcPr>
            <w:tcW w:w="2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Votes for</w:t>
            </w:r>
          </w:p>
        </w:tc>
        <w:tc>
          <w:tcPr>
            <w:tcW w:w="25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 xml:space="preserve">Votes against </w:t>
            </w:r>
            <w:r>
              <w:rPr>
                <w:rFonts w:ascii="Arial" w:cs="Arial" w:eastAsia="Arial" w:hAnsi="Arial"/>
                <w:sz w:val="25"/>
                <w:szCs w:val="25"/>
                <w:color w:val="auto"/>
                <w:w w:val="84"/>
                <w:vertAlign w:val="superscript"/>
              </w:rPr>
              <w:t>(1)</w:t>
            </w:r>
          </w:p>
        </w:tc>
        <w:tc>
          <w:tcPr>
            <w:tcW w:w="27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Votes abstained</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3,566,153</w:t>
            </w:r>
          </w:p>
        </w:tc>
        <w:tc>
          <w:tcPr>
            <w:tcW w:w="420" w:type="dxa"/>
            <w:vAlign w:val="bottom"/>
          </w:tcPr>
          <w:p>
            <w:pPr>
              <w:spacing w:after="0"/>
              <w:rPr>
                <w:sz w:val="20"/>
                <w:szCs w:val="20"/>
                <w:color w:val="auto"/>
              </w:rPr>
            </w:pPr>
          </w:p>
        </w:tc>
        <w:tc>
          <w:tcPr>
            <w:tcW w:w="21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1,922,796</w:t>
            </w:r>
          </w:p>
        </w:tc>
        <w:tc>
          <w:tcPr>
            <w:tcW w:w="420" w:type="dxa"/>
            <w:vAlign w:val="bottom"/>
          </w:tcPr>
          <w:p>
            <w:pPr>
              <w:spacing w:after="0"/>
              <w:rPr>
                <w:sz w:val="20"/>
                <w:szCs w:val="20"/>
                <w:color w:val="auto"/>
              </w:rPr>
            </w:pPr>
          </w:p>
        </w:tc>
        <w:tc>
          <w:tcPr>
            <w:tcW w:w="23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56,849</w:t>
            </w:r>
          </w:p>
        </w:tc>
        <w:tc>
          <w:tcPr>
            <w:tcW w:w="400" w:type="dxa"/>
            <w:vAlign w:val="bottom"/>
          </w:tcPr>
          <w:p>
            <w:pPr>
              <w:spacing w:after="0"/>
              <w:rPr>
                <w:sz w:val="20"/>
                <w:szCs w:val="20"/>
                <w:color w:val="auto"/>
              </w:rPr>
            </w:pPr>
          </w:p>
        </w:tc>
        <w:tc>
          <w:tcPr>
            <w:tcW w:w="25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1,396,768</w:t>
            </w:r>
          </w:p>
        </w:tc>
      </w:tr>
    </w:tbl>
    <w:p>
      <w:pPr>
        <w:spacing w:after="0" w:line="200" w:lineRule="exact"/>
        <w:rPr>
          <w:sz w:val="20"/>
          <w:szCs w:val="20"/>
          <w:color w:val="auto"/>
        </w:rPr>
      </w:pPr>
    </w:p>
    <w:p>
      <w:pPr>
        <w:spacing w:after="0" w:line="245" w:lineRule="exact"/>
        <w:rPr>
          <w:sz w:val="20"/>
          <w:szCs w:val="20"/>
          <w:color w:val="auto"/>
        </w:rPr>
      </w:pPr>
    </w:p>
    <w:p>
      <w:pPr>
        <w:ind w:left="320" w:righ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Amendment and restatement of 2007 Equity Incentive Plan: Our shareholders approved the amendment and restatement of our 2007 Equity Incentive Plan.</w:t>
      </w:r>
    </w:p>
    <w:p>
      <w:pPr>
        <w:spacing w:after="0" w:line="302" w:lineRule="exact"/>
        <w:rPr>
          <w:sz w:val="20"/>
          <w:szCs w:val="20"/>
          <w:color w:val="auto"/>
        </w:rPr>
      </w:pPr>
    </w:p>
    <w:tbl>
      <w:tblPr>
        <w:tblLayout w:type="fixed"/>
        <w:tblInd w:w="500" w:type="dxa"/>
        <w:tblCellMar>
          <w:top w:w="0" w:type="dxa"/>
          <w:left w:w="0" w:type="dxa"/>
          <w:bottom w:w="0" w:type="dxa"/>
          <w:right w:w="0" w:type="dxa"/>
        </w:tblCellMar>
      </w:tblPr>
      <w:tr>
        <w:trPr>
          <w:trHeight w:val="287"/>
        </w:trPr>
        <w:tc>
          <w:tcPr>
            <w:tcW w:w="2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Votes for</w:t>
            </w:r>
          </w:p>
        </w:tc>
        <w:tc>
          <w:tcPr>
            <w:tcW w:w="25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 xml:space="preserve">Votes against </w:t>
            </w:r>
            <w:r>
              <w:rPr>
                <w:rFonts w:ascii="Arial" w:cs="Arial" w:eastAsia="Arial" w:hAnsi="Arial"/>
                <w:sz w:val="25"/>
                <w:szCs w:val="25"/>
                <w:color w:val="auto"/>
                <w:w w:val="84"/>
                <w:vertAlign w:val="superscript"/>
              </w:rPr>
              <w:t>(1)</w:t>
            </w:r>
          </w:p>
        </w:tc>
        <w:tc>
          <w:tcPr>
            <w:tcW w:w="27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Votes abstained</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3,439,674</w:t>
            </w:r>
          </w:p>
        </w:tc>
        <w:tc>
          <w:tcPr>
            <w:tcW w:w="420" w:type="dxa"/>
            <w:vAlign w:val="bottom"/>
          </w:tcPr>
          <w:p>
            <w:pPr>
              <w:spacing w:after="0"/>
              <w:rPr>
                <w:sz w:val="20"/>
                <w:szCs w:val="20"/>
                <w:color w:val="auto"/>
              </w:rPr>
            </w:pPr>
          </w:p>
        </w:tc>
        <w:tc>
          <w:tcPr>
            <w:tcW w:w="21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2,076,572</w:t>
            </w:r>
          </w:p>
        </w:tc>
        <w:tc>
          <w:tcPr>
            <w:tcW w:w="420" w:type="dxa"/>
            <w:vAlign w:val="bottom"/>
          </w:tcPr>
          <w:p>
            <w:pPr>
              <w:spacing w:after="0"/>
              <w:rPr>
                <w:sz w:val="20"/>
                <w:szCs w:val="20"/>
                <w:color w:val="auto"/>
              </w:rPr>
            </w:pPr>
          </w:p>
        </w:tc>
        <w:tc>
          <w:tcPr>
            <w:tcW w:w="23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29,552</w:t>
            </w:r>
          </w:p>
        </w:tc>
        <w:tc>
          <w:tcPr>
            <w:tcW w:w="400" w:type="dxa"/>
            <w:vAlign w:val="bottom"/>
          </w:tcPr>
          <w:p>
            <w:pPr>
              <w:spacing w:after="0"/>
              <w:rPr>
                <w:sz w:val="20"/>
                <w:szCs w:val="20"/>
                <w:color w:val="auto"/>
              </w:rPr>
            </w:pPr>
          </w:p>
        </w:tc>
        <w:tc>
          <w:tcPr>
            <w:tcW w:w="25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1,396,768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Approval the ClearOne, Inc. Employee Stock Purchase Plan: Our shareholders approved the ClearOne, Inc. Employee Stock Purchase Plan.</w:t>
      </w:r>
    </w:p>
    <w:p>
      <w:pPr>
        <w:spacing w:after="0" w:line="357" w:lineRule="exact"/>
        <w:rPr>
          <w:sz w:val="20"/>
          <w:szCs w:val="20"/>
          <w:color w:val="auto"/>
        </w:rPr>
      </w:pPr>
    </w:p>
    <w:tbl>
      <w:tblPr>
        <w:tblLayout w:type="fixed"/>
        <w:tblInd w:w="500" w:type="dxa"/>
        <w:tblCellMar>
          <w:top w:w="0" w:type="dxa"/>
          <w:left w:w="0" w:type="dxa"/>
          <w:bottom w:w="0" w:type="dxa"/>
          <w:right w:w="0" w:type="dxa"/>
        </w:tblCellMar>
      </w:tblPr>
      <w:tr>
        <w:trPr>
          <w:trHeight w:val="287"/>
        </w:trPr>
        <w:tc>
          <w:tcPr>
            <w:tcW w:w="2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Votes for</w:t>
            </w:r>
          </w:p>
        </w:tc>
        <w:tc>
          <w:tcPr>
            <w:tcW w:w="25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 xml:space="preserve">Votes against </w:t>
            </w:r>
            <w:r>
              <w:rPr>
                <w:rFonts w:ascii="Arial" w:cs="Arial" w:eastAsia="Arial" w:hAnsi="Arial"/>
                <w:sz w:val="25"/>
                <w:szCs w:val="25"/>
                <w:color w:val="auto"/>
                <w:w w:val="84"/>
                <w:vertAlign w:val="superscript"/>
              </w:rPr>
              <w:t>(1)</w:t>
            </w:r>
          </w:p>
        </w:tc>
        <w:tc>
          <w:tcPr>
            <w:tcW w:w="27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Votes abstained</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4,369,506</w:t>
            </w:r>
          </w:p>
        </w:tc>
        <w:tc>
          <w:tcPr>
            <w:tcW w:w="420" w:type="dxa"/>
            <w:vAlign w:val="bottom"/>
          </w:tcPr>
          <w:p>
            <w:pPr>
              <w:spacing w:after="0"/>
              <w:rPr>
                <w:sz w:val="20"/>
                <w:szCs w:val="20"/>
                <w:color w:val="auto"/>
              </w:rPr>
            </w:pPr>
          </w:p>
        </w:tc>
        <w:tc>
          <w:tcPr>
            <w:tcW w:w="21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1,151,561</w:t>
            </w:r>
          </w:p>
        </w:tc>
        <w:tc>
          <w:tcPr>
            <w:tcW w:w="420" w:type="dxa"/>
            <w:vAlign w:val="bottom"/>
          </w:tcPr>
          <w:p>
            <w:pPr>
              <w:spacing w:after="0"/>
              <w:rPr>
                <w:sz w:val="20"/>
                <w:szCs w:val="20"/>
                <w:color w:val="auto"/>
              </w:rPr>
            </w:pPr>
          </w:p>
        </w:tc>
        <w:tc>
          <w:tcPr>
            <w:tcW w:w="23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24,631</w:t>
            </w:r>
          </w:p>
        </w:tc>
        <w:tc>
          <w:tcPr>
            <w:tcW w:w="400" w:type="dxa"/>
            <w:vAlign w:val="bottom"/>
          </w:tcPr>
          <w:p>
            <w:pPr>
              <w:spacing w:after="0"/>
              <w:rPr>
                <w:sz w:val="20"/>
                <w:szCs w:val="20"/>
                <w:color w:val="auto"/>
              </w:rPr>
            </w:pPr>
          </w:p>
        </w:tc>
        <w:tc>
          <w:tcPr>
            <w:tcW w:w="25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1,396,768</w:t>
            </w:r>
          </w:p>
        </w:tc>
      </w:tr>
    </w:tbl>
    <w:p>
      <w:pPr>
        <w:spacing w:after="0" w:line="200" w:lineRule="exact"/>
        <w:rPr>
          <w:sz w:val="20"/>
          <w:szCs w:val="20"/>
          <w:color w:val="auto"/>
        </w:rPr>
      </w:pPr>
    </w:p>
    <w:p>
      <w:pPr>
        <w:spacing w:after="0" w:line="24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 Votes withheld and votes against did not include 1,333,642 control shares held by a group which were excluded as being ineligible to vote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provisions of Utah Control Shares Acquisitions Act approved by ClearOne shareholders on December 3, 2013.</w:t>
      </w:r>
    </w:p>
    <w:p>
      <w:pPr>
        <w:sectPr>
          <w:pgSz w:w="11900" w:h="16838" w:orient="portrait"/>
          <w:cols w:equalWidth="0" w:num="1">
            <w:col w:w="11420"/>
          </w:cols>
          <w:pgMar w:left="240" w:top="7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4360" w:val="left"/>
          <w:tab w:leader="none" w:pos="5160" w:val="left"/>
        </w:tabs>
        <w:rPr>
          <w:sz w:val="20"/>
          <w:szCs w:val="20"/>
          <w:color w:val="auto"/>
        </w:rPr>
      </w:pPr>
      <w:r>
        <w:rPr>
          <w:rFonts w:ascii="Arial" w:cs="Arial" w:eastAsia="Arial" w:hAnsi="Arial"/>
          <w:sz w:val="18"/>
          <w:szCs w:val="18"/>
          <w:color w:val="auto"/>
        </w:rPr>
        <w:t>Date: December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Narsi Narayanan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Narsi Narayanan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Senior Vice President of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2019-12-06T02:15:03Z</dcterms:created>
  <dcterms:modified xsi:type="dcterms:W3CDTF">2019-12-06T02:15:03Z</dcterms:modified>
</cp:coreProperties>
</file>