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5"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FORM 8-K</w:t>
      </w:r>
    </w:p>
    <w:p>
      <w:pPr>
        <w:spacing w:after="0" w:line="25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CURRENT REPORT PURSUANT</w:t>
      </w:r>
    </w:p>
    <w:p>
      <w:pPr>
        <w:spacing w:after="0" w:line="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TO SECTION 13 OR 15(D) OF</w:t>
      </w:r>
    </w:p>
    <w:p>
      <w:pPr>
        <w:jc w:val="center"/>
        <w:ind w:right="-139"/>
        <w:spacing w:after="0"/>
        <w:rPr>
          <w:sz w:val="20"/>
          <w:szCs w:val="20"/>
          <w:color w:val="auto"/>
        </w:rPr>
      </w:pPr>
      <w:r>
        <w:rPr>
          <w:rFonts w:ascii="Arial" w:cs="Arial" w:eastAsia="Arial" w:hAnsi="Arial"/>
          <w:sz w:val="22"/>
          <w:szCs w:val="22"/>
          <w:b w:val="1"/>
          <w:bCs w:val="1"/>
          <w:color w:val="auto"/>
        </w:rPr>
        <w:t>THE SECURITIES EXCHANGE ACT OF 1934</w:t>
      </w: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 xml:space="preserve">Date of report (Date of earliest event reported): </w:t>
      </w:r>
      <w:r>
        <w:rPr>
          <w:rFonts w:ascii="Arial" w:cs="Arial" w:eastAsia="Arial" w:hAnsi="Arial"/>
          <w:sz w:val="22"/>
          <w:szCs w:val="22"/>
          <w:b w:val="1"/>
          <w:bCs w:val="1"/>
          <w:u w:val="single" w:color="auto"/>
          <w:color w:val="auto"/>
        </w:rPr>
        <w:t>Februrary 16, 2012</w:t>
      </w:r>
    </w:p>
    <w:p>
      <w:pPr>
        <w:spacing w:after="0" w:line="200" w:lineRule="exact"/>
        <w:rPr>
          <w:sz w:val="24"/>
          <w:szCs w:val="24"/>
          <w:color w:val="auto"/>
        </w:rPr>
      </w:pPr>
    </w:p>
    <w:p>
      <w:pPr>
        <w:spacing w:after="0" w:line="272"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u w:val="single" w:color="auto"/>
          <w:color w:val="auto"/>
        </w:rPr>
        <w:t>ClearOne Communications, Inc.</w:t>
      </w:r>
    </w:p>
    <w:p>
      <w:pPr>
        <w:spacing w:after="0" w:line="33"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(Exact Name of Registrant as Specified in Its Charter)</w:t>
      </w: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Utah</w:t>
      </w:r>
    </w:p>
    <w:p>
      <w:pPr>
        <w:spacing w:after="0" w:line="14"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(State or Other Jurisdiction of Incorporation)</w:t>
      </w:r>
    </w:p>
    <w:p>
      <w:pPr>
        <w:spacing w:after="0" w:line="218"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5300" w:type="dxa"/>
            <w:vAlign w:val="bottom"/>
          </w:tcPr>
          <w:p>
            <w:pPr>
              <w:jc w:val="right"/>
              <w:ind w:right="2170"/>
              <w:spacing w:after="0"/>
              <w:rPr>
                <w:sz w:val="20"/>
                <w:szCs w:val="20"/>
                <w:color w:val="auto"/>
              </w:rPr>
            </w:pPr>
            <w:r>
              <w:rPr>
                <w:rFonts w:ascii="Arial" w:cs="Arial" w:eastAsia="Arial" w:hAnsi="Arial"/>
                <w:sz w:val="18"/>
                <w:szCs w:val="18"/>
                <w:b w:val="1"/>
                <w:bCs w:val="1"/>
                <w:color w:val="auto"/>
              </w:rPr>
              <w:t>001-33660</w:t>
            </w:r>
          </w:p>
        </w:tc>
        <w:tc>
          <w:tcPr>
            <w:tcW w:w="5440" w:type="dxa"/>
            <w:vAlign w:val="bottom"/>
            <w:gridSpan w:val="4"/>
          </w:tcPr>
          <w:p>
            <w:pPr>
              <w:jc w:val="center"/>
              <w:ind w:left="530"/>
              <w:spacing w:after="0"/>
              <w:rPr>
                <w:sz w:val="20"/>
                <w:szCs w:val="20"/>
                <w:color w:val="auto"/>
              </w:rPr>
            </w:pPr>
            <w:r>
              <w:rPr>
                <w:rFonts w:ascii="Arial" w:cs="Arial" w:eastAsia="Arial" w:hAnsi="Arial"/>
                <w:sz w:val="18"/>
                <w:szCs w:val="18"/>
                <w:b w:val="1"/>
                <w:bCs w:val="1"/>
                <w:color w:val="auto"/>
                <w:w w:val="89"/>
              </w:rPr>
              <w:t>87-0398877</w:t>
            </w:r>
          </w:p>
        </w:tc>
      </w:tr>
      <w:tr>
        <w:trPr>
          <w:trHeight w:val="202"/>
        </w:trPr>
        <w:tc>
          <w:tcPr>
            <w:tcW w:w="53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640" w:type="dxa"/>
            <w:vAlign w:val="bottom"/>
          </w:tcPr>
          <w:p>
            <w:pPr>
              <w:spacing w:after="0"/>
              <w:rPr>
                <w:sz w:val="17"/>
                <w:szCs w:val="17"/>
                <w:color w:val="auto"/>
              </w:rPr>
            </w:pPr>
          </w:p>
        </w:tc>
        <w:tc>
          <w:tcPr>
            <w:tcW w:w="1680" w:type="dxa"/>
            <w:vAlign w:val="bottom"/>
            <w:tcBorders>
              <w:top w:val="single" w:sz="8" w:color="auto"/>
            </w:tcBorders>
          </w:tcPr>
          <w:p>
            <w:pPr>
              <w:spacing w:after="0"/>
              <w:rPr>
                <w:sz w:val="17"/>
                <w:szCs w:val="17"/>
                <w:color w:val="auto"/>
              </w:rPr>
            </w:pPr>
          </w:p>
        </w:tc>
        <w:tc>
          <w:tcPr>
            <w:tcW w:w="3120" w:type="dxa"/>
            <w:vAlign w:val="bottom"/>
            <w:tcBorders>
              <w:top w:val="single" w:sz="8" w:color="auto"/>
            </w:tcBorders>
            <w:gridSpan w:val="2"/>
          </w:tcPr>
          <w:p>
            <w:pPr>
              <w:jc w:val="center"/>
              <w:ind w:right="1630"/>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5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800" w:type="dxa"/>
            <w:vAlign w:val="bottom"/>
            <w:gridSpan w:val="3"/>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41"/>
        </w:trPr>
        <w:tc>
          <w:tcPr>
            <w:tcW w:w="5300" w:type="dxa"/>
            <w:vAlign w:val="bottom"/>
          </w:tcPr>
          <w:p>
            <w:pPr>
              <w:jc w:val="center"/>
              <w:ind w:left="2230"/>
              <w:spacing w:after="0"/>
              <w:rPr>
                <w:sz w:val="20"/>
                <w:szCs w:val="20"/>
                <w:color w:val="auto"/>
              </w:rPr>
            </w:pPr>
            <w:r>
              <w:rPr>
                <w:rFonts w:ascii="Arial" w:cs="Arial" w:eastAsia="Arial" w:hAnsi="Arial"/>
                <w:sz w:val="18"/>
                <w:szCs w:val="18"/>
                <w:b w:val="1"/>
                <w:bCs w:val="1"/>
                <w:color w:val="auto"/>
                <w:w w:val="90"/>
              </w:rPr>
              <w:t>5225 Wiley Post Way, Suite 500</w:t>
            </w:r>
          </w:p>
        </w:tc>
        <w:tc>
          <w:tcPr>
            <w:tcW w:w="6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560" w:type="dxa"/>
            <w:vAlign w:val="bottom"/>
          </w:tcPr>
          <w:p>
            <w:pPr>
              <w:spacing w:after="0"/>
              <w:rPr>
                <w:sz w:val="24"/>
                <w:szCs w:val="24"/>
                <w:color w:val="auto"/>
              </w:rPr>
            </w:pPr>
          </w:p>
        </w:tc>
      </w:tr>
      <w:tr>
        <w:trPr>
          <w:trHeight w:val="241"/>
        </w:trPr>
        <w:tc>
          <w:tcPr>
            <w:tcW w:w="5300" w:type="dxa"/>
            <w:vAlign w:val="bottom"/>
          </w:tcPr>
          <w:p>
            <w:pPr>
              <w:jc w:val="center"/>
              <w:ind w:left="2230"/>
              <w:spacing w:after="0"/>
              <w:rPr>
                <w:sz w:val="20"/>
                <w:szCs w:val="20"/>
                <w:color w:val="auto"/>
              </w:rPr>
            </w:pPr>
            <w:r>
              <w:rPr>
                <w:rFonts w:ascii="Arial" w:cs="Arial" w:eastAsia="Arial" w:hAnsi="Arial"/>
                <w:sz w:val="18"/>
                <w:szCs w:val="18"/>
                <w:b w:val="1"/>
                <w:bCs w:val="1"/>
                <w:color w:val="auto"/>
                <w:w w:val="93"/>
              </w:rPr>
              <w:t>Salt Lake City, Utah</w:t>
            </w:r>
          </w:p>
        </w:tc>
        <w:tc>
          <w:tcPr>
            <w:tcW w:w="5440" w:type="dxa"/>
            <w:vAlign w:val="bottom"/>
            <w:gridSpan w:val="4"/>
          </w:tcPr>
          <w:p>
            <w:pPr>
              <w:jc w:val="right"/>
              <w:ind w:right="990"/>
              <w:spacing w:after="0"/>
              <w:rPr>
                <w:sz w:val="20"/>
                <w:szCs w:val="20"/>
                <w:color w:val="auto"/>
              </w:rPr>
            </w:pPr>
            <w:r>
              <w:rPr>
                <w:rFonts w:ascii="Arial" w:cs="Arial" w:eastAsia="Arial" w:hAnsi="Arial"/>
                <w:sz w:val="18"/>
                <w:szCs w:val="18"/>
                <w:b w:val="1"/>
                <w:bCs w:val="1"/>
                <w:color w:val="auto"/>
              </w:rPr>
              <w:t>84116</w:t>
            </w:r>
          </w:p>
        </w:tc>
      </w:tr>
      <w:tr>
        <w:trPr>
          <w:trHeight w:val="230"/>
        </w:trPr>
        <w:tc>
          <w:tcPr>
            <w:tcW w:w="5300" w:type="dxa"/>
            <w:vAlign w:val="bottom"/>
            <w:tcBorders>
              <w:top w:val="single" w:sz="8" w:color="auto"/>
            </w:tcBorders>
          </w:tcPr>
          <w:p>
            <w:pPr>
              <w:jc w:val="center"/>
              <w:ind w:left="2230"/>
              <w:spacing w:after="0"/>
              <w:rPr>
                <w:sz w:val="20"/>
                <w:szCs w:val="20"/>
                <w:color w:val="auto"/>
              </w:rPr>
            </w:pPr>
            <w:r>
              <w:rPr>
                <w:rFonts w:ascii="Arial" w:cs="Arial" w:eastAsia="Arial" w:hAnsi="Arial"/>
                <w:sz w:val="18"/>
                <w:szCs w:val="18"/>
                <w:color w:val="auto"/>
                <w:w w:val="92"/>
              </w:rPr>
              <w:t>(Address of principal executive offices)</w:t>
            </w:r>
          </w:p>
        </w:tc>
        <w:tc>
          <w:tcPr>
            <w:tcW w:w="64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spacing w:after="0"/>
              <w:rPr>
                <w:sz w:val="20"/>
                <w:szCs w:val="20"/>
                <w:color w:val="auto"/>
              </w:rPr>
            </w:pPr>
          </w:p>
        </w:tc>
        <w:tc>
          <w:tcPr>
            <w:tcW w:w="560" w:type="dxa"/>
            <w:vAlign w:val="bottom"/>
          </w:tcPr>
          <w:p>
            <w:pPr>
              <w:spacing w:after="0"/>
              <w:rPr>
                <w:sz w:val="20"/>
                <w:szCs w:val="20"/>
                <w:color w:val="auto"/>
              </w:rPr>
            </w:pPr>
          </w:p>
        </w:tc>
        <w:tc>
          <w:tcPr>
            <w:tcW w:w="25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(Zip Code)</w:t>
            </w:r>
          </w:p>
        </w:tc>
      </w:tr>
    </w:tbl>
    <w:p>
      <w:pPr>
        <w:spacing w:after="0" w:line="200" w:lineRule="exact"/>
        <w:rPr>
          <w:sz w:val="24"/>
          <w:szCs w:val="24"/>
          <w:color w:val="auto"/>
        </w:rPr>
      </w:pPr>
    </w:p>
    <w:p>
      <w:pPr>
        <w:spacing w:after="0" w:line="24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(801) 975-7200</w:t>
      </w:r>
    </w:p>
    <w:p>
      <w:pPr>
        <w:spacing w:after="0" w:line="14"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u w:val="single" w:color="auto"/>
          <w:color w:val="auto"/>
        </w:rPr>
        <w:t>Not applicable</w:t>
      </w:r>
    </w:p>
    <w:p>
      <w:pPr>
        <w:spacing w:after="0" w:line="14" w:lineRule="exact"/>
        <w:rPr>
          <w:sz w:val="24"/>
          <w:szCs w:val="24"/>
          <w:color w:val="auto"/>
        </w:rPr>
      </w:pPr>
    </w:p>
    <w:p>
      <w:pPr>
        <w:jc w:val="center"/>
        <w:ind w:right="-1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15" w:lineRule="exact"/>
        <w:rPr>
          <w:sz w:val="24"/>
          <w:szCs w:val="24"/>
          <w:color w:val="auto"/>
        </w:rPr>
      </w:pPr>
    </w:p>
    <w:p>
      <w:pPr>
        <w:ind w:right="10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90" w:lineRule="exact"/>
        <w:rPr>
          <w:sz w:val="24"/>
          <w:szCs w:val="24"/>
          <w:color w:val="auto"/>
        </w:rPr>
      </w:pPr>
    </w:p>
    <w:tbl>
      <w:tblPr>
        <w:tblLayout w:type="fixed"/>
        <w:tblInd w:w="0" w:type="dxa"/>
        <w:tblCellMar>
          <w:top w:w="0" w:type="dxa"/>
          <w:left w:w="0" w:type="dxa"/>
          <w:bottom w:w="0" w:type="dxa"/>
          <w:right w:w="0" w:type="dxa"/>
        </w:tblCellMar>
      </w:tblPr>
      <w:tr>
        <w:trPr>
          <w:trHeight w:val="253"/>
        </w:trPr>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9960" w:type="dxa"/>
            <w:vAlign w:val="bottom"/>
            <w:gridSpan w:val="3"/>
          </w:tcPr>
          <w:p>
            <w:pPr>
              <w:ind w:left="80"/>
              <w:spacing w:after="0"/>
              <w:rPr>
                <w:sz w:val="20"/>
                <w:szCs w:val="20"/>
                <w:color w:val="auto"/>
              </w:rPr>
            </w:pPr>
            <w:r>
              <w:rPr>
                <w:rFonts w:ascii="Arial" w:cs="Arial" w:eastAsia="Arial" w:hAnsi="Arial"/>
                <w:sz w:val="22"/>
                <w:szCs w:val="22"/>
                <w:color w:val="auto"/>
              </w:rPr>
              <w:t>] Written communications pursuant to Rule 425 under the Securities Act (17 CFR 230.425)</w:t>
            </w:r>
          </w:p>
        </w:tc>
      </w:tr>
      <w:tr>
        <w:trPr>
          <w:trHeight w:val="243"/>
        </w:trPr>
        <w:tc>
          <w:tcPr>
            <w:tcW w:w="160" w:type="dxa"/>
            <w:vAlign w:val="bottom"/>
          </w:tcPr>
          <w:p>
            <w:pPr>
              <w:jc w:val="right"/>
              <w:spacing w:after="0" w:line="243" w:lineRule="exact"/>
              <w:rPr>
                <w:sz w:val="20"/>
                <w:szCs w:val="20"/>
                <w:color w:val="auto"/>
              </w:rPr>
            </w:pPr>
            <w:r>
              <w:rPr>
                <w:rFonts w:ascii="Arial" w:cs="Arial" w:eastAsia="Arial" w:hAnsi="Arial"/>
                <w:sz w:val="22"/>
                <w:szCs w:val="22"/>
                <w:color w:val="auto"/>
                <w:w w:val="97"/>
              </w:rPr>
              <w:t>[</w:t>
            </w:r>
          </w:p>
        </w:tc>
        <w:tc>
          <w:tcPr>
            <w:tcW w:w="200" w:type="dxa"/>
            <w:vAlign w:val="bottom"/>
          </w:tcPr>
          <w:p>
            <w:pPr>
              <w:ind w:left="80"/>
              <w:spacing w:after="0" w:line="243" w:lineRule="exact"/>
              <w:rPr>
                <w:sz w:val="20"/>
                <w:szCs w:val="20"/>
                <w:color w:val="auto"/>
              </w:rPr>
            </w:pPr>
            <w:r>
              <w:rPr>
                <w:rFonts w:ascii="Arial" w:cs="Arial" w:eastAsia="Arial" w:hAnsi="Arial"/>
                <w:sz w:val="22"/>
                <w:szCs w:val="22"/>
                <w:color w:val="auto"/>
              </w:rPr>
              <w:t>]</w:t>
            </w:r>
          </w:p>
        </w:tc>
        <w:tc>
          <w:tcPr>
            <w:tcW w:w="9760" w:type="dxa"/>
            <w:vAlign w:val="bottom"/>
            <w:gridSpan w:val="2"/>
          </w:tcPr>
          <w:p>
            <w:pPr>
              <w:ind w:left="60"/>
              <w:spacing w:after="0" w:line="243" w:lineRule="exact"/>
              <w:rPr>
                <w:sz w:val="20"/>
                <w:szCs w:val="20"/>
                <w:color w:val="auto"/>
              </w:rPr>
            </w:pPr>
            <w:r>
              <w:rPr>
                <w:rFonts w:ascii="Arial" w:cs="Arial" w:eastAsia="Arial" w:hAnsi="Arial"/>
                <w:sz w:val="22"/>
                <w:szCs w:val="22"/>
                <w:color w:val="auto"/>
              </w:rPr>
              <w:t>Soliciting material pursuant to Rule 14a-12 under the Exchange Act (17 CFR 240.14a-12)</w:t>
            </w:r>
          </w:p>
        </w:tc>
      </w:tr>
      <w:tr>
        <w:trPr>
          <w:trHeight w:val="243"/>
        </w:trPr>
        <w:tc>
          <w:tcPr>
            <w:tcW w:w="160" w:type="dxa"/>
            <w:vAlign w:val="bottom"/>
          </w:tcPr>
          <w:p>
            <w:pPr>
              <w:jc w:val="right"/>
              <w:spacing w:after="0" w:line="243" w:lineRule="exact"/>
              <w:rPr>
                <w:sz w:val="20"/>
                <w:szCs w:val="20"/>
                <w:color w:val="auto"/>
              </w:rPr>
            </w:pPr>
            <w:r>
              <w:rPr>
                <w:rFonts w:ascii="Arial" w:cs="Arial" w:eastAsia="Arial" w:hAnsi="Arial"/>
                <w:sz w:val="22"/>
                <w:szCs w:val="22"/>
                <w:color w:val="auto"/>
                <w:w w:val="97"/>
              </w:rPr>
              <w:t>[</w:t>
            </w:r>
          </w:p>
        </w:tc>
        <w:tc>
          <w:tcPr>
            <w:tcW w:w="9960" w:type="dxa"/>
            <w:vAlign w:val="bottom"/>
            <w:gridSpan w:val="3"/>
          </w:tcPr>
          <w:p>
            <w:pPr>
              <w:ind w:left="80"/>
              <w:spacing w:after="0" w:line="243" w:lineRule="exact"/>
              <w:rPr>
                <w:sz w:val="20"/>
                <w:szCs w:val="20"/>
                <w:color w:val="auto"/>
              </w:rPr>
            </w:pPr>
            <w:r>
              <w:rPr>
                <w:rFonts w:ascii="Arial" w:cs="Arial" w:eastAsia="Arial" w:hAnsi="Arial"/>
                <w:sz w:val="22"/>
                <w:szCs w:val="22"/>
                <w:color w:val="auto"/>
                <w:w w:val="89"/>
              </w:rPr>
              <w:t>] Pre-commencement communications pursuant to Rule 14d-2(b) under the Exchange Act (17 CFR 240.14d-2(b))</w:t>
            </w:r>
          </w:p>
        </w:tc>
      </w:tr>
      <w:tr>
        <w:trPr>
          <w:trHeight w:val="275"/>
        </w:trPr>
        <w:tc>
          <w:tcPr>
            <w:tcW w:w="160" w:type="dxa"/>
            <w:vAlign w:val="bottom"/>
          </w:tcPr>
          <w:p>
            <w:pPr>
              <w:jc w:val="right"/>
              <w:spacing w:after="0"/>
              <w:rPr>
                <w:sz w:val="20"/>
                <w:szCs w:val="20"/>
                <w:color w:val="auto"/>
              </w:rPr>
            </w:pPr>
            <w:r>
              <w:rPr>
                <w:rFonts w:ascii="Arial" w:cs="Arial" w:eastAsia="Arial" w:hAnsi="Arial"/>
                <w:sz w:val="22"/>
                <w:szCs w:val="22"/>
                <w:color w:val="auto"/>
                <w:w w:val="97"/>
              </w:rPr>
              <w:t>[</w:t>
            </w:r>
          </w:p>
        </w:tc>
        <w:tc>
          <w:tcPr>
            <w:tcW w:w="200" w:type="dxa"/>
            <w:vAlign w:val="bottom"/>
          </w:tcPr>
          <w:p>
            <w:pPr>
              <w:ind w:left="80"/>
              <w:spacing w:after="0"/>
              <w:rPr>
                <w:sz w:val="20"/>
                <w:szCs w:val="20"/>
                <w:color w:val="auto"/>
              </w:rPr>
            </w:pPr>
            <w:r>
              <w:rPr>
                <w:rFonts w:ascii="Arial" w:cs="Arial" w:eastAsia="Arial" w:hAnsi="Arial"/>
                <w:sz w:val="22"/>
                <w:szCs w:val="22"/>
                <w:color w:val="auto"/>
              </w:rPr>
              <w:t>]</w:t>
            </w:r>
          </w:p>
        </w:tc>
        <w:tc>
          <w:tcPr>
            <w:tcW w:w="9760" w:type="dxa"/>
            <w:vAlign w:val="bottom"/>
            <w:gridSpan w:val="2"/>
          </w:tcPr>
          <w:p>
            <w:pPr>
              <w:ind w:left="60"/>
              <w:spacing w:after="0"/>
              <w:rPr>
                <w:sz w:val="20"/>
                <w:szCs w:val="20"/>
                <w:color w:val="auto"/>
              </w:rPr>
            </w:pPr>
            <w:r>
              <w:rPr>
                <w:rFonts w:ascii="Arial" w:cs="Arial" w:eastAsia="Arial" w:hAnsi="Arial"/>
                <w:sz w:val="22"/>
                <w:szCs w:val="22"/>
                <w:color w:val="auto"/>
                <w:w w:val="89"/>
              </w:rPr>
              <w:t>Pre-commencement communication pursuant to Rule 13e-4(c) under the Exchange Act (17 CFR 240.13e-4(c))</w:t>
            </w:r>
          </w:p>
        </w:tc>
      </w:tr>
      <w:tr>
        <w:trPr>
          <w:trHeight w:val="935"/>
        </w:trPr>
        <w:tc>
          <w:tcPr>
            <w:tcW w:w="1140" w:type="dxa"/>
            <w:vAlign w:val="bottom"/>
            <w:gridSpan w:val="3"/>
          </w:tcPr>
          <w:p>
            <w:pPr>
              <w:ind w:left="60"/>
              <w:spacing w:after="0"/>
              <w:rPr>
                <w:sz w:val="20"/>
                <w:szCs w:val="20"/>
                <w:color w:val="auto"/>
              </w:rPr>
            </w:pPr>
            <w:r>
              <w:rPr>
                <w:rFonts w:ascii="Arial" w:cs="Arial" w:eastAsia="Arial" w:hAnsi="Arial"/>
                <w:sz w:val="18"/>
                <w:szCs w:val="18"/>
                <w:b w:val="1"/>
                <w:bCs w:val="1"/>
                <w:color w:val="auto"/>
              </w:rPr>
              <w:t>Item 8.01</w:t>
            </w:r>
          </w:p>
        </w:tc>
        <w:tc>
          <w:tcPr>
            <w:tcW w:w="8980" w:type="dxa"/>
            <w:vAlign w:val="bottom"/>
          </w:tcPr>
          <w:p>
            <w:pPr>
              <w:ind w:left="340"/>
              <w:spacing w:after="0"/>
              <w:rPr>
                <w:sz w:val="20"/>
                <w:szCs w:val="20"/>
                <w:color w:val="auto"/>
              </w:rPr>
            </w:pPr>
            <w:r>
              <w:rPr>
                <w:rFonts w:ascii="Arial" w:cs="Arial" w:eastAsia="Arial" w:hAnsi="Arial"/>
                <w:sz w:val="18"/>
                <w:szCs w:val="18"/>
                <w:b w:val="1"/>
                <w:bCs w:val="1"/>
                <w:color w:val="auto"/>
              </w:rPr>
              <w:t>Other Events.</w:t>
            </w:r>
          </w:p>
        </w:tc>
      </w:tr>
    </w:tbl>
    <w:p>
      <w:pPr>
        <w:spacing w:after="0" w:line="222" w:lineRule="exact"/>
        <w:rPr>
          <w:sz w:val="24"/>
          <w:szCs w:val="24"/>
          <w:color w:val="auto"/>
        </w:rPr>
      </w:pPr>
    </w:p>
    <w:p>
      <w:pPr>
        <w:ind w:firstLine="648"/>
        <w:spacing w:after="0" w:line="238" w:lineRule="auto"/>
        <w:rPr>
          <w:sz w:val="20"/>
          <w:szCs w:val="20"/>
          <w:color w:val="auto"/>
        </w:rPr>
      </w:pPr>
      <w:r>
        <w:rPr>
          <w:rFonts w:ascii="Arial" w:cs="Arial" w:eastAsia="Arial" w:hAnsi="Arial"/>
          <w:sz w:val="22"/>
          <w:szCs w:val="22"/>
          <w:color w:val="auto"/>
        </w:rPr>
        <w:t>On January 26, 2012, the Company entered into an asset purchase agreement to acquire substantially all of the assets of Israel-based VCON Video Conferencing, subject to customary closing conditions, as well as applicable regulatory and court approvals. Upon getting the necessary regulatory approvals and after satisfying the required closing conditions, the asset purchase agreement was fully consummated today.</w:t>
      </w:r>
    </w:p>
    <w:p>
      <w:pPr>
        <w:spacing w:after="0" w:line="206"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4"/>
          <w:szCs w:val="24"/>
          <w:color w:val="auto"/>
        </w:rPr>
      </w:pPr>
    </w:p>
    <w:p>
      <w:pPr>
        <w:ind w:right="14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CLEARONE COMMUNICATIONS, INC.</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ind w:left="60"/>
        <w:spacing w:after="0"/>
        <w:tabs>
          <w:tab w:leader="none" w:pos="4080" w:val="left"/>
          <w:tab w:leader="none" w:pos="4900" w:val="left"/>
        </w:tabs>
        <w:rPr>
          <w:sz w:val="20"/>
          <w:szCs w:val="20"/>
          <w:color w:val="auto"/>
        </w:rPr>
      </w:pPr>
      <w:r>
        <w:rPr>
          <w:rFonts w:ascii="Arial" w:cs="Arial" w:eastAsia="Arial" w:hAnsi="Arial"/>
          <w:sz w:val="18"/>
          <w:szCs w:val="18"/>
          <w:color w:val="auto"/>
        </w:rPr>
        <w:t>Date: February 16, 2012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3083560</wp:posOffset>
            </wp:positionH>
            <wp:positionV relativeFrom="paragraph">
              <wp:posOffset>14605</wp:posOffset>
            </wp:positionV>
            <wp:extent cx="372173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721735" cy="17145"/>
                    </a:xfrm>
                    <a:prstGeom prst="rect">
                      <a:avLst/>
                    </a:prstGeom>
                    <a:noFill/>
                  </pic:spPr>
                </pic:pic>
              </a:graphicData>
            </a:graphic>
          </wp:anchor>
        </w:drawing>
      </w:r>
    </w:p>
    <w:p>
      <w:pPr>
        <w:spacing w:after="0" w:line="16" w:lineRule="exact"/>
        <w:rPr>
          <w:sz w:val="24"/>
          <w:szCs w:val="24"/>
          <w:color w:val="auto"/>
        </w:rPr>
      </w:pPr>
    </w:p>
    <w:p>
      <w:pPr>
        <w:ind w:left="4920"/>
        <w:spacing w:after="0"/>
        <w:rPr>
          <w:sz w:val="20"/>
          <w:szCs w:val="20"/>
          <w:color w:val="auto"/>
        </w:rPr>
      </w:pPr>
      <w:r>
        <w:rPr>
          <w:rFonts w:ascii="Arial" w:cs="Arial" w:eastAsia="Arial" w:hAnsi="Arial"/>
          <w:sz w:val="18"/>
          <w:szCs w:val="18"/>
          <w:color w:val="auto"/>
        </w:rPr>
        <w:t>Zeynep Hakimoglu</w:t>
      </w:r>
    </w:p>
    <w:p>
      <w:pPr>
        <w:spacing w:after="0" w:line="23" w:lineRule="exact"/>
        <w:rPr>
          <w:sz w:val="24"/>
          <w:szCs w:val="24"/>
          <w:color w:val="auto"/>
        </w:rPr>
      </w:pPr>
    </w:p>
    <w:p>
      <w:pPr>
        <w:ind w:left="49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300"/>
          </w:cols>
          <w:pgMar w:left="240" w:top="477" w:right="359" w:bottom="571" w:gutter="0" w:footer="0" w:header="0"/>
        </w:sectPr>
      </w:pPr>
    </w:p>
    <w:bookmarkStart w:id="1" w:name="page2"/>
    <w:bookmarkEnd w:id="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2019-12-09T09:43:01Z</dcterms:created>
  <dcterms:modified xsi:type="dcterms:W3CDTF">2019-12-09T09:43:01Z</dcterms:modified>
</cp:coreProperties>
</file>